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21F1F"/>
        </w:rPr>
        <w:t>PURCHASING</w:t>
      </w:r>
      <w:r>
        <w:rPr>
          <w:color w:val="221F1F"/>
          <w:spacing w:val="-4"/>
        </w:rPr>
        <w:t> </w:t>
      </w:r>
      <w:r>
        <w:rPr>
          <w:color w:val="221F1F"/>
        </w:rPr>
        <w:t>CONDITIONS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CONTRACT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4" w:lineRule="exact" w:before="146" w:after="0"/>
        <w:ind w:left="1144" w:right="0" w:hanging="424"/>
        <w:jc w:val="left"/>
      </w:pPr>
      <w:r>
        <w:rPr>
          <w:color w:val="221F1F"/>
          <w:spacing w:val="-2"/>
        </w:rPr>
        <w:t>CORRESPONDENCE</w:t>
      </w:r>
    </w:p>
    <w:p>
      <w:pPr>
        <w:pStyle w:val="BodyText"/>
        <w:spacing w:line="223" w:lineRule="auto" w:before="5"/>
        <w:ind w:left="1144" w:right="130" w:firstLine="0"/>
      </w:pPr>
      <w:r>
        <w:rPr>
          <w:color w:val="221F1F"/>
        </w:rPr>
        <w:t>All</w:t>
      </w:r>
      <w:r>
        <w:rPr>
          <w:color w:val="221F1F"/>
          <w:spacing w:val="20"/>
        </w:rPr>
        <w:t> </w:t>
      </w:r>
      <w:r>
        <w:rPr>
          <w:color w:val="221F1F"/>
        </w:rPr>
        <w:t>correspondence,</w:t>
      </w:r>
      <w:r>
        <w:rPr>
          <w:color w:val="221F1F"/>
          <w:spacing w:val="20"/>
        </w:rPr>
        <w:t> </w:t>
      </w:r>
      <w:r>
        <w:rPr>
          <w:color w:val="221F1F"/>
        </w:rPr>
        <w:t>verbal or written, pertaining</w:t>
      </w:r>
      <w:r>
        <w:rPr>
          <w:color w:val="221F1F"/>
          <w:spacing w:val="21"/>
        </w:rPr>
        <w:t> </w:t>
      </w:r>
      <w:r>
        <w:rPr>
          <w:color w:val="221F1F"/>
        </w:rPr>
        <w:t>to</w:t>
      </w:r>
      <w:r>
        <w:rPr>
          <w:color w:val="221F1F"/>
          <w:spacing w:val="21"/>
        </w:rPr>
        <w:t> </w:t>
      </w:r>
      <w:r>
        <w:rPr>
          <w:color w:val="221F1F"/>
        </w:rPr>
        <w:t>this order should be</w:t>
      </w:r>
      <w:r>
        <w:rPr>
          <w:color w:val="221F1F"/>
          <w:spacing w:val="20"/>
        </w:rPr>
        <w:t> </w:t>
      </w:r>
      <w:r>
        <w:rPr>
          <w:color w:val="221F1F"/>
        </w:rPr>
        <w:t>addressed to</w:t>
      </w:r>
      <w:r>
        <w:rPr>
          <w:color w:val="221F1F"/>
          <w:spacing w:val="21"/>
        </w:rPr>
        <w:t> </w:t>
      </w:r>
      <w:r>
        <w:rPr>
          <w:color w:val="221F1F"/>
        </w:rPr>
        <w:t>SOLAS</w:t>
      </w:r>
      <w:r>
        <w:rPr>
          <w:color w:val="221F1F"/>
          <w:spacing w:val="24"/>
        </w:rPr>
        <w:t> </w:t>
      </w:r>
      <w:r>
        <w:rPr>
          <w:color w:val="221F1F"/>
        </w:rPr>
        <w:t>and not personalised beyond the</w:t>
      </w:r>
      <w:r>
        <w:rPr>
          <w:color w:val="221F1F"/>
          <w:spacing w:val="20"/>
        </w:rPr>
        <w:t> </w:t>
      </w:r>
      <w:r>
        <w:rPr>
          <w:color w:val="221F1F"/>
        </w:rPr>
        <w:t>signer of the</w:t>
      </w:r>
      <w:r>
        <w:rPr>
          <w:color w:val="221F1F"/>
          <w:spacing w:val="40"/>
        </w:rPr>
        <w:t> </w:t>
      </w:r>
      <w:r>
        <w:rPr>
          <w:color w:val="221F1F"/>
          <w:spacing w:val="-2"/>
        </w:rPr>
        <w:t>order.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6" w:after="0"/>
        <w:ind w:left="1144" w:right="0" w:hanging="424"/>
        <w:jc w:val="left"/>
      </w:pPr>
      <w:r>
        <w:rPr>
          <w:color w:val="221F1F"/>
        </w:rPr>
        <w:t>CHANGES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1"/>
        </w:rPr>
        <w:t> </w:t>
      </w:r>
      <w:r>
        <w:rPr>
          <w:color w:val="221F1F"/>
          <w:spacing w:val="-2"/>
        </w:rPr>
        <w:t>ORDER</w:t>
      </w:r>
    </w:p>
    <w:p>
      <w:pPr>
        <w:pStyle w:val="BodyText"/>
        <w:spacing w:line="223" w:lineRule="auto" w:before="2"/>
        <w:ind w:left="1144" w:right="132" w:firstLine="0"/>
      </w:pPr>
      <w:r>
        <w:rPr>
          <w:color w:val="221F1F"/>
        </w:rPr>
        <w:t>Any</w:t>
      </w:r>
      <w:r>
        <w:rPr>
          <w:color w:val="221F1F"/>
          <w:spacing w:val="40"/>
        </w:rPr>
        <w:t> </w:t>
      </w:r>
      <w:r>
        <w:rPr>
          <w:color w:val="221F1F"/>
        </w:rPr>
        <w:t>changes</w:t>
      </w:r>
      <w:r>
        <w:rPr>
          <w:color w:val="221F1F"/>
          <w:spacing w:val="40"/>
        </w:rPr>
        <w:t> </w:t>
      </w:r>
      <w:r>
        <w:rPr>
          <w:color w:val="221F1F"/>
        </w:rPr>
        <w:t>affecting</w:t>
      </w:r>
      <w:r>
        <w:rPr>
          <w:color w:val="221F1F"/>
          <w:spacing w:val="40"/>
        </w:rPr>
        <w:t> </w:t>
      </w:r>
      <w:r>
        <w:rPr>
          <w:color w:val="221F1F"/>
        </w:rPr>
        <w:t>this</w:t>
      </w:r>
      <w:r>
        <w:rPr>
          <w:color w:val="221F1F"/>
          <w:spacing w:val="40"/>
        </w:rPr>
        <w:t> </w:t>
      </w:r>
      <w:r>
        <w:rPr>
          <w:color w:val="221F1F"/>
        </w:rPr>
        <w:t>order</w:t>
      </w:r>
      <w:r>
        <w:rPr>
          <w:color w:val="221F1F"/>
          <w:spacing w:val="40"/>
        </w:rPr>
        <w:t> </w:t>
      </w:r>
      <w:r>
        <w:rPr>
          <w:color w:val="221F1F"/>
        </w:rPr>
        <w:t>or</w:t>
      </w:r>
      <w:r>
        <w:rPr>
          <w:color w:val="221F1F"/>
          <w:spacing w:val="40"/>
        </w:rPr>
        <w:t> </w:t>
      </w:r>
      <w:r>
        <w:rPr>
          <w:color w:val="221F1F"/>
        </w:rPr>
        <w:t>additional</w:t>
      </w:r>
      <w:r>
        <w:rPr>
          <w:color w:val="221F1F"/>
          <w:spacing w:val="40"/>
        </w:rPr>
        <w:t> </w:t>
      </w:r>
      <w:r>
        <w:rPr>
          <w:color w:val="221F1F"/>
        </w:rPr>
        <w:t>conditions</w:t>
      </w:r>
      <w:r>
        <w:rPr>
          <w:color w:val="221F1F"/>
          <w:spacing w:val="40"/>
        </w:rPr>
        <w:t> </w:t>
      </w:r>
      <w:r>
        <w:rPr>
          <w:color w:val="221F1F"/>
        </w:rPr>
        <w:t>proposed</w:t>
      </w:r>
      <w:r>
        <w:rPr>
          <w:color w:val="221F1F"/>
          <w:spacing w:val="40"/>
        </w:rPr>
        <w:t> </w:t>
      </w:r>
      <w:r>
        <w:rPr>
          <w:color w:val="221F1F"/>
        </w:rPr>
        <w:t>by</w:t>
      </w:r>
      <w:r>
        <w:rPr>
          <w:color w:val="221F1F"/>
          <w:spacing w:val="40"/>
        </w:rPr>
        <w:t> </w:t>
      </w:r>
      <w:r>
        <w:rPr>
          <w:color w:val="221F1F"/>
        </w:rPr>
        <w:t>the</w:t>
      </w:r>
      <w:r>
        <w:rPr>
          <w:color w:val="221F1F"/>
          <w:spacing w:val="40"/>
        </w:rPr>
        <w:t> </w:t>
      </w:r>
      <w:r>
        <w:rPr>
          <w:color w:val="221F1F"/>
        </w:rPr>
        <w:t>supplier</w:t>
      </w:r>
      <w:r>
        <w:rPr>
          <w:color w:val="221F1F"/>
          <w:spacing w:val="40"/>
        </w:rPr>
        <w:t> </w:t>
      </w:r>
      <w:r>
        <w:rPr>
          <w:color w:val="221F1F"/>
        </w:rPr>
        <w:t>will</w:t>
      </w:r>
      <w:r>
        <w:rPr>
          <w:color w:val="221F1F"/>
          <w:spacing w:val="40"/>
        </w:rPr>
        <w:t> </w:t>
      </w:r>
      <w:r>
        <w:rPr>
          <w:color w:val="221F1F"/>
        </w:rPr>
        <w:t>not</w:t>
      </w:r>
      <w:r>
        <w:rPr>
          <w:color w:val="221F1F"/>
          <w:spacing w:val="40"/>
        </w:rPr>
        <w:t> </w:t>
      </w:r>
      <w:r>
        <w:rPr>
          <w:color w:val="221F1F"/>
        </w:rPr>
        <w:t>be</w:t>
      </w:r>
      <w:r>
        <w:rPr>
          <w:color w:val="221F1F"/>
          <w:spacing w:val="40"/>
        </w:rPr>
        <w:t> </w:t>
      </w:r>
      <w:r>
        <w:rPr>
          <w:color w:val="221F1F"/>
        </w:rPr>
        <w:t>binding</w:t>
      </w:r>
      <w:r>
        <w:rPr>
          <w:color w:val="221F1F"/>
          <w:spacing w:val="40"/>
        </w:rPr>
        <w:t> </w:t>
      </w:r>
      <w:r>
        <w:rPr>
          <w:color w:val="221F1F"/>
        </w:rPr>
        <w:t>on</w:t>
      </w:r>
      <w:r>
        <w:rPr>
          <w:color w:val="221F1F"/>
          <w:spacing w:val="40"/>
        </w:rPr>
        <w:t> </w:t>
      </w:r>
      <w:r>
        <w:rPr>
          <w:color w:val="221F1F"/>
        </w:rPr>
        <w:t>SOLAS except</w:t>
      </w:r>
      <w:r>
        <w:rPr>
          <w:color w:val="221F1F"/>
          <w:spacing w:val="40"/>
        </w:rPr>
        <w:t> </w:t>
      </w:r>
      <w:r>
        <w:rPr>
          <w:color w:val="221F1F"/>
        </w:rPr>
        <w:t>by</w:t>
      </w:r>
      <w:r>
        <w:rPr>
          <w:color w:val="221F1F"/>
          <w:spacing w:val="40"/>
        </w:rPr>
        <w:t> </w:t>
      </w:r>
      <w:r>
        <w:rPr>
          <w:color w:val="221F1F"/>
        </w:rPr>
        <w:t>written</w:t>
      </w:r>
      <w:r>
        <w:rPr>
          <w:color w:val="221F1F"/>
          <w:spacing w:val="40"/>
        </w:rPr>
        <w:t> </w:t>
      </w:r>
      <w:r>
        <w:rPr>
          <w:color w:val="221F1F"/>
        </w:rPr>
        <w:t>authorisation from the signer of the order.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6" w:after="0"/>
        <w:ind w:left="1144" w:right="0" w:hanging="424"/>
        <w:jc w:val="left"/>
      </w:pPr>
      <w:r>
        <w:rPr>
          <w:color w:val="221F1F"/>
          <w:spacing w:val="-2"/>
        </w:rPr>
        <w:t>PRICES/EXTRAS</w:t>
      </w:r>
    </w:p>
    <w:p>
      <w:pPr>
        <w:pStyle w:val="BodyText"/>
        <w:spacing w:line="220" w:lineRule="auto" w:before="4"/>
        <w:ind w:left="1143" w:right="130" w:firstLine="1"/>
      </w:pPr>
      <w:r>
        <w:rPr>
          <w:color w:val="221F1F"/>
        </w:rPr>
        <w:t>The price payable</w:t>
      </w:r>
      <w:r>
        <w:rPr>
          <w:color w:val="221F1F"/>
          <w:spacing w:val="24"/>
        </w:rPr>
        <w:t> </w:t>
      </w:r>
      <w:r>
        <w:rPr>
          <w:color w:val="221F1F"/>
        </w:rPr>
        <w:t>shall, unless specifically</w:t>
      </w:r>
      <w:r>
        <w:rPr>
          <w:color w:val="221F1F"/>
          <w:spacing w:val="24"/>
        </w:rPr>
        <w:t> </w:t>
      </w:r>
      <w:r>
        <w:rPr>
          <w:color w:val="221F1F"/>
        </w:rPr>
        <w:t>stated on the face of the order,</w:t>
      </w:r>
      <w:r>
        <w:rPr>
          <w:color w:val="221F1F"/>
          <w:spacing w:val="24"/>
        </w:rPr>
        <w:t> </w:t>
      </w:r>
      <w:r>
        <w:rPr>
          <w:color w:val="221F1F"/>
        </w:rPr>
        <w:t>be</w:t>
      </w:r>
      <w:r>
        <w:rPr>
          <w:color w:val="221F1F"/>
          <w:spacing w:val="24"/>
        </w:rPr>
        <w:t> </w:t>
      </w:r>
      <w:r>
        <w:rPr>
          <w:color w:val="221F1F"/>
        </w:rPr>
        <w:t>the price</w:t>
      </w:r>
      <w:r>
        <w:rPr>
          <w:color w:val="221F1F"/>
          <w:spacing w:val="24"/>
        </w:rPr>
        <w:t> </w:t>
      </w:r>
      <w:r>
        <w:rPr>
          <w:color w:val="221F1F"/>
        </w:rPr>
        <w:t>ruling at the time of placing the order</w:t>
      </w:r>
      <w:r>
        <w:rPr>
          <w:color w:val="221F1F"/>
          <w:spacing w:val="23"/>
        </w:rPr>
        <w:t> </w:t>
      </w:r>
      <w:r>
        <w:rPr>
          <w:color w:val="221F1F"/>
        </w:rPr>
        <w:t>and</w:t>
      </w:r>
      <w:r>
        <w:rPr>
          <w:color w:val="221F1F"/>
          <w:spacing w:val="25"/>
        </w:rPr>
        <w:t> </w:t>
      </w:r>
      <w:r>
        <w:rPr>
          <w:color w:val="221F1F"/>
        </w:rPr>
        <w:t>SOLAS</w:t>
      </w:r>
      <w:r>
        <w:rPr>
          <w:color w:val="221F1F"/>
          <w:spacing w:val="40"/>
        </w:rPr>
        <w:t> </w:t>
      </w:r>
      <w:r>
        <w:rPr>
          <w:color w:val="221F1F"/>
        </w:rPr>
        <w:t>reserves the</w:t>
      </w:r>
      <w:r>
        <w:rPr>
          <w:color w:val="221F1F"/>
          <w:spacing w:val="15"/>
        </w:rPr>
        <w:t> </w:t>
      </w:r>
      <w:r>
        <w:rPr>
          <w:color w:val="221F1F"/>
        </w:rPr>
        <w:t>right to cancel the order either in whole or in part in the event of any increase in the ruling price between the date of placing the</w:t>
      </w:r>
      <w:r>
        <w:rPr>
          <w:color w:val="221F1F"/>
          <w:spacing w:val="80"/>
        </w:rPr>
        <w:t> </w:t>
      </w:r>
      <w:r>
        <w:rPr>
          <w:color w:val="221F1F"/>
        </w:rPr>
        <w:t>order and the date of delivery. </w:t>
      </w:r>
      <w:r>
        <w:rPr>
          <w:color w:val="221F1F"/>
          <w:u w:val="single" w:color="221F1F"/>
        </w:rPr>
        <w:t>No additional charges will be paid for extras not specified in this order</w:t>
      </w:r>
      <w:r>
        <w:rPr>
          <w:color w:val="221F1F"/>
          <w:u w:val="none"/>
        </w:rPr>
        <w:t>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7" w:after="0"/>
        <w:ind w:left="1144" w:right="0" w:hanging="424"/>
        <w:jc w:val="left"/>
      </w:pPr>
      <w:r>
        <w:rPr>
          <w:color w:val="221F1F"/>
          <w:spacing w:val="-2"/>
        </w:rPr>
        <w:t>DELIVERY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20" w:lineRule="auto" w:before="4" w:after="0"/>
        <w:ind w:left="1429" w:right="128" w:hanging="285"/>
        <w:jc w:val="both"/>
        <w:rPr>
          <w:sz w:val="16"/>
        </w:rPr>
      </w:pPr>
      <w:r>
        <w:rPr>
          <w:color w:val="221F1F"/>
          <w:sz w:val="16"/>
        </w:rPr>
        <w:t>The supplier, at his own expense, shall deliver the goods properly packed and secured, or services, at the location specified in the order, or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any alternative subsequently agreed.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Each package should be plainly marked with the supplier’s name and the delivery address given</w:t>
      </w:r>
      <w:r>
        <w:rPr>
          <w:color w:val="221F1F"/>
          <w:spacing w:val="-2"/>
          <w:sz w:val="16"/>
        </w:rPr>
        <w:t> </w:t>
      </w:r>
      <w:r>
        <w:rPr>
          <w:color w:val="221F1F"/>
          <w:sz w:val="16"/>
        </w:rPr>
        <w:t>on the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face of the order.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  <w:tab w:pos="1432" w:val="left" w:leader="none"/>
        </w:tabs>
        <w:spacing w:line="223" w:lineRule="auto" w:before="0" w:after="0"/>
        <w:ind w:left="1432" w:right="127" w:hanging="288"/>
        <w:jc w:val="both"/>
        <w:rPr>
          <w:sz w:val="16"/>
        </w:rPr>
      </w:pPr>
      <w:r>
        <w:rPr>
          <w:color w:val="221F1F"/>
          <w:sz w:val="16"/>
        </w:rPr>
        <w:t>Delivery of the goods/services shall not be deemed to have been effected until they have been delivered at the location specified in the order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or any alternative subsequently agreed, and a duly authorised officer of SOLAS thereof has signed a receipt.</w:t>
      </w:r>
    </w:p>
    <w:p>
      <w:pPr>
        <w:pStyle w:val="ListParagraph"/>
        <w:numPr>
          <w:ilvl w:val="1"/>
          <w:numId w:val="1"/>
        </w:numPr>
        <w:tabs>
          <w:tab w:pos="1431" w:val="left" w:leader="none"/>
        </w:tabs>
        <w:spacing w:line="170" w:lineRule="exact" w:before="0" w:after="0"/>
        <w:ind w:left="1431" w:right="0" w:hanging="284"/>
        <w:jc w:val="both"/>
        <w:rPr>
          <w:sz w:val="16"/>
        </w:rPr>
      </w:pPr>
      <w:r>
        <w:rPr>
          <w:color w:val="221F1F"/>
          <w:sz w:val="16"/>
        </w:rPr>
        <w:t>No liability</w:t>
      </w:r>
      <w:r>
        <w:rPr>
          <w:color w:val="221F1F"/>
          <w:spacing w:val="2"/>
          <w:sz w:val="16"/>
        </w:rPr>
        <w:t> </w:t>
      </w:r>
      <w:r>
        <w:rPr>
          <w:color w:val="221F1F"/>
          <w:sz w:val="16"/>
        </w:rPr>
        <w:t>will attach to</w:t>
      </w:r>
      <w:r>
        <w:rPr>
          <w:color w:val="221F1F"/>
          <w:spacing w:val="1"/>
          <w:sz w:val="16"/>
        </w:rPr>
        <w:t> </w:t>
      </w:r>
      <w:r>
        <w:rPr>
          <w:color w:val="221F1F"/>
          <w:sz w:val="16"/>
        </w:rPr>
        <w:t>SOLAS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until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delivery</w:t>
      </w:r>
      <w:r>
        <w:rPr>
          <w:color w:val="221F1F"/>
          <w:spacing w:val="-3"/>
          <w:sz w:val="16"/>
        </w:rPr>
        <w:t> </w:t>
      </w:r>
      <w:r>
        <w:rPr>
          <w:color w:val="221F1F"/>
          <w:sz w:val="16"/>
        </w:rPr>
        <w:t>has been made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in</w:t>
      </w:r>
      <w:r>
        <w:rPr>
          <w:color w:val="221F1F"/>
          <w:spacing w:val="1"/>
          <w:sz w:val="16"/>
        </w:rPr>
        <w:t> </w:t>
      </w:r>
      <w:r>
        <w:rPr>
          <w:color w:val="221F1F"/>
          <w:sz w:val="16"/>
        </w:rPr>
        <w:t>accordance</w:t>
      </w:r>
      <w:r>
        <w:rPr>
          <w:color w:val="221F1F"/>
          <w:spacing w:val="2"/>
          <w:sz w:val="16"/>
        </w:rPr>
        <w:t> </w:t>
      </w:r>
      <w:r>
        <w:rPr>
          <w:color w:val="221F1F"/>
          <w:sz w:val="16"/>
        </w:rPr>
        <w:t>with (b)</w:t>
      </w:r>
      <w:r>
        <w:rPr>
          <w:color w:val="221F1F"/>
          <w:spacing w:val="-1"/>
          <w:sz w:val="16"/>
        </w:rPr>
        <w:t> </w:t>
      </w:r>
      <w:r>
        <w:rPr>
          <w:color w:val="221F1F"/>
          <w:spacing w:val="-2"/>
          <w:sz w:val="16"/>
        </w:rPr>
        <w:t>above.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2" w:after="0"/>
        <w:ind w:left="1144" w:right="0" w:hanging="424"/>
        <w:jc w:val="left"/>
      </w:pPr>
      <w:r>
        <w:rPr>
          <w:color w:val="221F1F"/>
          <w:spacing w:val="-4"/>
        </w:rPr>
        <w:t>TIME</w:t>
      </w:r>
    </w:p>
    <w:p>
      <w:pPr>
        <w:pStyle w:val="BodyText"/>
        <w:spacing w:line="220" w:lineRule="auto" w:before="4"/>
        <w:ind w:left="1146" w:right="128" w:hanging="2"/>
      </w:pPr>
      <w:r>
        <w:rPr>
          <w:color w:val="221F1F"/>
        </w:rPr>
        <w:t>The supplier shall deliver the goods/services</w:t>
      </w:r>
      <w:r>
        <w:rPr>
          <w:color w:val="221F1F"/>
          <w:spacing w:val="-3"/>
        </w:rPr>
        <w:t> </w:t>
      </w:r>
      <w:r>
        <w:rPr>
          <w:color w:val="221F1F"/>
        </w:rPr>
        <w:t>by the date or dates, specified in the order.</w:t>
      </w:r>
      <w:r>
        <w:rPr>
          <w:color w:val="221F1F"/>
          <w:spacing w:val="40"/>
        </w:rPr>
        <w:t> </w:t>
      </w:r>
      <w:r>
        <w:rPr>
          <w:color w:val="221F1F"/>
        </w:rPr>
        <w:t>If the goods or any part thereof are not delivered within</w:t>
      </w:r>
      <w:r>
        <w:rPr>
          <w:color w:val="221F1F"/>
          <w:spacing w:val="40"/>
        </w:rPr>
        <w:t> </w:t>
      </w:r>
      <w:r>
        <w:rPr>
          <w:color w:val="221F1F"/>
        </w:rPr>
        <w:t>the time /</w:t>
      </w:r>
      <w:r>
        <w:rPr>
          <w:color w:val="221F1F"/>
          <w:spacing w:val="21"/>
        </w:rPr>
        <w:t> </w:t>
      </w:r>
      <w:r>
        <w:rPr>
          <w:color w:val="221F1F"/>
        </w:rPr>
        <w:t>times</w:t>
      </w:r>
      <w:r>
        <w:rPr>
          <w:color w:val="221F1F"/>
          <w:spacing w:val="22"/>
        </w:rPr>
        <w:t> </w:t>
      </w:r>
      <w:r>
        <w:rPr>
          <w:color w:val="221F1F"/>
        </w:rPr>
        <w:t>specified</w:t>
      </w:r>
      <w:r>
        <w:rPr>
          <w:color w:val="221F1F"/>
          <w:spacing w:val="21"/>
        </w:rPr>
        <w:t> </w:t>
      </w:r>
      <w:r>
        <w:rPr>
          <w:color w:val="221F1F"/>
        </w:rPr>
        <w:t>in</w:t>
      </w:r>
      <w:r>
        <w:rPr>
          <w:color w:val="221F1F"/>
          <w:spacing w:val="21"/>
        </w:rPr>
        <w:t> </w:t>
      </w:r>
      <w:r>
        <w:rPr>
          <w:color w:val="221F1F"/>
        </w:rPr>
        <w:t>the</w:t>
      </w:r>
      <w:r>
        <w:rPr>
          <w:color w:val="221F1F"/>
          <w:spacing w:val="21"/>
        </w:rPr>
        <w:t> </w:t>
      </w:r>
      <w:r>
        <w:rPr>
          <w:color w:val="221F1F"/>
        </w:rPr>
        <w:t>order,</w:t>
      </w:r>
      <w:r>
        <w:rPr>
          <w:color w:val="221F1F"/>
          <w:spacing w:val="23"/>
        </w:rPr>
        <w:t> </w:t>
      </w:r>
      <w:r>
        <w:rPr>
          <w:color w:val="221F1F"/>
        </w:rPr>
        <w:t>SOLAS shall,</w:t>
      </w:r>
      <w:r>
        <w:rPr>
          <w:color w:val="221F1F"/>
          <w:spacing w:val="23"/>
        </w:rPr>
        <w:t> </w:t>
      </w:r>
      <w:r>
        <w:rPr>
          <w:color w:val="221F1F"/>
        </w:rPr>
        <w:t>without</w:t>
      </w:r>
      <w:r>
        <w:rPr>
          <w:color w:val="221F1F"/>
          <w:spacing w:val="21"/>
        </w:rPr>
        <w:t> </w:t>
      </w:r>
      <w:r>
        <w:rPr>
          <w:color w:val="221F1F"/>
        </w:rPr>
        <w:t>prejudice to</w:t>
      </w:r>
      <w:r>
        <w:rPr>
          <w:color w:val="221F1F"/>
          <w:spacing w:val="23"/>
        </w:rPr>
        <w:t> </w:t>
      </w:r>
      <w:r>
        <w:rPr>
          <w:color w:val="221F1F"/>
        </w:rPr>
        <w:t>any</w:t>
      </w:r>
      <w:r>
        <w:rPr>
          <w:color w:val="221F1F"/>
          <w:spacing w:val="21"/>
        </w:rPr>
        <w:t> </w:t>
      </w:r>
      <w:r>
        <w:rPr>
          <w:color w:val="221F1F"/>
        </w:rPr>
        <w:t>other remedy</w:t>
      </w:r>
      <w:r>
        <w:rPr>
          <w:color w:val="221F1F"/>
          <w:spacing w:val="21"/>
        </w:rPr>
        <w:t> </w:t>
      </w:r>
      <w:r>
        <w:rPr>
          <w:color w:val="221F1F"/>
        </w:rPr>
        <w:t>be entitled</w:t>
      </w:r>
      <w:r>
        <w:rPr>
          <w:color w:val="221F1F"/>
          <w:spacing w:val="23"/>
        </w:rPr>
        <w:t> </w:t>
      </w:r>
      <w:r>
        <w:rPr>
          <w:color w:val="221F1F"/>
        </w:rPr>
        <w:t>to</w:t>
      </w:r>
      <w:r>
        <w:rPr>
          <w:color w:val="221F1F"/>
          <w:spacing w:val="21"/>
        </w:rPr>
        <w:t> </w:t>
      </w:r>
      <w:r>
        <w:rPr>
          <w:color w:val="221F1F"/>
        </w:rPr>
        <w:t>determine</w:t>
      </w:r>
      <w:r>
        <w:rPr>
          <w:color w:val="221F1F"/>
          <w:spacing w:val="21"/>
        </w:rPr>
        <w:t> </w:t>
      </w:r>
      <w:r>
        <w:rPr>
          <w:color w:val="221F1F"/>
        </w:rPr>
        <w:t>the</w:t>
      </w:r>
      <w:r>
        <w:rPr>
          <w:color w:val="221F1F"/>
          <w:spacing w:val="21"/>
        </w:rPr>
        <w:t> </w:t>
      </w:r>
      <w:r>
        <w:rPr>
          <w:color w:val="221F1F"/>
        </w:rPr>
        <w:t>order</w:t>
      </w:r>
      <w:r>
        <w:rPr>
          <w:color w:val="221F1F"/>
          <w:spacing w:val="21"/>
        </w:rPr>
        <w:t> </w:t>
      </w:r>
      <w:r>
        <w:rPr>
          <w:color w:val="221F1F"/>
        </w:rPr>
        <w:t>cancelled</w:t>
      </w:r>
      <w:r>
        <w:rPr>
          <w:color w:val="221F1F"/>
          <w:spacing w:val="24"/>
        </w:rPr>
        <w:t> </w:t>
      </w:r>
      <w:r>
        <w:rPr>
          <w:color w:val="221F1F"/>
        </w:rPr>
        <w:t>in</w:t>
      </w:r>
      <w:r>
        <w:rPr>
          <w:color w:val="221F1F"/>
          <w:spacing w:val="40"/>
        </w:rPr>
        <w:t> </w:t>
      </w:r>
      <w:r>
        <w:rPr>
          <w:color w:val="221F1F"/>
        </w:rPr>
        <w:t>respect of the goods/services undelivered and of any other goods/services already delivered which cannot be effectively and commercially used</w:t>
      </w:r>
      <w:r>
        <w:rPr>
          <w:color w:val="221F1F"/>
          <w:spacing w:val="40"/>
        </w:rPr>
        <w:t> </w:t>
      </w:r>
      <w:r>
        <w:rPr>
          <w:color w:val="221F1F"/>
        </w:rPr>
        <w:t>by reason of the non-delivery of the goods/services undelivered as previously specified.</w:t>
      </w:r>
      <w:r>
        <w:rPr>
          <w:color w:val="221F1F"/>
          <w:spacing w:val="40"/>
        </w:rPr>
        <w:t> </w:t>
      </w:r>
      <w:r>
        <w:rPr>
          <w:color w:val="221F1F"/>
        </w:rPr>
        <w:t>The time for delivery shall be extended by a reasonable</w:t>
      </w:r>
      <w:r>
        <w:rPr>
          <w:color w:val="221F1F"/>
          <w:spacing w:val="40"/>
        </w:rPr>
        <w:t> </w:t>
      </w:r>
      <w:r>
        <w:rPr>
          <w:color w:val="221F1F"/>
        </w:rPr>
        <w:t>period, to be determined by SOLAS, if any delay is caused for force majeure, Act of God, refusal of license, or any other government act, fire,</w:t>
      </w:r>
      <w:r>
        <w:rPr>
          <w:color w:val="221F1F"/>
          <w:spacing w:val="40"/>
        </w:rPr>
        <w:t> </w:t>
      </w:r>
      <w:r>
        <w:rPr>
          <w:color w:val="221F1F"/>
        </w:rPr>
        <w:t>explosion, industrial dispute or by any cause beyond the parties reasonable control.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8" w:after="0"/>
        <w:ind w:left="1144" w:right="0" w:hanging="424"/>
        <w:jc w:val="left"/>
      </w:pPr>
      <w:r>
        <w:rPr>
          <w:color w:val="221F1F"/>
          <w:spacing w:val="-2"/>
        </w:rPr>
        <w:t>GUARANTEE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  <w:tab w:pos="1429" w:val="left" w:leader="none"/>
        </w:tabs>
        <w:spacing w:line="220" w:lineRule="auto" w:before="4" w:after="0"/>
        <w:ind w:left="1429" w:right="126" w:hanging="283"/>
        <w:jc w:val="both"/>
        <w:rPr>
          <w:sz w:val="16"/>
        </w:rPr>
      </w:pPr>
      <w:r>
        <w:rPr>
          <w:color w:val="221F1F"/>
          <w:sz w:val="16"/>
        </w:rPr>
        <w:t>If within 12 months after delivery of the goods/services (hereinafter called the guarantee period) SOLAS gives notice in writing to the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supplier of any defect in the goods/services which shall arise under proper use or of any other non-conformity with this contract, then the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supplier shall, with all possible speed repair or if SOLAS request, replace the goods/services so as to remedy the defects without costs to</w:t>
      </w:r>
      <w:r>
        <w:rPr>
          <w:color w:val="221F1F"/>
          <w:spacing w:val="40"/>
          <w:sz w:val="16"/>
        </w:rPr>
        <w:t> </w:t>
      </w:r>
      <w:r>
        <w:rPr>
          <w:color w:val="221F1F"/>
          <w:spacing w:val="-2"/>
          <w:sz w:val="16"/>
        </w:rPr>
        <w:t>SOLAS.</w:t>
      </w:r>
    </w:p>
    <w:p>
      <w:pPr>
        <w:pStyle w:val="ListParagraph"/>
        <w:numPr>
          <w:ilvl w:val="1"/>
          <w:numId w:val="1"/>
        </w:numPr>
        <w:tabs>
          <w:tab w:pos="1427" w:val="left" w:leader="none"/>
          <w:tab w:pos="1429" w:val="left" w:leader="none"/>
        </w:tabs>
        <w:spacing w:line="220" w:lineRule="auto" w:before="0" w:after="0"/>
        <w:ind w:left="1429" w:right="128" w:hanging="284"/>
        <w:jc w:val="both"/>
        <w:rPr>
          <w:sz w:val="16"/>
        </w:rPr>
      </w:pPr>
      <w:r>
        <w:rPr>
          <w:color w:val="221F1F"/>
          <w:sz w:val="16"/>
        </w:rPr>
        <w:t>If</w:t>
      </w:r>
      <w:r>
        <w:rPr>
          <w:color w:val="221F1F"/>
          <w:spacing w:val="20"/>
          <w:sz w:val="16"/>
        </w:rPr>
        <w:t> </w:t>
      </w:r>
      <w:r>
        <w:rPr>
          <w:color w:val="221F1F"/>
          <w:sz w:val="16"/>
        </w:rPr>
        <w:t>a</w:t>
      </w:r>
      <w:r>
        <w:rPr>
          <w:color w:val="221F1F"/>
          <w:spacing w:val="22"/>
          <w:sz w:val="16"/>
        </w:rPr>
        <w:t> </w:t>
      </w:r>
      <w:r>
        <w:rPr>
          <w:color w:val="221F1F"/>
          <w:sz w:val="16"/>
        </w:rPr>
        <w:t>substantial portion of the goods/services are defective, or do not conform</w:t>
      </w:r>
      <w:r>
        <w:rPr>
          <w:color w:val="221F1F"/>
          <w:spacing w:val="21"/>
          <w:sz w:val="16"/>
        </w:rPr>
        <w:t> </w:t>
      </w:r>
      <w:r>
        <w:rPr>
          <w:color w:val="221F1F"/>
          <w:sz w:val="16"/>
        </w:rPr>
        <w:t>as aforesaid, SOLAS may,</w:t>
      </w:r>
      <w:r>
        <w:rPr>
          <w:color w:val="221F1F"/>
          <w:spacing w:val="22"/>
          <w:sz w:val="16"/>
        </w:rPr>
        <w:t> </w:t>
      </w:r>
      <w:r>
        <w:rPr>
          <w:color w:val="221F1F"/>
          <w:sz w:val="16"/>
        </w:rPr>
        <w:t>without prejudice to</w:t>
      </w:r>
      <w:r>
        <w:rPr>
          <w:color w:val="221F1F"/>
          <w:spacing w:val="20"/>
          <w:sz w:val="16"/>
        </w:rPr>
        <w:t> </w:t>
      </w:r>
      <w:r>
        <w:rPr>
          <w:color w:val="221F1F"/>
          <w:sz w:val="16"/>
        </w:rPr>
        <w:t>any other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rights or remedies, cancel the order, and reject any or all the goods/services already delivered and the supplier shall thereupon repay to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SOLAS any sums already paid in respect to goods/services so rejected or not then delivered.</w:t>
      </w:r>
    </w:p>
    <w:p>
      <w:pPr>
        <w:pStyle w:val="ListParagraph"/>
        <w:numPr>
          <w:ilvl w:val="1"/>
          <w:numId w:val="1"/>
        </w:numPr>
        <w:tabs>
          <w:tab w:pos="1426" w:val="left" w:leader="none"/>
          <w:tab w:pos="1430" w:val="left" w:leader="none"/>
        </w:tabs>
        <w:spacing w:line="223" w:lineRule="auto" w:before="0" w:after="0"/>
        <w:ind w:left="1430" w:right="125" w:hanging="285"/>
        <w:jc w:val="both"/>
        <w:rPr>
          <w:sz w:val="16"/>
        </w:rPr>
      </w:pPr>
      <w:r>
        <w:rPr>
          <w:color w:val="221F1F"/>
          <w:sz w:val="16"/>
        </w:rPr>
        <w:t>The supplier shall with all possible speed repair or replace, free of charge, goods damaged or lost in transit provided that SOLAS shall give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written notification of such damage or loss within reasonable time.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20" w:lineRule="auto" w:before="0" w:after="0"/>
        <w:ind w:left="1430" w:right="126" w:hanging="283"/>
        <w:jc w:val="both"/>
        <w:rPr>
          <w:sz w:val="16"/>
        </w:rPr>
      </w:pPr>
      <w:r>
        <w:rPr>
          <w:color w:val="221F1F"/>
          <w:sz w:val="16"/>
        </w:rPr>
        <w:t>The supplier guarantees the availability of such spares which are proprietary in his equipment for a period of seven years.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Should such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equipment become obsolescent during this time the supplier shall notify SOLAS in writing in advance and shall supply such spares as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SOLAS shall consider advisable to maintain the equipment.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49" w:after="0"/>
        <w:ind w:left="1144" w:right="0" w:hanging="424"/>
        <w:jc w:val="left"/>
      </w:pPr>
      <w:r>
        <w:rPr>
          <w:color w:val="221F1F"/>
        </w:rPr>
        <w:t>FREEDOM</w:t>
      </w:r>
      <w:r>
        <w:rPr>
          <w:color w:val="221F1F"/>
          <w:spacing w:val="-8"/>
        </w:rPr>
        <w:t> </w:t>
      </w:r>
      <w:r>
        <w:rPr>
          <w:color w:val="221F1F"/>
        </w:rPr>
        <w:t>OF</w:t>
      </w:r>
      <w:r>
        <w:rPr>
          <w:color w:val="221F1F"/>
          <w:spacing w:val="-7"/>
        </w:rPr>
        <w:t> </w:t>
      </w:r>
      <w:r>
        <w:rPr>
          <w:color w:val="221F1F"/>
        </w:rPr>
        <w:t>INFORMATION</w:t>
      </w:r>
      <w:r>
        <w:rPr>
          <w:color w:val="221F1F"/>
          <w:spacing w:val="-10"/>
        </w:rPr>
        <w:t> </w:t>
      </w:r>
      <w:r>
        <w:rPr>
          <w:color w:val="221F1F"/>
        </w:rPr>
        <w:t>ACT</w:t>
      </w:r>
      <w:r>
        <w:rPr>
          <w:color w:val="221F1F"/>
          <w:spacing w:val="-5"/>
        </w:rPr>
        <w:t> </w:t>
      </w:r>
      <w:r>
        <w:rPr>
          <w:color w:val="221F1F"/>
          <w:spacing w:val="-4"/>
        </w:rPr>
        <w:t>2014</w:t>
      </w:r>
    </w:p>
    <w:p>
      <w:pPr>
        <w:pStyle w:val="BodyText"/>
        <w:spacing w:line="223" w:lineRule="auto" w:before="2"/>
        <w:ind w:left="1146" w:right="267" w:hanging="2"/>
        <w:jc w:val="left"/>
      </w:pPr>
      <w:r>
        <w:rPr>
          <w:color w:val="221F1F"/>
        </w:rPr>
        <w:t>Under the above legislation members</w:t>
      </w:r>
      <w:r>
        <w:rPr>
          <w:color w:val="221F1F"/>
          <w:spacing w:val="-1"/>
        </w:rPr>
        <w:t> </w:t>
      </w:r>
      <w:r>
        <w:rPr>
          <w:color w:val="221F1F"/>
        </w:rPr>
        <w:t>of the public have a right to access records held by a Public Body, SOLAS</w:t>
      </w:r>
      <w:r>
        <w:rPr>
          <w:color w:val="221F1F"/>
          <w:spacing w:val="-4"/>
        </w:rPr>
        <w:t> </w:t>
      </w:r>
      <w:r>
        <w:rPr>
          <w:color w:val="221F1F"/>
        </w:rPr>
        <w:t>is a Public body as</w:t>
      </w:r>
      <w:r>
        <w:rPr>
          <w:color w:val="221F1F"/>
          <w:spacing w:val="-1"/>
        </w:rPr>
        <w:t> </w:t>
      </w:r>
      <w:r>
        <w:rPr>
          <w:color w:val="221F1F"/>
        </w:rPr>
        <w:t>defined in</w:t>
      </w:r>
      <w:r>
        <w:rPr>
          <w:color w:val="221F1F"/>
          <w:spacing w:val="40"/>
        </w:rPr>
        <w:t> </w:t>
      </w:r>
      <w:r>
        <w:rPr>
          <w:color w:val="221F1F"/>
        </w:rPr>
        <w:t>the Acts.</w:t>
      </w:r>
      <w:r>
        <w:rPr>
          <w:color w:val="221F1F"/>
          <w:spacing w:val="-1"/>
        </w:rPr>
        <w:t> </w:t>
      </w:r>
      <w:r>
        <w:rPr>
          <w:color w:val="221F1F"/>
        </w:rPr>
        <w:t>All records provided to SOLAS by outside third parties such as yourself, are also covered.</w:t>
      </w:r>
    </w:p>
    <w:p>
      <w:pPr>
        <w:pStyle w:val="BodyText"/>
        <w:spacing w:line="218" w:lineRule="auto" w:before="170"/>
        <w:ind w:left="1145" w:right="373" w:hanging="1"/>
        <w:jc w:val="left"/>
      </w:pPr>
      <w:r>
        <w:rPr>
          <w:color w:val="221F1F"/>
        </w:rPr>
        <w:t>SOLAS</w:t>
      </w:r>
      <w:r>
        <w:rPr>
          <w:color w:val="221F1F"/>
          <w:spacing w:val="-1"/>
        </w:rPr>
        <w:t> </w:t>
      </w:r>
      <w:r>
        <w:rPr>
          <w:color w:val="221F1F"/>
        </w:rPr>
        <w:t>undertakes</w:t>
      </w:r>
      <w:r>
        <w:rPr>
          <w:color w:val="221F1F"/>
          <w:spacing w:val="-1"/>
        </w:rPr>
        <w:t> </w:t>
      </w:r>
      <w:r>
        <w:rPr>
          <w:color w:val="221F1F"/>
        </w:rPr>
        <w:t>to use its best endeavours to hold confidential any information provided by you to SOLAS, subject to our obligations</w:t>
      </w:r>
      <w:r>
        <w:rPr>
          <w:color w:val="221F1F"/>
          <w:spacing w:val="40"/>
        </w:rPr>
        <w:t> </w:t>
      </w:r>
      <w:r>
        <w:rPr>
          <w:color w:val="221F1F"/>
        </w:rPr>
        <w:t>under the law, including the FOI Acts.</w:t>
      </w:r>
    </w:p>
    <w:p>
      <w:pPr>
        <w:pStyle w:val="BodyText"/>
        <w:spacing w:line="218" w:lineRule="auto" w:before="169"/>
        <w:ind w:left="1143" w:right="373" w:firstLine="1"/>
      </w:pPr>
      <w:r>
        <w:rPr>
          <w:color w:val="221F1F"/>
        </w:rPr>
        <w:t>If you consider that any records supplied by you are sensitive you should, when providing the information, identify same and specify the</w:t>
      </w:r>
      <w:r>
        <w:rPr>
          <w:color w:val="221F1F"/>
          <w:spacing w:val="40"/>
        </w:rPr>
        <w:t> </w:t>
      </w:r>
      <w:r>
        <w:rPr>
          <w:color w:val="221F1F"/>
        </w:rPr>
        <w:t>reason(s) for their sensitivity. In the event of an FOI request being received which concerns records supplied by you, SOLAS may consult</w:t>
      </w:r>
      <w:r>
        <w:rPr>
          <w:color w:val="221F1F"/>
          <w:spacing w:val="40"/>
        </w:rPr>
        <w:t> </w:t>
      </w:r>
      <w:r>
        <w:rPr>
          <w:color w:val="221F1F"/>
        </w:rPr>
        <w:t>with you before making a decision.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61" w:after="0"/>
        <w:ind w:left="1144" w:right="0" w:hanging="424"/>
        <w:jc w:val="left"/>
      </w:pPr>
      <w:r>
        <w:rPr>
          <w:color w:val="221F1F"/>
        </w:rPr>
        <w:t>GOODS/SERVICES</w:t>
      </w:r>
      <w:r>
        <w:rPr>
          <w:color w:val="221F1F"/>
          <w:spacing w:val="-2"/>
        </w:rPr>
        <w:t> </w:t>
      </w:r>
      <w:r>
        <w:rPr>
          <w:color w:val="221F1F"/>
        </w:rPr>
        <w:t>PURCHASED</w:t>
      </w:r>
      <w:r>
        <w:rPr>
          <w:color w:val="221F1F"/>
          <w:spacing w:val="-9"/>
        </w:rPr>
        <w:t> </w:t>
      </w:r>
      <w:r>
        <w:rPr>
          <w:color w:val="221F1F"/>
        </w:rPr>
        <w:t>WITHIN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  <w:spacing w:val="-4"/>
        </w:rPr>
        <w:t>STATE</w:t>
      </w:r>
    </w:p>
    <w:p>
      <w:pPr>
        <w:pStyle w:val="BodyText"/>
        <w:spacing w:line="218" w:lineRule="auto" w:before="5"/>
        <w:ind w:left="1146" w:right="267" w:hanging="2"/>
        <w:jc w:val="left"/>
      </w:pPr>
      <w:r>
        <w:rPr>
          <w:color w:val="221F1F"/>
        </w:rPr>
        <w:t>One copy of the advice note should be sent with any goods or by post on the same day, to the location to which the goods are being</w:t>
      </w:r>
      <w:r>
        <w:rPr>
          <w:color w:val="221F1F"/>
          <w:spacing w:val="-2"/>
        </w:rPr>
        <w:t> </w:t>
      </w:r>
      <w:r>
        <w:rPr>
          <w:color w:val="221F1F"/>
        </w:rPr>
        <w:t>consigned.</w:t>
      </w:r>
      <w:r>
        <w:rPr>
          <w:color w:val="221F1F"/>
          <w:spacing w:val="40"/>
        </w:rPr>
        <w:t> </w:t>
      </w:r>
      <w:r>
        <w:rPr>
          <w:color w:val="221F1F"/>
        </w:rPr>
        <w:t>Our order number must be quoted on all advice notes and invoices for goods/services.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8" w:after="0"/>
        <w:ind w:left="1144" w:right="0" w:hanging="424"/>
        <w:jc w:val="left"/>
      </w:pPr>
      <w:r>
        <w:rPr>
          <w:color w:val="221F1F"/>
        </w:rPr>
        <w:t>GOODS</w:t>
      </w:r>
      <w:r>
        <w:rPr>
          <w:color w:val="221F1F"/>
          <w:spacing w:val="-1"/>
        </w:rPr>
        <w:t> </w:t>
      </w:r>
      <w:r>
        <w:rPr>
          <w:color w:val="221F1F"/>
        </w:rPr>
        <w:t>PURCHASED</w:t>
      </w:r>
      <w:r>
        <w:rPr>
          <w:color w:val="221F1F"/>
          <w:spacing w:val="-1"/>
        </w:rPr>
        <w:t> </w:t>
      </w:r>
      <w:r>
        <w:rPr>
          <w:color w:val="221F1F"/>
        </w:rPr>
        <w:t>OUTSIDE</w:t>
      </w:r>
      <w:r>
        <w:rPr>
          <w:color w:val="221F1F"/>
          <w:spacing w:val="-4"/>
        </w:rPr>
        <w:t> </w:t>
      </w:r>
      <w:r>
        <w:rPr>
          <w:color w:val="221F1F"/>
        </w:rPr>
        <w:t>THE </w:t>
      </w:r>
      <w:r>
        <w:rPr>
          <w:color w:val="221F1F"/>
          <w:spacing w:val="-5"/>
        </w:rPr>
        <w:t>EU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168" w:lineRule="exact" w:before="0" w:after="0"/>
        <w:ind w:left="1428" w:right="0" w:hanging="281"/>
        <w:jc w:val="left"/>
        <w:rPr>
          <w:sz w:val="16"/>
        </w:rPr>
      </w:pPr>
      <w:r>
        <w:rPr>
          <w:color w:val="221F1F"/>
          <w:sz w:val="16"/>
        </w:rPr>
        <w:t>Customs</w:t>
      </w:r>
      <w:r>
        <w:rPr>
          <w:color w:val="221F1F"/>
          <w:spacing w:val="-4"/>
          <w:sz w:val="16"/>
        </w:rPr>
        <w:t> </w:t>
      </w:r>
      <w:r>
        <w:rPr>
          <w:color w:val="221F1F"/>
          <w:sz w:val="16"/>
        </w:rPr>
        <w:t>Clearance</w:t>
      </w:r>
      <w:r>
        <w:rPr>
          <w:color w:val="221F1F"/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color w:val="221F1F"/>
          <w:sz w:val="16"/>
        </w:rPr>
        <w:t>Suppliers</w:t>
      </w:r>
      <w:r>
        <w:rPr>
          <w:color w:val="221F1F"/>
          <w:spacing w:val="-4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-2"/>
          <w:sz w:val="16"/>
        </w:rPr>
        <w:t> </w:t>
      </w:r>
      <w:r>
        <w:rPr>
          <w:color w:val="221F1F"/>
          <w:sz w:val="16"/>
        </w:rPr>
        <w:t>goods from</w:t>
      </w:r>
      <w:r>
        <w:rPr>
          <w:color w:val="221F1F"/>
          <w:spacing w:val="-2"/>
          <w:sz w:val="16"/>
        </w:rPr>
        <w:t> </w:t>
      </w:r>
      <w:r>
        <w:rPr>
          <w:color w:val="221F1F"/>
          <w:sz w:val="16"/>
        </w:rPr>
        <w:t>outside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the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State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shall furnish without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delay the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following original</w:t>
      </w:r>
      <w:r>
        <w:rPr>
          <w:color w:val="221F1F"/>
          <w:spacing w:val="-3"/>
          <w:sz w:val="16"/>
        </w:rPr>
        <w:t> </w:t>
      </w:r>
      <w:r>
        <w:rPr>
          <w:color w:val="221F1F"/>
          <w:sz w:val="16"/>
        </w:rPr>
        <w:t>documents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to </w:t>
      </w:r>
      <w:r>
        <w:rPr>
          <w:color w:val="221F1F"/>
          <w:spacing w:val="-2"/>
          <w:sz w:val="16"/>
        </w:rPr>
        <w:t>SOLAS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169" w:lineRule="exact" w:before="0" w:after="0"/>
        <w:ind w:left="1429" w:right="0" w:hanging="281"/>
        <w:jc w:val="left"/>
        <w:rPr>
          <w:sz w:val="16"/>
        </w:rPr>
      </w:pPr>
      <w:r>
        <w:rPr>
          <w:color w:val="221F1F"/>
          <w:sz w:val="16"/>
        </w:rPr>
        <w:t>Certificate</w:t>
      </w:r>
      <w:r>
        <w:rPr>
          <w:color w:val="221F1F"/>
          <w:spacing w:val="-2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Origin/Bill of</w:t>
      </w:r>
      <w:r>
        <w:rPr>
          <w:color w:val="221F1F"/>
          <w:spacing w:val="-2"/>
          <w:sz w:val="16"/>
        </w:rPr>
        <w:t> Lading.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169" w:lineRule="exact" w:before="0" w:after="0"/>
        <w:ind w:left="1429" w:right="0" w:hanging="281"/>
        <w:jc w:val="left"/>
        <w:rPr>
          <w:sz w:val="16"/>
        </w:rPr>
      </w:pPr>
      <w:r>
        <w:rPr>
          <w:color w:val="221F1F"/>
          <w:sz w:val="16"/>
        </w:rPr>
        <w:t>Invoice for customs</w:t>
      </w:r>
      <w:r>
        <w:rPr>
          <w:color w:val="221F1F"/>
          <w:spacing w:val="1"/>
          <w:sz w:val="16"/>
        </w:rPr>
        <w:t> </w:t>
      </w:r>
      <w:r>
        <w:rPr>
          <w:color w:val="221F1F"/>
          <w:spacing w:val="-2"/>
          <w:sz w:val="16"/>
        </w:rPr>
        <w:t>purposes.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  <w:tab w:pos="1433" w:val="left" w:leader="none"/>
        </w:tabs>
        <w:spacing w:line="218" w:lineRule="auto" w:before="6" w:after="0"/>
        <w:ind w:left="1433" w:right="298" w:hanging="285"/>
        <w:jc w:val="left"/>
        <w:rPr>
          <w:sz w:val="16"/>
        </w:rPr>
      </w:pPr>
      <w:r>
        <w:rPr>
          <w:color w:val="221F1F"/>
          <w:sz w:val="16"/>
        </w:rPr>
        <w:t>One copy of the advice note to be sent with the goods</w:t>
      </w:r>
      <w:r>
        <w:rPr>
          <w:color w:val="221F1F"/>
          <w:spacing w:val="-1"/>
          <w:sz w:val="16"/>
        </w:rPr>
        <w:t> </w:t>
      </w:r>
      <w:r>
        <w:rPr>
          <w:color w:val="221F1F"/>
          <w:sz w:val="16"/>
        </w:rPr>
        <w:t>or by post on the same day, to the location to which the goods are being</w:t>
      </w:r>
      <w:r>
        <w:rPr>
          <w:color w:val="221F1F"/>
          <w:spacing w:val="-2"/>
          <w:sz w:val="16"/>
        </w:rPr>
        <w:t> </w:t>
      </w:r>
      <w:r>
        <w:rPr>
          <w:color w:val="221F1F"/>
          <w:sz w:val="16"/>
        </w:rPr>
        <w:t>consigned.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The order number must be quoted on all advice notes and invoices.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8" w:after="0"/>
        <w:ind w:left="1144" w:right="0" w:hanging="424"/>
        <w:jc w:val="left"/>
      </w:pPr>
      <w:r>
        <w:rPr>
          <w:color w:val="221F1F"/>
          <w:spacing w:val="-2"/>
        </w:rPr>
        <w:t>PATENTS</w:t>
      </w:r>
    </w:p>
    <w:p>
      <w:pPr>
        <w:pStyle w:val="BodyText"/>
        <w:spacing w:line="223" w:lineRule="auto" w:before="2"/>
        <w:ind w:left="1144" w:firstLine="0"/>
        <w:jc w:val="left"/>
      </w:pPr>
      <w:r>
        <w:rPr>
          <w:color w:val="221F1F"/>
        </w:rPr>
        <w:t>The supplier shall fully indemnify SOLAS against all legal liability, losses and costs arising from any infringement or alleged infringement (by</w:t>
      </w:r>
      <w:r>
        <w:rPr>
          <w:color w:val="221F1F"/>
          <w:spacing w:val="40"/>
        </w:rPr>
        <w:t> </w:t>
      </w:r>
      <w:r>
        <w:rPr>
          <w:color w:val="221F1F"/>
        </w:rPr>
        <w:t>SOLAS or any other person) of any letters patent, registered design, trade mark or trade name, by the use, hire or sale of the goods.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7" w:after="0"/>
        <w:ind w:left="1144" w:right="0" w:hanging="424"/>
        <w:jc w:val="left"/>
      </w:pPr>
      <w:r>
        <w:rPr>
          <w:color w:val="221F1F"/>
          <w:spacing w:val="-2"/>
        </w:rPr>
        <w:t>SECRECY</w:t>
      </w:r>
    </w:p>
    <w:p>
      <w:pPr>
        <w:pStyle w:val="BodyText"/>
        <w:spacing w:line="220" w:lineRule="auto" w:before="3"/>
        <w:ind w:left="1145" w:right="127" w:hanging="1"/>
      </w:pPr>
      <w:r>
        <w:rPr>
          <w:color w:val="221F1F"/>
        </w:rPr>
        <w:t>All technical information, advice, know-how, drawings, designs, specification and other things communicated or supplied by SOLAS are</w:t>
      </w:r>
      <w:r>
        <w:rPr>
          <w:color w:val="221F1F"/>
          <w:spacing w:val="40"/>
        </w:rPr>
        <w:t> </w:t>
      </w:r>
      <w:r>
        <w:rPr>
          <w:color w:val="221F1F"/>
        </w:rPr>
        <w:t>confidential and shall remain the property of SOLAS and shall not, without the express and written consent of SOLAS be disclosed to a third</w:t>
      </w:r>
      <w:r>
        <w:rPr>
          <w:color w:val="221F1F"/>
          <w:spacing w:val="40"/>
        </w:rPr>
        <w:t> </w:t>
      </w:r>
      <w:r>
        <w:rPr>
          <w:color w:val="221F1F"/>
        </w:rPr>
        <w:t>party and be used solely for the purposes of this contract. This order shall be treated as confidential and shall not be disclosed to any third party</w:t>
      </w:r>
      <w:r>
        <w:rPr>
          <w:color w:val="221F1F"/>
          <w:spacing w:val="40"/>
        </w:rPr>
        <w:t> </w:t>
      </w:r>
      <w:r>
        <w:rPr>
          <w:color w:val="221F1F"/>
        </w:rPr>
        <w:t>without the consent of SOLAS.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9" w:after="0"/>
        <w:ind w:left="1144" w:right="0" w:hanging="424"/>
        <w:jc w:val="left"/>
      </w:pPr>
      <w:r>
        <w:rPr>
          <w:color w:val="221F1F"/>
        </w:rPr>
        <w:t>THE </w:t>
      </w:r>
      <w:r>
        <w:rPr>
          <w:color w:val="221F1F"/>
          <w:spacing w:val="-2"/>
        </w:rPr>
        <w:t>CONTRACT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  <w:tab w:pos="1431" w:val="left" w:leader="none"/>
        </w:tabs>
        <w:spacing w:line="218" w:lineRule="auto" w:before="5" w:after="0"/>
        <w:ind w:left="1431" w:right="212" w:hanging="287"/>
        <w:jc w:val="left"/>
        <w:rPr>
          <w:sz w:val="16"/>
        </w:rPr>
      </w:pPr>
      <w:r>
        <w:rPr>
          <w:color w:val="221F1F"/>
          <w:sz w:val="16"/>
        </w:rPr>
        <w:t>Only this order and any amendment thereto, issued or confirmed on our printed or emailed form and signed by a duly authorised officer of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SOLAS constitute the binding contract.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  <w:tab w:pos="1431" w:val="left" w:leader="none"/>
        </w:tabs>
        <w:spacing w:line="223" w:lineRule="auto" w:before="0" w:after="0"/>
        <w:ind w:left="1431" w:right="127" w:hanging="286"/>
        <w:jc w:val="left"/>
        <w:rPr>
          <w:sz w:val="16"/>
        </w:rPr>
      </w:pPr>
      <w:r>
        <w:rPr>
          <w:color w:val="221F1F"/>
          <w:sz w:val="16"/>
        </w:rPr>
        <w:t>If</w:t>
      </w:r>
      <w:r>
        <w:rPr>
          <w:color w:val="221F1F"/>
          <w:spacing w:val="19"/>
          <w:sz w:val="16"/>
        </w:rPr>
        <w:t> </w:t>
      </w:r>
      <w:r>
        <w:rPr>
          <w:color w:val="221F1F"/>
          <w:sz w:val="16"/>
        </w:rPr>
        <w:t>this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order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is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the</w:t>
      </w:r>
      <w:r>
        <w:rPr>
          <w:color w:val="221F1F"/>
          <w:spacing w:val="20"/>
          <w:sz w:val="16"/>
        </w:rPr>
        <w:t> </w:t>
      </w:r>
      <w:r>
        <w:rPr>
          <w:color w:val="221F1F"/>
          <w:sz w:val="16"/>
        </w:rPr>
        <w:t>result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a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Request</w:t>
      </w:r>
      <w:r>
        <w:rPr>
          <w:color w:val="221F1F"/>
          <w:spacing w:val="20"/>
          <w:sz w:val="16"/>
        </w:rPr>
        <w:t> </w:t>
      </w:r>
      <w:r>
        <w:rPr>
          <w:color w:val="221F1F"/>
          <w:sz w:val="16"/>
        </w:rPr>
        <w:t>for</w:t>
      </w:r>
      <w:r>
        <w:rPr>
          <w:color w:val="221F1F"/>
          <w:spacing w:val="19"/>
          <w:sz w:val="16"/>
        </w:rPr>
        <w:t> </w:t>
      </w:r>
      <w:r>
        <w:rPr>
          <w:color w:val="221F1F"/>
          <w:sz w:val="16"/>
        </w:rPr>
        <w:t>Tender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or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previously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signed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Contract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then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the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Terms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and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Conditions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the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tender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or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contract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constitute the binding contract.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Therefore 12 (a) above is superceded.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23" w:lineRule="auto" w:before="0" w:after="0"/>
        <w:ind w:left="1430" w:right="128" w:hanging="285"/>
        <w:jc w:val="left"/>
        <w:rPr>
          <w:sz w:val="16"/>
        </w:rPr>
      </w:pPr>
      <w:r>
        <w:rPr>
          <w:color w:val="221F1F"/>
          <w:sz w:val="16"/>
        </w:rPr>
        <w:t>Any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terms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and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conditions</w:t>
      </w:r>
      <w:r>
        <w:rPr>
          <w:color w:val="221F1F"/>
          <w:spacing w:val="16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13"/>
          <w:sz w:val="16"/>
        </w:rPr>
        <w:t> </w:t>
      </w:r>
      <w:r>
        <w:rPr>
          <w:color w:val="221F1F"/>
          <w:sz w:val="16"/>
        </w:rPr>
        <w:t>the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supplier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which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are</w:t>
      </w:r>
      <w:r>
        <w:rPr>
          <w:color w:val="221F1F"/>
          <w:spacing w:val="14"/>
          <w:sz w:val="16"/>
        </w:rPr>
        <w:t> </w:t>
      </w:r>
      <w:r>
        <w:rPr>
          <w:color w:val="221F1F"/>
          <w:sz w:val="16"/>
        </w:rPr>
        <w:t>inconsistent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with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the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conditions</w:t>
      </w:r>
      <w:r>
        <w:rPr>
          <w:color w:val="221F1F"/>
          <w:spacing w:val="13"/>
          <w:sz w:val="16"/>
        </w:rPr>
        <w:t> </w:t>
      </w:r>
      <w:r>
        <w:rPr>
          <w:color w:val="221F1F"/>
          <w:sz w:val="16"/>
        </w:rPr>
        <w:t>of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this</w:t>
      </w:r>
      <w:r>
        <w:rPr>
          <w:color w:val="221F1F"/>
          <w:spacing w:val="13"/>
          <w:sz w:val="16"/>
        </w:rPr>
        <w:t> </w:t>
      </w:r>
      <w:r>
        <w:rPr>
          <w:color w:val="221F1F"/>
          <w:sz w:val="16"/>
        </w:rPr>
        <w:t>order</w:t>
      </w:r>
      <w:r>
        <w:rPr>
          <w:color w:val="221F1F"/>
          <w:spacing w:val="18"/>
          <w:sz w:val="16"/>
        </w:rPr>
        <w:t> </w:t>
      </w:r>
      <w:r>
        <w:rPr>
          <w:color w:val="221F1F"/>
          <w:sz w:val="16"/>
        </w:rPr>
        <w:t>shall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not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be</w:t>
      </w:r>
      <w:r>
        <w:rPr>
          <w:color w:val="221F1F"/>
          <w:spacing w:val="14"/>
          <w:sz w:val="16"/>
        </w:rPr>
        <w:t> </w:t>
      </w:r>
      <w:r>
        <w:rPr>
          <w:color w:val="221F1F"/>
          <w:sz w:val="16"/>
        </w:rPr>
        <w:t>binding</w:t>
      </w:r>
      <w:r>
        <w:rPr>
          <w:color w:val="221F1F"/>
          <w:spacing w:val="15"/>
          <w:sz w:val="16"/>
        </w:rPr>
        <w:t> </w:t>
      </w:r>
      <w:r>
        <w:rPr>
          <w:color w:val="221F1F"/>
          <w:sz w:val="16"/>
        </w:rPr>
        <w:t>on</w:t>
      </w:r>
      <w:r>
        <w:rPr>
          <w:color w:val="221F1F"/>
          <w:spacing w:val="17"/>
          <w:sz w:val="16"/>
        </w:rPr>
        <w:t> </w:t>
      </w:r>
      <w:r>
        <w:rPr>
          <w:color w:val="221F1F"/>
          <w:sz w:val="16"/>
        </w:rPr>
        <w:t>SOLAS except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where made in accordance with (b) above.</w:t>
      </w:r>
    </w:p>
    <w:p>
      <w:pPr>
        <w:pStyle w:val="Heading2"/>
        <w:numPr>
          <w:ilvl w:val="0"/>
          <w:numId w:val="1"/>
        </w:numPr>
        <w:tabs>
          <w:tab w:pos="1144" w:val="left" w:leader="none"/>
        </w:tabs>
        <w:spacing w:line="176" w:lineRule="exact" w:before="151" w:after="0"/>
        <w:ind w:left="1144" w:right="0" w:hanging="424"/>
        <w:jc w:val="left"/>
      </w:pPr>
      <w:r>
        <w:rPr>
          <w:color w:val="221F1F"/>
          <w:spacing w:val="-2"/>
        </w:rPr>
        <w:t>TAX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CLEARANCE</w:t>
      </w:r>
    </w:p>
    <w:p>
      <w:pPr>
        <w:pStyle w:val="BodyText"/>
        <w:spacing w:line="218" w:lineRule="auto" w:before="5"/>
        <w:ind w:left="1145" w:right="267" w:hanging="2"/>
        <w:jc w:val="left"/>
      </w:pPr>
      <w:r>
        <w:rPr>
          <w:color w:val="221F1F"/>
        </w:rPr>
        <w:t>In order to comply with Department of Finance requirements, payments in respect of this</w:t>
      </w:r>
      <w:r>
        <w:rPr>
          <w:color w:val="221F1F"/>
          <w:spacing w:val="-1"/>
        </w:rPr>
        <w:t> </w:t>
      </w:r>
      <w:r>
        <w:rPr>
          <w:color w:val="221F1F"/>
        </w:rPr>
        <w:t>order are at all times conditional on the supplier</w:t>
      </w:r>
      <w:r>
        <w:rPr>
          <w:color w:val="221F1F"/>
          <w:spacing w:val="40"/>
        </w:rPr>
        <w:t> </w:t>
      </w:r>
      <w:r>
        <w:rPr/>
        <w:t>having a current </w:t>
      </w:r>
      <w:r>
        <w:rPr>
          <w:color w:val="221F1F"/>
        </w:rPr>
        <w:t>Tax Clearance Certificate issued by the Revenue Commissioners.</w:t>
      </w:r>
    </w:p>
    <w:p>
      <w:pPr>
        <w:spacing w:before="131"/>
        <w:ind w:left="12" w:right="0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spacing w:val="-2"/>
          <w:sz w:val="14"/>
        </w:rPr>
        <w:t>T&amp;C17-</w:t>
      </w:r>
      <w:r>
        <w:rPr>
          <w:rFonts w:ascii="Calibri"/>
          <w:i/>
          <w:spacing w:val="-5"/>
          <w:sz w:val="14"/>
        </w:rPr>
        <w:t>05</w:t>
      </w:r>
    </w:p>
    <w:sectPr>
      <w:type w:val="continuous"/>
      <w:pgSz w:w="11910" w:h="16840"/>
      <w:pgMar w:top="6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4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429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-1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43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-1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29" w:hanging="285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107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6" w:line="176" w:lineRule="exact"/>
      <w:ind w:left="1144" w:hanging="424"/>
      <w:outlineLvl w:val="2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76" w:lineRule="exact"/>
      <w:ind w:left="1144" w:hanging="42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dc:title>Terms and conditions</dc:title>
  <dcterms:created xsi:type="dcterms:W3CDTF">2026-06-23T08:47:37Z</dcterms:created>
  <dcterms:modified xsi:type="dcterms:W3CDTF">2026-06-23T08:47:37Z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Created">
    <vt:filetime>2021-03-18T00:00:00Z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2026-06-23T00:00:00Z</vt:filetime>
  </property>
  <property fmtid="{D5CDD505-2E9C-101B-9397-08002B2CF9AE}" pid="6" name="Order">
    <vt:lpwstr>488000.000000</vt:lpwstr>
  </property>
  <property fmtid="{D5CDD505-2E9C-101B-9397-08002B2CF9AE}" pid="7" name="Producer">
    <vt:lpwstr>Adobe PDF Library 21.1.177</vt:lpwstr>
  </property>
  <property fmtid="{D5CDD505-2E9C-101B-9397-08002B2CF9AE}" pid="8" name="SourceModified">
    <vt:lpwstr/>
  </property>
</Properties>
</file>