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FD" w:rsidRDefault="009C53FD" w:rsidP="009C53FD">
      <w:pPr>
        <w:pStyle w:val="Default"/>
      </w:pPr>
      <w:bookmarkStart w:id="0" w:name="_GoBack"/>
      <w:bookmarkEnd w:id="0"/>
    </w:p>
    <w:p w:rsidR="009C53FD" w:rsidRPr="00CC789C" w:rsidRDefault="009C53FD" w:rsidP="00492E47">
      <w:pPr>
        <w:pStyle w:val="Default"/>
        <w:jc w:val="center"/>
        <w:rPr>
          <w:b/>
          <w:bCs/>
          <w:sz w:val="40"/>
          <w:szCs w:val="40"/>
        </w:rPr>
      </w:pPr>
      <w:r w:rsidRPr="00CC789C">
        <w:rPr>
          <w:b/>
          <w:bCs/>
          <w:sz w:val="40"/>
          <w:szCs w:val="40"/>
        </w:rPr>
        <w:t>Fees and charges</w:t>
      </w:r>
    </w:p>
    <w:p w:rsidR="009C53FD" w:rsidRDefault="00AF0283" w:rsidP="009C53FD">
      <w:pPr>
        <w:pStyle w:val="Default"/>
        <w:rPr>
          <w:sz w:val="36"/>
          <w:szCs w:val="36"/>
        </w:rPr>
      </w:pPr>
      <w:r>
        <w:rPr>
          <w:lang w:val="en"/>
        </w:rPr>
        <w:t>Section 27 of the Freedom of Information Act 2014 provides for fees and charges. The current fees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1843"/>
        <w:gridCol w:w="2755"/>
      </w:tblGrid>
      <w:tr w:rsidR="00A71556" w:rsidRPr="00A71556" w:rsidTr="00EB49E5">
        <w:tc>
          <w:tcPr>
            <w:tcW w:w="4644" w:type="dxa"/>
          </w:tcPr>
          <w:p w:rsidR="00A71556" w:rsidRPr="00AF0283" w:rsidRDefault="00AF0283" w:rsidP="009C53FD">
            <w:pPr>
              <w:pStyle w:val="Default"/>
              <w:rPr>
                <w:b/>
              </w:rPr>
            </w:pPr>
            <w:r w:rsidRPr="00AF0283">
              <w:rPr>
                <w:b/>
              </w:rPr>
              <w:t>Type of Request or Application</w:t>
            </w:r>
          </w:p>
        </w:tc>
        <w:tc>
          <w:tcPr>
            <w:tcW w:w="1843" w:type="dxa"/>
          </w:tcPr>
          <w:p w:rsidR="00A71556" w:rsidRPr="00A71556" w:rsidRDefault="00A71556" w:rsidP="009C53FD">
            <w:pPr>
              <w:pStyle w:val="Default"/>
              <w:rPr>
                <w:b/>
              </w:rPr>
            </w:pPr>
            <w:r>
              <w:rPr>
                <w:b/>
              </w:rPr>
              <w:t>Standard Fee</w:t>
            </w:r>
          </w:p>
        </w:tc>
        <w:tc>
          <w:tcPr>
            <w:tcW w:w="2755" w:type="dxa"/>
          </w:tcPr>
          <w:p w:rsidR="00A71556" w:rsidRPr="00A71556" w:rsidRDefault="00A71556" w:rsidP="009C53FD">
            <w:pPr>
              <w:pStyle w:val="Default"/>
            </w:pPr>
            <w:r w:rsidRPr="0055766B">
              <w:rPr>
                <w:b/>
                <w:bCs/>
              </w:rPr>
              <w:t xml:space="preserve">Reduced </w:t>
            </w:r>
            <w:r>
              <w:rPr>
                <w:b/>
                <w:bCs/>
              </w:rPr>
              <w:t>Fee for Persons covered by a Medical Card</w:t>
            </w:r>
          </w:p>
        </w:tc>
      </w:tr>
      <w:tr w:rsidR="00A71556" w:rsidRPr="00A71556" w:rsidTr="00EB49E5">
        <w:tc>
          <w:tcPr>
            <w:tcW w:w="4644" w:type="dxa"/>
          </w:tcPr>
          <w:p w:rsidR="00A71556" w:rsidRPr="00A71556" w:rsidRDefault="00A71556" w:rsidP="009C53FD">
            <w:pPr>
              <w:pStyle w:val="Default"/>
            </w:pPr>
            <w:r>
              <w:t xml:space="preserve">Initial Request for a record – </w:t>
            </w:r>
            <w:r w:rsidR="00EB49E5">
              <w:t>(</w:t>
            </w:r>
            <w:r>
              <w:t>Personal and non Personal</w:t>
            </w:r>
            <w:r w:rsidR="00EB49E5">
              <w:t>)</w:t>
            </w:r>
          </w:p>
        </w:tc>
        <w:tc>
          <w:tcPr>
            <w:tcW w:w="1843" w:type="dxa"/>
          </w:tcPr>
          <w:p w:rsidR="00A71556" w:rsidRPr="00A71556" w:rsidRDefault="00A71556" w:rsidP="009C53FD">
            <w:pPr>
              <w:pStyle w:val="Default"/>
            </w:pPr>
            <w:r>
              <w:t>Free</w:t>
            </w:r>
          </w:p>
        </w:tc>
        <w:tc>
          <w:tcPr>
            <w:tcW w:w="2755" w:type="dxa"/>
          </w:tcPr>
          <w:p w:rsidR="00A71556" w:rsidRPr="00A71556" w:rsidRDefault="00A71556" w:rsidP="009C53FD">
            <w:pPr>
              <w:pStyle w:val="Default"/>
            </w:pPr>
          </w:p>
        </w:tc>
      </w:tr>
      <w:tr w:rsidR="00A71556" w:rsidRPr="00A71556" w:rsidTr="00EB49E5">
        <w:tc>
          <w:tcPr>
            <w:tcW w:w="4644" w:type="dxa"/>
          </w:tcPr>
          <w:p w:rsidR="00A71556" w:rsidRDefault="00A71556" w:rsidP="009C53FD">
            <w:pPr>
              <w:pStyle w:val="Default"/>
            </w:pPr>
            <w:r>
              <w:t>Application for amendment containing incorrect information</w:t>
            </w:r>
          </w:p>
        </w:tc>
        <w:tc>
          <w:tcPr>
            <w:tcW w:w="1843" w:type="dxa"/>
          </w:tcPr>
          <w:p w:rsidR="00A71556" w:rsidRDefault="00A71556" w:rsidP="009C53FD">
            <w:pPr>
              <w:pStyle w:val="Default"/>
            </w:pPr>
            <w:r>
              <w:t>Free</w:t>
            </w:r>
          </w:p>
        </w:tc>
        <w:tc>
          <w:tcPr>
            <w:tcW w:w="2755" w:type="dxa"/>
          </w:tcPr>
          <w:p w:rsidR="00A71556" w:rsidRPr="00A71556" w:rsidRDefault="00A71556" w:rsidP="009C53FD">
            <w:pPr>
              <w:pStyle w:val="Default"/>
            </w:pPr>
          </w:p>
        </w:tc>
      </w:tr>
      <w:tr w:rsidR="00EB49E5" w:rsidRPr="00A71556" w:rsidTr="00EB49E5">
        <w:tc>
          <w:tcPr>
            <w:tcW w:w="4644" w:type="dxa"/>
          </w:tcPr>
          <w:p w:rsidR="00EB49E5" w:rsidRDefault="00EB49E5" w:rsidP="009C53FD">
            <w:pPr>
              <w:pStyle w:val="Default"/>
            </w:pPr>
            <w:r>
              <w:t>Application for reasons for a decision affecting individual</w:t>
            </w:r>
          </w:p>
        </w:tc>
        <w:tc>
          <w:tcPr>
            <w:tcW w:w="1843" w:type="dxa"/>
          </w:tcPr>
          <w:p w:rsidR="00EB49E5" w:rsidRDefault="00EB49E5" w:rsidP="009C53FD">
            <w:pPr>
              <w:pStyle w:val="Default"/>
            </w:pPr>
            <w:r>
              <w:t>Free</w:t>
            </w:r>
          </w:p>
        </w:tc>
        <w:tc>
          <w:tcPr>
            <w:tcW w:w="2755" w:type="dxa"/>
          </w:tcPr>
          <w:p w:rsidR="00EB49E5" w:rsidRPr="00A71556" w:rsidRDefault="00EB49E5" w:rsidP="009C53FD">
            <w:pPr>
              <w:pStyle w:val="Default"/>
            </w:pPr>
          </w:p>
        </w:tc>
      </w:tr>
      <w:tr w:rsidR="00A71556" w:rsidRPr="00A71556" w:rsidTr="00EB49E5">
        <w:tc>
          <w:tcPr>
            <w:tcW w:w="4644" w:type="dxa"/>
          </w:tcPr>
          <w:p w:rsidR="00A71556" w:rsidRPr="00A71556" w:rsidRDefault="00A71556" w:rsidP="009C53FD">
            <w:pPr>
              <w:pStyle w:val="Default"/>
            </w:pPr>
            <w:r>
              <w:rPr>
                <w:bCs/>
              </w:rPr>
              <w:t>Internal Review of initial decision – under Sect 21</w:t>
            </w:r>
            <w:r w:rsidR="001C3E47">
              <w:rPr>
                <w:bCs/>
              </w:rPr>
              <w:t xml:space="preserve"> (non personal records)</w:t>
            </w:r>
          </w:p>
        </w:tc>
        <w:tc>
          <w:tcPr>
            <w:tcW w:w="1843" w:type="dxa"/>
          </w:tcPr>
          <w:p w:rsidR="00A71556" w:rsidRPr="00CC789C" w:rsidRDefault="00A71556" w:rsidP="00A71556">
            <w:pPr>
              <w:pStyle w:val="Default"/>
              <w:rPr>
                <w:bCs/>
              </w:rPr>
            </w:pPr>
            <w:r w:rsidRPr="00CC789C">
              <w:rPr>
                <w:bCs/>
              </w:rPr>
              <w:t>€30</w:t>
            </w:r>
          </w:p>
          <w:p w:rsidR="00A71556" w:rsidRPr="00A71556" w:rsidRDefault="00A71556" w:rsidP="009C53FD">
            <w:pPr>
              <w:pStyle w:val="Default"/>
            </w:pPr>
          </w:p>
        </w:tc>
        <w:tc>
          <w:tcPr>
            <w:tcW w:w="2755" w:type="dxa"/>
          </w:tcPr>
          <w:p w:rsidR="00A71556" w:rsidRPr="00A71556" w:rsidRDefault="00A71556" w:rsidP="009C53FD">
            <w:pPr>
              <w:pStyle w:val="Default"/>
            </w:pPr>
            <w:r w:rsidRPr="00CC789C">
              <w:rPr>
                <w:bCs/>
              </w:rPr>
              <w:t>€10</w:t>
            </w:r>
          </w:p>
        </w:tc>
      </w:tr>
      <w:tr w:rsidR="00A71556" w:rsidRPr="00A71556" w:rsidTr="00EB49E5">
        <w:tc>
          <w:tcPr>
            <w:tcW w:w="4644" w:type="dxa"/>
          </w:tcPr>
          <w:p w:rsidR="00A71556" w:rsidRPr="00A71556" w:rsidRDefault="00A71556" w:rsidP="009C53FD">
            <w:pPr>
              <w:pStyle w:val="Default"/>
            </w:pPr>
            <w:r>
              <w:rPr>
                <w:bCs/>
              </w:rPr>
              <w:t>Appeal to Information Commissioner – under Sect 22</w:t>
            </w:r>
            <w:r w:rsidR="001C3E47">
              <w:rPr>
                <w:bCs/>
              </w:rPr>
              <w:t xml:space="preserve"> (non personal records)</w:t>
            </w:r>
          </w:p>
        </w:tc>
        <w:tc>
          <w:tcPr>
            <w:tcW w:w="1843" w:type="dxa"/>
          </w:tcPr>
          <w:p w:rsidR="00A71556" w:rsidRPr="00A71556" w:rsidRDefault="00A71556" w:rsidP="009C53FD">
            <w:pPr>
              <w:pStyle w:val="Default"/>
            </w:pPr>
            <w:r>
              <w:rPr>
                <w:bCs/>
              </w:rPr>
              <w:t>€50</w:t>
            </w:r>
          </w:p>
        </w:tc>
        <w:tc>
          <w:tcPr>
            <w:tcW w:w="2755" w:type="dxa"/>
          </w:tcPr>
          <w:p w:rsidR="00A71556" w:rsidRPr="00A71556" w:rsidRDefault="00A71556" w:rsidP="009C53FD">
            <w:pPr>
              <w:pStyle w:val="Default"/>
            </w:pPr>
            <w:r>
              <w:rPr>
                <w:bCs/>
              </w:rPr>
              <w:t>€15</w:t>
            </w:r>
          </w:p>
        </w:tc>
      </w:tr>
      <w:tr w:rsidR="00A71556" w:rsidRPr="00A71556" w:rsidTr="00EB49E5">
        <w:tc>
          <w:tcPr>
            <w:tcW w:w="4644" w:type="dxa"/>
          </w:tcPr>
          <w:p w:rsidR="00A71556" w:rsidRPr="00A71556" w:rsidRDefault="00A71556" w:rsidP="009C53FD">
            <w:pPr>
              <w:pStyle w:val="Default"/>
            </w:pPr>
            <w:r>
              <w:rPr>
                <w:bCs/>
              </w:rPr>
              <w:t>Third Party Appeal to Information Commissioner – Sect 38/22</w:t>
            </w:r>
          </w:p>
        </w:tc>
        <w:tc>
          <w:tcPr>
            <w:tcW w:w="1843" w:type="dxa"/>
          </w:tcPr>
          <w:p w:rsidR="00A71556" w:rsidRPr="00A71556" w:rsidRDefault="00A71556" w:rsidP="009C53FD">
            <w:pPr>
              <w:pStyle w:val="Default"/>
            </w:pPr>
            <w:r w:rsidRPr="00CC789C">
              <w:rPr>
                <w:bCs/>
              </w:rPr>
              <w:t>€15</w:t>
            </w:r>
          </w:p>
        </w:tc>
        <w:tc>
          <w:tcPr>
            <w:tcW w:w="2755" w:type="dxa"/>
          </w:tcPr>
          <w:p w:rsidR="00A71556" w:rsidRPr="00A71556" w:rsidRDefault="00A71556" w:rsidP="009C53FD">
            <w:pPr>
              <w:pStyle w:val="Default"/>
            </w:pPr>
          </w:p>
        </w:tc>
      </w:tr>
    </w:tbl>
    <w:p w:rsidR="00A71556" w:rsidRPr="00A71556" w:rsidRDefault="00A71556" w:rsidP="009C53F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5"/>
        <w:gridCol w:w="4336"/>
      </w:tblGrid>
      <w:tr w:rsidR="009C53FD" w:rsidTr="001D128B">
        <w:trPr>
          <w:trHeight w:val="234"/>
        </w:trPr>
        <w:tc>
          <w:tcPr>
            <w:tcW w:w="4335" w:type="dxa"/>
          </w:tcPr>
          <w:p w:rsidR="009C53FD" w:rsidRDefault="009C53F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336" w:type="dxa"/>
          </w:tcPr>
          <w:p w:rsidR="009C53FD" w:rsidRDefault="009C53F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1D128B" w:rsidRPr="00CC789C" w:rsidRDefault="001D128B" w:rsidP="001D12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89C">
        <w:rPr>
          <w:rFonts w:ascii="Times New Roman" w:hAnsi="Times New Roman" w:cs="Times New Roman"/>
          <w:color w:val="000000"/>
          <w:sz w:val="24"/>
          <w:szCs w:val="24"/>
        </w:rPr>
        <w:t xml:space="preserve">SOLAS will always help a requester who is making a request for information but where these fees apply, </w:t>
      </w:r>
      <w:r w:rsidR="00B344BB">
        <w:rPr>
          <w:rFonts w:ascii="Times New Roman" w:hAnsi="Times New Roman" w:cs="Times New Roman"/>
          <w:color w:val="000000"/>
          <w:sz w:val="24"/>
          <w:szCs w:val="24"/>
        </w:rPr>
        <w:t xml:space="preserve">we </w:t>
      </w:r>
      <w:r w:rsidRPr="00CC789C">
        <w:rPr>
          <w:rFonts w:ascii="Times New Roman" w:hAnsi="Times New Roman" w:cs="Times New Roman"/>
          <w:color w:val="000000"/>
          <w:sz w:val="24"/>
          <w:szCs w:val="24"/>
        </w:rPr>
        <w:t xml:space="preserve">cannot commence the formal process until the fee is paid. </w:t>
      </w:r>
    </w:p>
    <w:p w:rsidR="00A71556" w:rsidRPr="00A71556" w:rsidRDefault="00A71556" w:rsidP="00A715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IE"/>
        </w:rPr>
      </w:pPr>
      <w:r w:rsidRPr="00A71556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en-IE"/>
        </w:rPr>
        <w:t>Charges for search, retrieval and copying of records</w:t>
      </w:r>
    </w:p>
    <w:p w:rsidR="00A71556" w:rsidRPr="00A71556" w:rsidRDefault="00A71556" w:rsidP="00A71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IE"/>
        </w:rPr>
      </w:pPr>
      <w:r w:rsidRPr="00A71556"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 xml:space="preserve">Charges may be applied for the time spent finding and retrieving records, and for any copying costs incurred </w:t>
      </w:r>
      <w:r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>i</w:t>
      </w:r>
      <w:r w:rsidRPr="00A71556"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>n providing the material requested. It is very unlikely that any charges will be applied in respect of personal records, except where a large number of records are involved.</w:t>
      </w:r>
    </w:p>
    <w:p w:rsidR="00A71556" w:rsidRDefault="00A71556" w:rsidP="00A71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IE"/>
        </w:rPr>
      </w:pPr>
      <w:r w:rsidRPr="00A71556"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>If the cost of search, retrieval and copying is €100 or less, no charge is applied. If the charge exceeds €100, full fees apply. You cannot be charged more than €500.</w:t>
      </w:r>
      <w:r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 xml:space="preserve"> </w:t>
      </w:r>
      <w:r w:rsidRPr="00A71556"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>If the estimated cost of search, retrieval and copying is more than €700</w:t>
      </w:r>
      <w:r w:rsidR="00EE3F1B"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>,</w:t>
      </w:r>
      <w:r w:rsidRPr="00A71556"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>SOLAS</w:t>
      </w:r>
      <w:r w:rsidRPr="00A71556"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 xml:space="preserve"> can refuse</w:t>
      </w:r>
      <w:r w:rsidR="00EB49E5"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 xml:space="preserve"> to process your request </w:t>
      </w:r>
      <w:r w:rsidRPr="00A71556">
        <w:rPr>
          <w:rFonts w:ascii="Times New Roman" w:eastAsia="Times New Roman" w:hAnsi="Times New Roman" w:cs="Times New Roman"/>
          <w:sz w:val="24"/>
          <w:szCs w:val="24"/>
          <w:lang w:val="en" w:eastAsia="en-IE"/>
        </w:rPr>
        <w:t>unless you refine your request to bring the search, retrieval and copying fees below this limit.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71556" w:rsidTr="00A71556">
        <w:tc>
          <w:tcPr>
            <w:tcW w:w="4621" w:type="dxa"/>
          </w:tcPr>
          <w:p w:rsidR="00A71556" w:rsidRPr="00A71556" w:rsidRDefault="00A71556" w:rsidP="00A715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IE"/>
              </w:rPr>
            </w:pPr>
            <w:r w:rsidRPr="00A71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IE"/>
              </w:rPr>
              <w:t>Type of Charge</w:t>
            </w:r>
          </w:p>
        </w:tc>
        <w:tc>
          <w:tcPr>
            <w:tcW w:w="4621" w:type="dxa"/>
          </w:tcPr>
          <w:p w:rsidR="00A71556" w:rsidRPr="00A71556" w:rsidRDefault="00A71556" w:rsidP="00A715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IE"/>
              </w:rPr>
            </w:pPr>
            <w:r w:rsidRPr="00A71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n-IE"/>
              </w:rPr>
              <w:t>Standard Charge</w:t>
            </w:r>
          </w:p>
        </w:tc>
      </w:tr>
      <w:tr w:rsidR="00A71556" w:rsidTr="00A71556">
        <w:tc>
          <w:tcPr>
            <w:tcW w:w="4621" w:type="dxa"/>
          </w:tcPr>
          <w:p w:rsidR="00A71556" w:rsidRDefault="00A71556" w:rsidP="00A715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IE"/>
              </w:rPr>
            </w:pPr>
            <w:r w:rsidRPr="00A71556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Search and retrieval of records</w:t>
            </w:r>
          </w:p>
        </w:tc>
        <w:tc>
          <w:tcPr>
            <w:tcW w:w="4621" w:type="dxa"/>
          </w:tcPr>
          <w:p w:rsidR="00A71556" w:rsidRDefault="00A71556" w:rsidP="00A715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IE"/>
              </w:rPr>
            </w:pPr>
            <w:r w:rsidRPr="00A71556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€20 per hour</w:t>
            </w:r>
          </w:p>
        </w:tc>
      </w:tr>
      <w:tr w:rsidR="00A71556" w:rsidTr="00A71556">
        <w:tc>
          <w:tcPr>
            <w:tcW w:w="4621" w:type="dxa"/>
          </w:tcPr>
          <w:p w:rsidR="00A71556" w:rsidRDefault="00A71556" w:rsidP="00A715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IE"/>
              </w:rPr>
            </w:pPr>
            <w:r w:rsidRPr="00A71556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Photocopying</w:t>
            </w:r>
          </w:p>
        </w:tc>
        <w:tc>
          <w:tcPr>
            <w:tcW w:w="4621" w:type="dxa"/>
            <w:vAlign w:val="center"/>
          </w:tcPr>
          <w:p w:rsidR="00A71556" w:rsidRPr="00A71556" w:rsidRDefault="00A71556" w:rsidP="00A715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A71556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4 cent per sheet </w:t>
            </w:r>
          </w:p>
        </w:tc>
      </w:tr>
      <w:tr w:rsidR="00A71556" w:rsidTr="00A71556">
        <w:tc>
          <w:tcPr>
            <w:tcW w:w="4621" w:type="dxa"/>
          </w:tcPr>
          <w:p w:rsidR="00A71556" w:rsidRDefault="00A71556" w:rsidP="00A715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IE"/>
              </w:rPr>
            </w:pPr>
            <w:r w:rsidRPr="00A71556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CD-ROM containing copy of documents</w:t>
            </w:r>
          </w:p>
        </w:tc>
        <w:tc>
          <w:tcPr>
            <w:tcW w:w="4621" w:type="dxa"/>
          </w:tcPr>
          <w:p w:rsidR="00A71556" w:rsidRDefault="00A71556" w:rsidP="00A715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IE"/>
              </w:rPr>
            </w:pPr>
            <w:r w:rsidRPr="00A71556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€10</w:t>
            </w:r>
          </w:p>
        </w:tc>
      </w:tr>
      <w:tr w:rsidR="00A71556" w:rsidTr="00A71556">
        <w:tc>
          <w:tcPr>
            <w:tcW w:w="4621" w:type="dxa"/>
          </w:tcPr>
          <w:p w:rsidR="00A71556" w:rsidRDefault="00A71556" w:rsidP="00A715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IE"/>
              </w:rPr>
            </w:pPr>
            <w:r w:rsidRPr="00A71556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Radiograph (X-ray) containing copy documents</w:t>
            </w:r>
          </w:p>
        </w:tc>
        <w:tc>
          <w:tcPr>
            <w:tcW w:w="4621" w:type="dxa"/>
          </w:tcPr>
          <w:p w:rsidR="00A71556" w:rsidRDefault="00A71556" w:rsidP="00A715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 w:eastAsia="en-IE"/>
              </w:rPr>
            </w:pPr>
            <w:r w:rsidRPr="00A71556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€6</w:t>
            </w:r>
          </w:p>
        </w:tc>
      </w:tr>
    </w:tbl>
    <w:p w:rsidR="001D128B" w:rsidRDefault="001D128B" w:rsidP="00A71556">
      <w:pPr>
        <w:spacing w:before="100" w:beforeAutospacing="1" w:after="100" w:afterAutospacing="1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sectPr w:rsidR="001D1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22BA2"/>
    <w:multiLevelType w:val="hybridMultilevel"/>
    <w:tmpl w:val="65F4B39C"/>
    <w:lvl w:ilvl="0" w:tplc="DA50C49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577C3"/>
    <w:multiLevelType w:val="hybridMultilevel"/>
    <w:tmpl w:val="739A65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FD"/>
    <w:rsid w:val="00057AC8"/>
    <w:rsid w:val="000B37E8"/>
    <w:rsid w:val="000C527C"/>
    <w:rsid w:val="001B40ED"/>
    <w:rsid w:val="001C3E47"/>
    <w:rsid w:val="001D128B"/>
    <w:rsid w:val="003057F9"/>
    <w:rsid w:val="00492E47"/>
    <w:rsid w:val="0055766B"/>
    <w:rsid w:val="00712BE7"/>
    <w:rsid w:val="0084688B"/>
    <w:rsid w:val="009C53FD"/>
    <w:rsid w:val="00A453B3"/>
    <w:rsid w:val="00A52F7A"/>
    <w:rsid w:val="00A71556"/>
    <w:rsid w:val="00AF0283"/>
    <w:rsid w:val="00B344BB"/>
    <w:rsid w:val="00CC789C"/>
    <w:rsid w:val="00D8317F"/>
    <w:rsid w:val="00EB49E5"/>
    <w:rsid w:val="00EE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5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D1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5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D1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Emma</dc:creator>
  <cp:lastModifiedBy>Kelly, Emma</cp:lastModifiedBy>
  <cp:revision>2</cp:revision>
  <dcterms:created xsi:type="dcterms:W3CDTF">2015-01-13T08:42:00Z</dcterms:created>
  <dcterms:modified xsi:type="dcterms:W3CDTF">2015-01-13T08:42:00Z</dcterms:modified>
</cp:coreProperties>
</file>