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8AECE" w14:textId="77777777" w:rsidR="00E86A32" w:rsidRDefault="00000000">
      <w:pPr>
        <w:jc w:val="center"/>
      </w:pPr>
      <w:r>
        <w:rPr>
          <w:rFonts w:ascii="Aptos Display" w:eastAsia="Aptos Display" w:hAnsi="Aptos Display" w:cs="Aptos Display"/>
          <w:b/>
          <w:color w:val="143E7D"/>
          <w:sz w:val="44"/>
        </w:rPr>
        <w:t>DOCX to PDF Renderer Failure Bait</w:t>
      </w:r>
    </w:p>
    <w:p w14:paraId="31C6D1E7" w14:textId="77777777" w:rsidR="00E86A32" w:rsidRDefault="00000000">
      <w:pPr>
        <w:jc w:val="center"/>
      </w:pPr>
      <w:r>
        <w:rPr>
          <w:rFonts w:eastAsia="Aptos" w:cs="Aptos"/>
          <w:sz w:val="22"/>
        </w:rPr>
        <w:t>Designed to look stable in Microsoft Word/Interop on Windows, but drift when fonts or image handling differ.</w:t>
      </w:r>
    </w:p>
    <w:tbl>
      <w:tblPr>
        <w:tblW w:w="0" w:type="auto"/>
        <w:jc w:val="center"/>
        <w:tblLayout w:type="fixed"/>
        <w:tblLook w:val="04A0" w:firstRow="1" w:lastRow="0" w:firstColumn="1" w:lastColumn="0" w:noHBand="0" w:noVBand="1"/>
      </w:tblPr>
      <w:tblGrid>
        <w:gridCol w:w="10312"/>
      </w:tblGrid>
      <w:tr w:rsidR="00E86A32" w14:paraId="53AFD5B1" w14:textId="77777777">
        <w:trPr>
          <w:jc w:val="center"/>
        </w:trPr>
        <w:tc>
          <w:tcPr>
            <w:tcW w:w="10312" w:type="dxa"/>
            <w:shd w:val="clear" w:color="auto" w:fill="EAF2FF"/>
            <w:tcMar>
              <w:top w:w="120" w:type="dxa"/>
              <w:left w:w="140" w:type="dxa"/>
              <w:bottom w:w="120" w:type="dxa"/>
              <w:right w:w="140" w:type="dxa"/>
            </w:tcMar>
          </w:tcPr>
          <w:p w14:paraId="336F662F" w14:textId="77777777" w:rsidR="00E86A32" w:rsidRDefault="00000000">
            <w:r>
              <w:rPr>
                <w:rFonts w:eastAsia="Aptos" w:cs="Aptos"/>
                <w:b/>
                <w:color w:val="143E7D"/>
              </w:rPr>
              <w:t xml:space="preserve">Why this file is useful: </w:t>
            </w:r>
            <w:r>
              <w:rPr>
                <w:rFonts w:eastAsia="Aptos" w:cs="Aptos"/>
              </w:rPr>
              <w:t>The typography is intentionally tight, uses Windows-centric fonts, includes emoji/symbol fallback, a transparent PNG with fine detail, and fixed-width tables that reflow when character widths change even slightly.</w:t>
            </w:r>
          </w:p>
        </w:tc>
      </w:tr>
    </w:tbl>
    <w:p w14:paraId="1BA5BF1F" w14:textId="77777777" w:rsidR="00E86A32" w:rsidRDefault="00E86A32"/>
    <w:p w14:paraId="40A1B73E" w14:textId="28679B6E" w:rsidR="00E86A32" w:rsidRDefault="00000000">
      <w:pPr>
        <w:spacing w:after="80"/>
      </w:pPr>
      <w:r>
        <w:rPr>
          <w:rFonts w:ascii="Aptos Display" w:eastAsia="Aptos Display" w:hAnsi="Aptos Display" w:cs="Aptos Display"/>
          <w:b/>
          <w:color w:val="143E7D"/>
          <w:sz w:val="22"/>
        </w:rPr>
        <w:t>Primary heading font: Aptos Display</w:t>
      </w:r>
      <w:r>
        <w:rPr>
          <w:rFonts w:eastAsia="Aptos" w:cs="Aptos"/>
          <w:sz w:val="22"/>
        </w:rPr>
        <w:t xml:space="preserve"> | </w:t>
      </w:r>
      <w:r w:rsidR="001056D2">
        <w:rPr>
          <w:rFonts w:eastAsia="Aptos" w:cs="Aptos"/>
          <w:sz w:val="22"/>
        </w:rPr>
        <w:t>Bahnschrift</w:t>
      </w:r>
      <w:r>
        <w:rPr>
          <w:rFonts w:eastAsia="Aptos" w:cs="Aptos"/>
          <w:sz w:val="22"/>
        </w:rPr>
        <w:t xml:space="preserve"> metric font: </w:t>
      </w:r>
      <w:r w:rsidRPr="00C259BD">
        <w:rPr>
          <w:rFonts w:ascii="Bahnschrift" w:eastAsia="Bahnschrift SemiCondensed" w:hAnsi="Bahnschrift" w:cs="Bahnschrift SemiCondensed"/>
          <w:b/>
          <w:color w:val="AA4114"/>
          <w:sz w:val="22"/>
        </w:rPr>
        <w:t xml:space="preserve">Bahnschrift </w:t>
      </w:r>
      <w:r w:rsidR="005A7378">
        <w:rPr>
          <w:rFonts w:ascii="Bahnschrift" w:eastAsia="Bahnschrift SemiCondensed" w:hAnsi="Bahnschrift" w:cs="Bahnschrift SemiCondensed"/>
          <w:b/>
          <w:color w:val="AA4114"/>
          <w:sz w:val="22"/>
        </w:rPr>
        <w:t>f</w:t>
      </w:r>
      <w:r w:rsidR="001056D2">
        <w:rPr>
          <w:rFonts w:ascii="Bahnschrift" w:eastAsia="Bahnschrift SemiCondensed" w:hAnsi="Bahnschrift" w:cs="Bahnschrift SemiCondensed"/>
          <w:b/>
          <w:color w:val="AA4114"/>
          <w:sz w:val="22"/>
        </w:rPr>
        <w:t>ont in red</w:t>
      </w:r>
      <w:r>
        <w:rPr>
          <w:rFonts w:eastAsia="Aptos" w:cs="Aptos"/>
          <w:sz w:val="22"/>
        </w:rPr>
        <w:t xml:space="preserve"> | Variable UI font: </w:t>
      </w:r>
      <w:r w:rsidRPr="003D3452">
        <w:rPr>
          <w:rFonts w:ascii="Segoe UI" w:eastAsia="Segoe UI Variable Small" w:hAnsi="Segoe UI" w:cs="Segoe UI"/>
          <w:b/>
          <w:color w:val="006E5F"/>
          <w:sz w:val="22"/>
        </w:rPr>
        <w:t>Segoe UI Variable</w:t>
      </w:r>
    </w:p>
    <w:p w14:paraId="16FF9B18" w14:textId="77777777" w:rsidR="00E86A32" w:rsidRDefault="00000000">
      <w:r>
        <w:rPr>
          <w:rFonts w:eastAsia="Aptos" w:cs="Aptos"/>
          <w:b/>
          <w:color w:val="000000"/>
        </w:rPr>
        <w:t xml:space="preserve">Expected glyphs: </w:t>
      </w:r>
      <w:r>
        <w:rPr>
          <w:rFonts w:ascii="Segoe UI Symbol" w:eastAsia="Segoe UI Symbol" w:hAnsi="Segoe UI Symbol" w:cs="Segoe UI Symbol"/>
          <w:color w:val="00603C"/>
          <w:sz w:val="24"/>
        </w:rPr>
        <w:t xml:space="preserve">☑ </w:t>
      </w:r>
      <w:r>
        <w:rPr>
          <w:rFonts w:ascii="Segoe UI Symbol" w:eastAsia="Segoe UI Symbol" w:hAnsi="Segoe UI Symbol" w:cs="Segoe UI Symbol"/>
          <w:color w:val="B96E00"/>
          <w:sz w:val="24"/>
        </w:rPr>
        <w:t xml:space="preserve">⚠ </w:t>
      </w:r>
      <w:r>
        <w:rPr>
          <w:rFonts w:ascii="Segoe UI Emoji" w:eastAsia="Segoe UI Emoji" w:hAnsi="Segoe UI Emoji" w:cs="Segoe UI Emoji"/>
          <w:color w:val="A0005A"/>
          <w:sz w:val="24"/>
        </w:rPr>
        <w:t xml:space="preserve">📌 </w:t>
      </w:r>
      <w:r>
        <w:rPr>
          <w:rFonts w:ascii="Segoe UI Emoji" w:eastAsia="Segoe UI Emoji" w:hAnsi="Segoe UI Emoji" w:cs="Segoe UI Emoji"/>
          <w:color w:val="0050A0"/>
          <w:sz w:val="24"/>
        </w:rPr>
        <w:t xml:space="preserve">📎 </w:t>
      </w:r>
      <w:r>
        <w:rPr>
          <w:rFonts w:eastAsia="Aptos" w:cs="Aptos"/>
          <w:color w:val="000000"/>
        </w:rPr>
        <w:t>The converter should preserve symbol choice and spacing.</w:t>
      </w:r>
    </w:p>
    <w:p w14:paraId="66EDABD4" w14:textId="77777777" w:rsidR="00E86A32" w:rsidRDefault="00000000">
      <w:r>
        <w:rPr>
          <w:rFonts w:eastAsia="Aptos" w:cs="Aptos"/>
          <w:b/>
          <w:color w:val="143E7D"/>
          <w:sz w:val="26"/>
        </w:rPr>
        <w:t>Section 1 - fixed-width table that changes when fonts are substituted</w:t>
      </w:r>
    </w:p>
    <w:tbl>
      <w:tblPr>
        <w:tblW w:w="0" w:type="auto"/>
        <w:jc w:val="center"/>
        <w:tblLayout w:type="fixed"/>
        <w:tblLook w:val="04A0" w:firstRow="1" w:lastRow="0" w:firstColumn="1" w:lastColumn="0" w:noHBand="0" w:noVBand="1"/>
      </w:tblPr>
      <w:tblGrid>
        <w:gridCol w:w="1247"/>
        <w:gridCol w:w="4309"/>
        <w:gridCol w:w="3402"/>
      </w:tblGrid>
      <w:tr w:rsidR="00E86A32" w14:paraId="307BE496" w14:textId="77777777">
        <w:trPr>
          <w:jc w:val="center"/>
        </w:trPr>
        <w:tc>
          <w:tcPr>
            <w:tcW w:w="1247" w:type="dxa"/>
            <w:shd w:val="clear" w:color="auto" w:fill="D9E7FF"/>
            <w:tcMar>
              <w:top w:w="110" w:type="dxa"/>
              <w:left w:w="110" w:type="dxa"/>
              <w:bottom w:w="110" w:type="dxa"/>
              <w:right w:w="110" w:type="dxa"/>
            </w:tcMar>
            <w:vAlign w:val="center"/>
          </w:tcPr>
          <w:p w14:paraId="46E5C220" w14:textId="77777777" w:rsidR="00E86A32" w:rsidRDefault="00000000">
            <w:pPr>
              <w:jc w:val="center"/>
            </w:pPr>
            <w:r>
              <w:rPr>
                <w:rFonts w:eastAsia="Aptos" w:cs="Aptos"/>
                <w:b/>
                <w:sz w:val="20"/>
              </w:rPr>
              <w:t>ID</w:t>
            </w:r>
          </w:p>
        </w:tc>
        <w:tc>
          <w:tcPr>
            <w:tcW w:w="4309" w:type="dxa"/>
            <w:shd w:val="clear" w:color="auto" w:fill="D9E7FF"/>
            <w:tcMar>
              <w:top w:w="110" w:type="dxa"/>
              <w:left w:w="110" w:type="dxa"/>
              <w:bottom w:w="110" w:type="dxa"/>
              <w:right w:w="110" w:type="dxa"/>
            </w:tcMar>
            <w:vAlign w:val="center"/>
          </w:tcPr>
          <w:p w14:paraId="775524DB" w14:textId="77777777" w:rsidR="00E86A32" w:rsidRDefault="00000000">
            <w:pPr>
              <w:jc w:val="center"/>
            </w:pPr>
            <w:r>
              <w:rPr>
                <w:rFonts w:eastAsia="Aptos" w:cs="Aptos"/>
                <w:b/>
                <w:sz w:val="20"/>
              </w:rPr>
              <w:t>Text that just fits with Windows fonts</w:t>
            </w:r>
          </w:p>
        </w:tc>
        <w:tc>
          <w:tcPr>
            <w:tcW w:w="3402" w:type="dxa"/>
            <w:shd w:val="clear" w:color="auto" w:fill="D9E7FF"/>
            <w:tcMar>
              <w:top w:w="110" w:type="dxa"/>
              <w:left w:w="110" w:type="dxa"/>
              <w:bottom w:w="110" w:type="dxa"/>
              <w:right w:w="110" w:type="dxa"/>
            </w:tcMar>
            <w:vAlign w:val="center"/>
          </w:tcPr>
          <w:p w14:paraId="1873E098" w14:textId="77777777" w:rsidR="00E86A32" w:rsidRDefault="00000000">
            <w:pPr>
              <w:jc w:val="center"/>
            </w:pPr>
            <w:r>
              <w:rPr>
                <w:rFonts w:eastAsia="Aptos" w:cs="Aptos"/>
                <w:b/>
                <w:sz w:val="20"/>
              </w:rPr>
              <w:t>Expected issue if substituted</w:t>
            </w:r>
          </w:p>
        </w:tc>
      </w:tr>
      <w:tr w:rsidR="00E86A32" w14:paraId="549E84BA" w14:textId="77777777">
        <w:trPr>
          <w:jc w:val="center"/>
        </w:trPr>
        <w:tc>
          <w:tcPr>
            <w:tcW w:w="1247" w:type="dxa"/>
            <w:tcMar>
              <w:top w:w="80" w:type="dxa"/>
              <w:left w:w="100" w:type="dxa"/>
              <w:bottom w:w="80" w:type="dxa"/>
              <w:right w:w="100" w:type="dxa"/>
            </w:tcMar>
            <w:vAlign w:val="center"/>
          </w:tcPr>
          <w:p w14:paraId="1BFD1F44" w14:textId="77777777" w:rsidR="00E86A32" w:rsidRDefault="00000000">
            <w:pPr>
              <w:jc w:val="center"/>
            </w:pPr>
            <w:r>
              <w:rPr>
                <w:rFonts w:eastAsia="Aptos" w:cs="Aptos"/>
                <w:sz w:val="19"/>
              </w:rPr>
              <w:t>A1</w:t>
            </w:r>
          </w:p>
        </w:tc>
        <w:tc>
          <w:tcPr>
            <w:tcW w:w="4309" w:type="dxa"/>
            <w:tcMar>
              <w:top w:w="80" w:type="dxa"/>
              <w:left w:w="100" w:type="dxa"/>
              <w:bottom w:w="80" w:type="dxa"/>
              <w:right w:w="100" w:type="dxa"/>
            </w:tcMar>
            <w:vAlign w:val="center"/>
          </w:tcPr>
          <w:p w14:paraId="58A54633" w14:textId="77777777" w:rsidR="00E86A32" w:rsidRDefault="00000000">
            <w:r>
              <w:rPr>
                <w:rFonts w:ascii="Bahnschrift SemiCondensed" w:eastAsia="Bahnschrift SemiCondensed" w:hAnsi="Bahnschrift SemiCondensed" w:cs="Bahnschrift SemiCondensed"/>
                <w:sz w:val="19"/>
              </w:rPr>
              <w:t>Bahnschrift SemiCondensed keeps this product code and note on one line.</w:t>
            </w:r>
          </w:p>
        </w:tc>
        <w:tc>
          <w:tcPr>
            <w:tcW w:w="3402" w:type="dxa"/>
            <w:tcMar>
              <w:top w:w="80" w:type="dxa"/>
              <w:left w:w="100" w:type="dxa"/>
              <w:bottom w:w="80" w:type="dxa"/>
              <w:right w:w="100" w:type="dxa"/>
            </w:tcMar>
            <w:vAlign w:val="center"/>
          </w:tcPr>
          <w:p w14:paraId="5782EBD7" w14:textId="77777777" w:rsidR="00E86A32" w:rsidRDefault="00000000">
            <w:pPr>
              <w:jc w:val="center"/>
            </w:pPr>
            <w:r>
              <w:rPr>
                <w:rFonts w:eastAsia="Aptos" w:cs="Aptos"/>
                <w:sz w:val="19"/>
              </w:rPr>
              <w:t>wraps if fallback font is wider</w:t>
            </w:r>
          </w:p>
        </w:tc>
      </w:tr>
      <w:tr w:rsidR="00E86A32" w14:paraId="123DFBB0" w14:textId="77777777">
        <w:trPr>
          <w:jc w:val="center"/>
        </w:trPr>
        <w:tc>
          <w:tcPr>
            <w:tcW w:w="1247" w:type="dxa"/>
            <w:tcMar>
              <w:top w:w="80" w:type="dxa"/>
              <w:left w:w="100" w:type="dxa"/>
              <w:bottom w:w="80" w:type="dxa"/>
              <w:right w:w="100" w:type="dxa"/>
            </w:tcMar>
            <w:vAlign w:val="center"/>
          </w:tcPr>
          <w:p w14:paraId="6056A371" w14:textId="77777777" w:rsidR="00E86A32" w:rsidRDefault="00000000">
            <w:pPr>
              <w:jc w:val="center"/>
            </w:pPr>
            <w:r>
              <w:rPr>
                <w:rFonts w:eastAsia="Aptos" w:cs="Aptos"/>
                <w:sz w:val="19"/>
              </w:rPr>
              <w:t>A2</w:t>
            </w:r>
          </w:p>
        </w:tc>
        <w:tc>
          <w:tcPr>
            <w:tcW w:w="4309" w:type="dxa"/>
            <w:tcMar>
              <w:top w:w="80" w:type="dxa"/>
              <w:left w:w="100" w:type="dxa"/>
              <w:bottom w:w="80" w:type="dxa"/>
              <w:right w:w="100" w:type="dxa"/>
            </w:tcMar>
            <w:vAlign w:val="center"/>
          </w:tcPr>
          <w:p w14:paraId="76C91804" w14:textId="77777777" w:rsidR="00E86A32" w:rsidRDefault="00000000">
            <w:r>
              <w:rPr>
                <w:rFonts w:ascii="Bahnschrift SemiCondensed" w:eastAsia="Bahnschrift SemiCondensed" w:hAnsi="Bahnschrift SemiCondensed" w:cs="Bahnschrift SemiCondensed"/>
                <w:sz w:val="19"/>
              </w:rPr>
              <w:t>Aptos Narrow or Aptos Display title metrics hold the row height steady.</w:t>
            </w:r>
          </w:p>
        </w:tc>
        <w:tc>
          <w:tcPr>
            <w:tcW w:w="3402" w:type="dxa"/>
            <w:tcMar>
              <w:top w:w="80" w:type="dxa"/>
              <w:left w:w="100" w:type="dxa"/>
              <w:bottom w:w="80" w:type="dxa"/>
              <w:right w:w="100" w:type="dxa"/>
            </w:tcMar>
            <w:vAlign w:val="center"/>
          </w:tcPr>
          <w:p w14:paraId="1BAB35DC" w14:textId="77777777" w:rsidR="00E86A32" w:rsidRDefault="00000000">
            <w:pPr>
              <w:jc w:val="center"/>
            </w:pPr>
            <w:r>
              <w:rPr>
                <w:rFonts w:eastAsia="Aptos" w:cs="Aptos"/>
                <w:sz w:val="19"/>
              </w:rPr>
              <w:t>row height expands and page flow changes</w:t>
            </w:r>
          </w:p>
        </w:tc>
      </w:tr>
      <w:tr w:rsidR="00E86A32" w14:paraId="06EDD71F" w14:textId="77777777">
        <w:trPr>
          <w:jc w:val="center"/>
        </w:trPr>
        <w:tc>
          <w:tcPr>
            <w:tcW w:w="1247" w:type="dxa"/>
            <w:tcMar>
              <w:top w:w="80" w:type="dxa"/>
              <w:left w:w="100" w:type="dxa"/>
              <w:bottom w:w="80" w:type="dxa"/>
              <w:right w:w="100" w:type="dxa"/>
            </w:tcMar>
            <w:vAlign w:val="center"/>
          </w:tcPr>
          <w:p w14:paraId="6EED3C57" w14:textId="77777777" w:rsidR="00E86A32" w:rsidRDefault="00000000">
            <w:pPr>
              <w:jc w:val="center"/>
            </w:pPr>
            <w:r>
              <w:rPr>
                <w:rFonts w:eastAsia="Aptos" w:cs="Aptos"/>
                <w:sz w:val="19"/>
              </w:rPr>
              <w:t>A3</w:t>
            </w:r>
          </w:p>
        </w:tc>
        <w:tc>
          <w:tcPr>
            <w:tcW w:w="4309" w:type="dxa"/>
            <w:tcMar>
              <w:top w:w="80" w:type="dxa"/>
              <w:left w:w="100" w:type="dxa"/>
              <w:bottom w:w="80" w:type="dxa"/>
              <w:right w:w="100" w:type="dxa"/>
            </w:tcMar>
            <w:vAlign w:val="center"/>
          </w:tcPr>
          <w:p w14:paraId="1E30D8A8" w14:textId="77777777" w:rsidR="00E86A32" w:rsidRDefault="00000000">
            <w:r>
              <w:rPr>
                <w:rFonts w:ascii="Bahnschrift SemiCondensed" w:eastAsia="Bahnschrift SemiCondensed" w:hAnsi="Bahnschrift SemiCondensed" w:cs="Bahnschrift SemiCondensed"/>
                <w:sz w:val="19"/>
              </w:rPr>
              <w:t>Segoe UI Variable UI labels stay visually aligned with adjacent emoji icons.</w:t>
            </w:r>
          </w:p>
        </w:tc>
        <w:tc>
          <w:tcPr>
            <w:tcW w:w="3402" w:type="dxa"/>
            <w:tcMar>
              <w:top w:w="80" w:type="dxa"/>
              <w:left w:w="100" w:type="dxa"/>
              <w:bottom w:w="80" w:type="dxa"/>
              <w:right w:w="100" w:type="dxa"/>
            </w:tcMar>
            <w:vAlign w:val="center"/>
          </w:tcPr>
          <w:p w14:paraId="52F47308" w14:textId="77777777" w:rsidR="00E86A32" w:rsidRDefault="00000000">
            <w:pPr>
              <w:jc w:val="center"/>
            </w:pPr>
            <w:r>
              <w:rPr>
                <w:rFonts w:eastAsia="Aptos" w:cs="Aptos"/>
                <w:sz w:val="19"/>
              </w:rPr>
              <w:t>icons and labels drift apart</w:t>
            </w:r>
          </w:p>
        </w:tc>
      </w:tr>
      <w:tr w:rsidR="00E86A32" w14:paraId="625BA20D" w14:textId="77777777">
        <w:trPr>
          <w:jc w:val="center"/>
        </w:trPr>
        <w:tc>
          <w:tcPr>
            <w:tcW w:w="1247" w:type="dxa"/>
            <w:tcMar>
              <w:top w:w="80" w:type="dxa"/>
              <w:left w:w="100" w:type="dxa"/>
              <w:bottom w:w="80" w:type="dxa"/>
              <w:right w:w="100" w:type="dxa"/>
            </w:tcMar>
            <w:vAlign w:val="center"/>
          </w:tcPr>
          <w:p w14:paraId="6D62723D" w14:textId="77777777" w:rsidR="00E86A32" w:rsidRDefault="00000000">
            <w:pPr>
              <w:jc w:val="center"/>
            </w:pPr>
            <w:r>
              <w:rPr>
                <w:rFonts w:eastAsia="Aptos" w:cs="Aptos"/>
                <w:sz w:val="19"/>
              </w:rPr>
              <w:t>A4</w:t>
            </w:r>
          </w:p>
        </w:tc>
        <w:tc>
          <w:tcPr>
            <w:tcW w:w="4309" w:type="dxa"/>
            <w:tcMar>
              <w:top w:w="80" w:type="dxa"/>
              <w:left w:w="100" w:type="dxa"/>
              <w:bottom w:w="80" w:type="dxa"/>
              <w:right w:w="100" w:type="dxa"/>
            </w:tcMar>
            <w:vAlign w:val="center"/>
          </w:tcPr>
          <w:p w14:paraId="74C56DEA" w14:textId="77777777" w:rsidR="00E86A32" w:rsidRDefault="00000000">
            <w:r>
              <w:rPr>
                <w:rFonts w:ascii="Bahnschrift SemiCondensed" w:eastAsia="Bahnschrift SemiCondensed" w:hAnsi="Bahnschrift SemiCondensed" w:cs="Bahnschrift SemiCondensed"/>
                <w:sz w:val="19"/>
              </w:rPr>
              <w:t>1234567890 ABCDEFGHIJKLMN / invoice-note ref 2026-03 should remain single-line.</w:t>
            </w:r>
          </w:p>
        </w:tc>
        <w:tc>
          <w:tcPr>
            <w:tcW w:w="3402" w:type="dxa"/>
            <w:tcMar>
              <w:top w:w="80" w:type="dxa"/>
              <w:left w:w="100" w:type="dxa"/>
              <w:bottom w:w="80" w:type="dxa"/>
              <w:right w:w="100" w:type="dxa"/>
            </w:tcMar>
            <w:vAlign w:val="center"/>
          </w:tcPr>
          <w:p w14:paraId="5516AF9B" w14:textId="77777777" w:rsidR="00E86A32" w:rsidRDefault="00000000">
            <w:pPr>
              <w:jc w:val="center"/>
            </w:pPr>
            <w:r>
              <w:rPr>
                <w:rFonts w:eastAsia="Aptos" w:cs="Aptos"/>
                <w:sz w:val="19"/>
              </w:rPr>
              <w:t>digits wrap or clip</w:t>
            </w:r>
          </w:p>
        </w:tc>
      </w:tr>
      <w:tr w:rsidR="00E86A32" w14:paraId="1271B981" w14:textId="77777777">
        <w:trPr>
          <w:jc w:val="center"/>
        </w:trPr>
        <w:tc>
          <w:tcPr>
            <w:tcW w:w="1247" w:type="dxa"/>
            <w:tcMar>
              <w:top w:w="80" w:type="dxa"/>
              <w:left w:w="100" w:type="dxa"/>
              <w:bottom w:w="80" w:type="dxa"/>
              <w:right w:w="100" w:type="dxa"/>
            </w:tcMar>
            <w:vAlign w:val="center"/>
          </w:tcPr>
          <w:p w14:paraId="7064B745" w14:textId="77777777" w:rsidR="00E86A32" w:rsidRDefault="00000000">
            <w:pPr>
              <w:jc w:val="center"/>
            </w:pPr>
            <w:r>
              <w:rPr>
                <w:rFonts w:eastAsia="Aptos" w:cs="Aptos"/>
                <w:sz w:val="19"/>
              </w:rPr>
              <w:t>A5</w:t>
            </w:r>
          </w:p>
        </w:tc>
        <w:tc>
          <w:tcPr>
            <w:tcW w:w="4309" w:type="dxa"/>
            <w:tcMar>
              <w:top w:w="80" w:type="dxa"/>
              <w:left w:w="100" w:type="dxa"/>
              <w:bottom w:w="80" w:type="dxa"/>
              <w:right w:w="100" w:type="dxa"/>
            </w:tcMar>
            <w:vAlign w:val="center"/>
          </w:tcPr>
          <w:p w14:paraId="62D7B725" w14:textId="77777777" w:rsidR="00E86A32" w:rsidRDefault="00000000">
            <w:r>
              <w:rPr>
                <w:rFonts w:ascii="Bahnschrift SemiCondensed" w:eastAsia="Bahnschrift SemiCondensed" w:hAnsi="Bahnschrift SemiCondensed" w:cs="Bahnschrift SemiCondensed"/>
                <w:sz w:val="19"/>
              </w:rPr>
              <w:t>This disclaimer paragraph ends exactly above the image block when widths are correct.</w:t>
            </w:r>
          </w:p>
        </w:tc>
        <w:tc>
          <w:tcPr>
            <w:tcW w:w="3402" w:type="dxa"/>
            <w:tcMar>
              <w:top w:w="80" w:type="dxa"/>
              <w:left w:w="100" w:type="dxa"/>
              <w:bottom w:w="80" w:type="dxa"/>
              <w:right w:w="100" w:type="dxa"/>
            </w:tcMar>
            <w:vAlign w:val="center"/>
          </w:tcPr>
          <w:p w14:paraId="0899E1A2" w14:textId="77777777" w:rsidR="00E86A32" w:rsidRDefault="00000000">
            <w:pPr>
              <w:jc w:val="center"/>
            </w:pPr>
            <w:r>
              <w:rPr>
                <w:rFonts w:eastAsia="Aptos" w:cs="Aptos"/>
                <w:sz w:val="19"/>
              </w:rPr>
              <w:t>paragraph pushes image lower</w:t>
            </w:r>
          </w:p>
        </w:tc>
      </w:tr>
    </w:tbl>
    <w:p w14:paraId="2FE63F70" w14:textId="77777777" w:rsidR="00E86A32" w:rsidRDefault="00000000">
      <w:pPr>
        <w:spacing w:before="200"/>
      </w:pPr>
      <w:r>
        <w:rPr>
          <w:rFonts w:eastAsia="Aptos" w:cs="Aptos"/>
          <w:b/>
          <w:color w:val="143E7D"/>
          <w:sz w:val="26"/>
        </w:rPr>
        <w:t>Section 2 - transparent PNG with fine detail, scaled down aggressively</w:t>
      </w:r>
    </w:p>
    <w:p w14:paraId="2F1C80A8" w14:textId="77777777" w:rsidR="00E86A32" w:rsidRDefault="00000000">
      <w:pPr>
        <w:jc w:val="center"/>
      </w:pPr>
      <w:r>
        <w:rPr>
          <w:noProof/>
        </w:rPr>
        <w:lastRenderedPageBreak/>
        <w:drawing>
          <wp:inline distT="0" distB="0" distL="0" distR="0" wp14:anchorId="2343B75C" wp14:editId="77DE14E4">
            <wp:extent cx="5580000" cy="22827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_logo.png"/>
                    <pic:cNvPicPr/>
                  </pic:nvPicPr>
                  <pic:blipFill>
                    <a:blip r:embed="rId8"/>
                    <a:stretch>
                      <a:fillRect/>
                    </a:stretch>
                  </pic:blipFill>
                  <pic:spPr>
                    <a:xfrm>
                      <a:off x="0" y="0"/>
                      <a:ext cx="5580000" cy="2282727"/>
                    </a:xfrm>
                    <a:prstGeom prst="rect">
                      <a:avLst/>
                    </a:prstGeom>
                  </pic:spPr>
                </pic:pic>
              </a:graphicData>
            </a:graphic>
          </wp:inline>
        </w:drawing>
      </w:r>
    </w:p>
    <w:p w14:paraId="7380861E" w14:textId="77777777" w:rsidR="00E86A32" w:rsidRDefault="00000000">
      <w:pPr>
        <w:jc w:val="center"/>
      </w:pPr>
      <w:r>
        <w:rPr>
          <w:rFonts w:eastAsia="Aptos" w:cs="Aptos"/>
          <w:color w:val="5A5A5A"/>
          <w:sz w:val="19"/>
        </w:rPr>
        <w:t>Figure 1. Transparent logo image with microtext, thin lines, and overlapping translucent panels.</w:t>
      </w:r>
    </w:p>
    <w:p w14:paraId="24A62BFB" w14:textId="77777777" w:rsidR="00E86A32" w:rsidRDefault="00E86A32">
      <w:pPr>
        <w:sectPr w:rsidR="00E86A32">
          <w:headerReference w:type="default" r:id="rId9"/>
          <w:footerReference w:type="default" r:id="rId10"/>
          <w:pgSz w:w="12240" w:h="15840"/>
          <w:pgMar w:top="850" w:right="964" w:bottom="850" w:left="964" w:header="720" w:footer="720" w:gutter="0"/>
          <w:cols w:space="720"/>
          <w:docGrid w:linePitch="360"/>
        </w:sectPr>
      </w:pPr>
    </w:p>
    <w:p w14:paraId="15F1F20F" w14:textId="77777777" w:rsidR="00E86A32" w:rsidRDefault="00000000">
      <w:pPr>
        <w:jc w:val="center"/>
      </w:pPr>
      <w:r>
        <w:lastRenderedPageBreak/>
        <w:t>Landscape page - line-break and symbol layout block</w:t>
      </w:r>
    </w:p>
    <w:tbl>
      <w:tblPr>
        <w:tblW w:w="0" w:type="auto"/>
        <w:jc w:val="center"/>
        <w:tblLayout w:type="fixed"/>
        <w:tblLook w:val="04A0" w:firstRow="1" w:lastRow="0" w:firstColumn="1" w:lastColumn="0" w:noHBand="0" w:noVBand="1"/>
      </w:tblPr>
      <w:tblGrid>
        <w:gridCol w:w="6236"/>
        <w:gridCol w:w="7654"/>
      </w:tblGrid>
      <w:tr w:rsidR="00E86A32" w14:paraId="24F7F877" w14:textId="77777777">
        <w:trPr>
          <w:jc w:val="center"/>
        </w:trPr>
        <w:tc>
          <w:tcPr>
            <w:tcW w:w="6236" w:type="dxa"/>
            <w:shd w:val="clear" w:color="auto" w:fill="F8F9FB"/>
            <w:tcMar>
              <w:top w:w="110" w:type="dxa"/>
              <w:left w:w="120" w:type="dxa"/>
              <w:bottom w:w="110" w:type="dxa"/>
              <w:right w:w="120" w:type="dxa"/>
            </w:tcMar>
          </w:tcPr>
          <w:p w14:paraId="7DDFF3ED" w14:textId="77777777" w:rsidR="00E86A32" w:rsidRDefault="00000000">
            <w:r>
              <w:rPr>
                <w:rFonts w:eastAsia="Aptos" w:cs="Aptos"/>
                <w:b/>
                <w:color w:val="143E7D"/>
                <w:sz w:val="22"/>
              </w:rPr>
              <w:t>Checklist expected to remain aligned:</w:t>
            </w:r>
            <w:r>
              <w:rPr>
                <w:rFonts w:eastAsia="Aptos" w:cs="Aptos"/>
                <w:b/>
                <w:color w:val="143E7D"/>
                <w:sz w:val="22"/>
              </w:rPr>
              <w:br/>
            </w:r>
            <w:r>
              <w:rPr>
                <w:rFonts w:ascii="Segoe UI Symbol" w:eastAsia="Segoe UI Symbol" w:hAnsi="Segoe UI Symbol" w:cs="Segoe UI Symbol"/>
                <w:color w:val="00603C"/>
                <w:sz w:val="24"/>
              </w:rPr>
              <w:t xml:space="preserve">☑ </w:t>
            </w:r>
            <w:r>
              <w:rPr>
                <w:rFonts w:ascii="Bahnschrift SemiCondensed" w:eastAsia="Bahnschrift SemiCondensed" w:hAnsi="Bahnschrift SemiCondensed" w:cs="Bahnschrift SemiCondensed"/>
                <w:color w:val="000000"/>
              </w:rPr>
              <w:t>Metrics stable</w:t>
            </w:r>
            <w:r>
              <w:rPr>
                <w:rFonts w:ascii="Bahnschrift SemiCondensed" w:eastAsia="Bahnschrift SemiCondensed" w:hAnsi="Bahnschrift SemiCondensed" w:cs="Bahnschrift SemiCondensed"/>
                <w:color w:val="000000"/>
              </w:rPr>
              <w:br/>
            </w:r>
            <w:r>
              <w:rPr>
                <w:rFonts w:ascii="Segoe UI Symbol" w:eastAsia="Segoe UI Symbol" w:hAnsi="Segoe UI Symbol" w:cs="Segoe UI Symbol"/>
                <w:color w:val="00603C"/>
                <w:sz w:val="24"/>
              </w:rPr>
              <w:t xml:space="preserve">☑ </w:t>
            </w:r>
            <w:r>
              <w:rPr>
                <w:rFonts w:eastAsia="Aptos" w:cs="Aptos"/>
                <w:color w:val="000000"/>
              </w:rPr>
              <w:t>Emoji does not force fallback drift</w:t>
            </w:r>
            <w:r>
              <w:rPr>
                <w:rFonts w:eastAsia="Aptos" w:cs="Aptos"/>
                <w:color w:val="000000"/>
              </w:rPr>
              <w:br/>
            </w:r>
            <w:r>
              <w:rPr>
                <w:rFonts w:ascii="Segoe UI Symbol" w:eastAsia="Segoe UI Symbol" w:hAnsi="Segoe UI Symbol" w:cs="Segoe UI Symbol"/>
                <w:color w:val="00603C"/>
                <w:sz w:val="24"/>
              </w:rPr>
              <w:t xml:space="preserve">☑ </w:t>
            </w:r>
            <w:r>
              <w:rPr>
                <w:rFonts w:eastAsia="Aptos" w:cs="Aptos"/>
                <w:color w:val="000000"/>
              </w:rPr>
              <w:t>Header/footer pagination unchanged</w:t>
            </w:r>
            <w:r>
              <w:rPr>
                <w:rFonts w:eastAsia="Aptos" w:cs="Aptos"/>
                <w:color w:val="000000"/>
              </w:rPr>
              <w:br/>
            </w:r>
            <w:r>
              <w:rPr>
                <w:rFonts w:ascii="Segoe UI Symbol" w:eastAsia="Segoe UI Symbol" w:hAnsi="Segoe UI Symbol" w:cs="Segoe UI Symbol"/>
                <w:color w:val="00603C"/>
                <w:sz w:val="24"/>
              </w:rPr>
              <w:t xml:space="preserve">☑ </w:t>
            </w:r>
            <w:r>
              <w:rPr>
                <w:rFonts w:eastAsia="Aptos" w:cs="Aptos"/>
                <w:color w:val="000000"/>
              </w:rPr>
              <w:t>Transparent image stays crisp</w:t>
            </w:r>
          </w:p>
        </w:tc>
        <w:tc>
          <w:tcPr>
            <w:tcW w:w="7654" w:type="dxa"/>
            <w:shd w:val="clear" w:color="auto" w:fill="FFF8EE"/>
            <w:tcMar>
              <w:top w:w="110" w:type="dxa"/>
              <w:left w:w="120" w:type="dxa"/>
              <w:bottom w:w="110" w:type="dxa"/>
              <w:right w:w="120" w:type="dxa"/>
            </w:tcMar>
          </w:tcPr>
          <w:p w14:paraId="139DBA12" w14:textId="77777777" w:rsidR="00E86A32" w:rsidRDefault="00000000">
            <w:r>
              <w:t>This paragraph is intentionally tuned so that with the named Windows fonts the last sentence ends just above the final margin line. If Converter substitutes wider fonts, the paragraph becomes longer, the final line wraps, and the overall page balance changes in a very obvious way. Add your own brand font here if you want an even more reliable comparison on Linux. Expected stable ending: [END-OF-BLOCK ✅]</w:t>
            </w:r>
          </w:p>
        </w:tc>
      </w:tr>
    </w:tbl>
    <w:p w14:paraId="5803C259" w14:textId="77777777" w:rsidR="00E86A32" w:rsidRDefault="00000000">
      <w:pPr>
        <w:spacing w:before="160"/>
      </w:pPr>
      <w:r>
        <w:t>How to make this even harsher: replace the Aptos/Bahnschrift names with your own corporate fonts that are present for Word Interop but absent in the Converter host environment.</w:t>
      </w:r>
    </w:p>
    <w:sectPr w:rsidR="00E86A32" w:rsidSect="00034616">
      <w:pgSz w:w="15840" w:h="12240" w:orient="landscape"/>
      <w:pgMar w:top="680" w:right="794" w:bottom="680" w:left="79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0EEA6" w14:textId="77777777" w:rsidR="00A22B6E" w:rsidRDefault="00A22B6E">
      <w:pPr>
        <w:spacing w:after="0" w:line="240" w:lineRule="auto"/>
      </w:pPr>
      <w:r>
        <w:separator/>
      </w:r>
    </w:p>
  </w:endnote>
  <w:endnote w:type="continuationSeparator" w:id="0">
    <w:p w14:paraId="30060B3F" w14:textId="77777777" w:rsidR="00A22B6E" w:rsidRDefault="00A22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Bahnschrift">
    <w:panose1 w:val="020B0502040204020203"/>
    <w:charset w:val="00"/>
    <w:family w:val="swiss"/>
    <w:pitch w:val="variable"/>
    <w:sig w:usb0="A00002C7" w:usb1="00000002" w:usb2="00000000"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Variable Small">
    <w:panose1 w:val="00000000000000000000"/>
    <w:charset w:val="00"/>
    <w:family w:val="auto"/>
    <w:pitch w:val="variable"/>
    <w:sig w:usb0="A00002FF" w:usb1="0000000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5FB9E" w14:textId="77777777" w:rsidR="00E86A32" w:rsidRDefault="00000000">
    <w:pPr>
      <w:pStyle w:val="Footer"/>
      <w:jc w:val="center"/>
    </w:pPr>
    <w:r>
      <w:rPr>
        <w:rFonts w:ascii="Bahnschrift SemiCondensed" w:eastAsia="Bahnschrift SemiCondensed" w:hAnsi="Bahnschrift SemiCondensed" w:cs="Bahnschrift SemiCondensed"/>
        <w:sz w:val="18"/>
      </w:rPr>
      <w:t xml:space="preserve">Page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AEF21" w14:textId="77777777" w:rsidR="00A22B6E" w:rsidRDefault="00A22B6E">
      <w:pPr>
        <w:spacing w:after="0" w:line="240" w:lineRule="auto"/>
      </w:pPr>
      <w:r>
        <w:separator/>
      </w:r>
    </w:p>
  </w:footnote>
  <w:footnote w:type="continuationSeparator" w:id="0">
    <w:p w14:paraId="725FC2B1" w14:textId="77777777" w:rsidR="00A22B6E" w:rsidRDefault="00A22B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9BD80" w14:textId="77777777" w:rsidR="00E86A32" w:rsidRDefault="00000000">
    <w:pPr>
      <w:pStyle w:val="Header"/>
      <w:jc w:val="right"/>
    </w:pPr>
    <w:r>
      <w:rPr>
        <w:rFonts w:ascii="Segoe UI Variable Small" w:eastAsia="Segoe UI Variable Small" w:hAnsi="Segoe UI Variable Small" w:cs="Segoe UI Variable Small"/>
        <w:color w:val="5A5A5A"/>
        <w:sz w:val="18"/>
      </w:rPr>
      <w:t>CONFIDENTIAL - Segoe UI Variable / Aptos Narrow stress header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98066733">
    <w:abstractNumId w:val="8"/>
  </w:num>
  <w:num w:numId="2" w16cid:durableId="718942516">
    <w:abstractNumId w:val="6"/>
  </w:num>
  <w:num w:numId="3" w16cid:durableId="358624915">
    <w:abstractNumId w:val="5"/>
  </w:num>
  <w:num w:numId="4" w16cid:durableId="245455230">
    <w:abstractNumId w:val="4"/>
  </w:num>
  <w:num w:numId="5" w16cid:durableId="975989277">
    <w:abstractNumId w:val="7"/>
  </w:num>
  <w:num w:numId="6" w16cid:durableId="543640377">
    <w:abstractNumId w:val="3"/>
  </w:num>
  <w:num w:numId="7" w16cid:durableId="808010012">
    <w:abstractNumId w:val="2"/>
  </w:num>
  <w:num w:numId="8" w16cid:durableId="1569266341">
    <w:abstractNumId w:val="1"/>
  </w:num>
  <w:num w:numId="9" w16cid:durableId="780223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A0355"/>
    <w:rsid w:val="001056D2"/>
    <w:rsid w:val="0015074B"/>
    <w:rsid w:val="001959CB"/>
    <w:rsid w:val="00216A99"/>
    <w:rsid w:val="00220ACA"/>
    <w:rsid w:val="002475BE"/>
    <w:rsid w:val="0029639D"/>
    <w:rsid w:val="00326F90"/>
    <w:rsid w:val="003D3452"/>
    <w:rsid w:val="005A7378"/>
    <w:rsid w:val="00975E9A"/>
    <w:rsid w:val="00A22B6E"/>
    <w:rsid w:val="00AA1D8D"/>
    <w:rsid w:val="00B47730"/>
    <w:rsid w:val="00C259BD"/>
    <w:rsid w:val="00CB0664"/>
    <w:rsid w:val="00E86A3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48DEA8"/>
  <w14:defaultImageDpi w14:val="300"/>
  <w15:docId w15:val="{653A495F-3CA8-4A09-B938-0A2349FC5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hAnsi="Aptos"/>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337</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Paulius Petkus</cp:lastModifiedBy>
  <cp:revision>9</cp:revision>
  <cp:lastPrinted>2026-03-25T15:25:00Z</cp:lastPrinted>
  <dcterms:created xsi:type="dcterms:W3CDTF">2013-12-23T23:15:00Z</dcterms:created>
  <dcterms:modified xsi:type="dcterms:W3CDTF">2026-03-27T12:21:00Z</dcterms:modified>
  <cp:category/>
</cp:coreProperties>
</file>