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A1641F" w14:textId="57AB7F13" w:rsidR="00A05F8C" w:rsidRDefault="00A910DF" w:rsidP="0027376E">
      <w:pPr>
        <w:pStyle w:val="berschrift1"/>
        <w:numPr>
          <w:ilvl w:val="0"/>
          <w:numId w:val="0"/>
        </w:numPr>
        <w:jc w:val="both"/>
        <w:rPr>
          <w:lang w:val="fr-FR"/>
        </w:rPr>
      </w:pPr>
      <w:r>
        <w:rPr>
          <w:lang w:val="fr-FR"/>
        </w:rPr>
        <w:t>Une collection et son écrin : le musée Heidi Horten à Vienne</w:t>
      </w:r>
    </w:p>
    <w:p w14:paraId="3B671667" w14:textId="77777777" w:rsidR="0027376E" w:rsidRPr="0027376E" w:rsidRDefault="0027376E" w:rsidP="0027376E">
      <w:pPr>
        <w:rPr>
          <w:lang w:val="fr-FR"/>
        </w:rPr>
      </w:pPr>
    </w:p>
    <w:p w14:paraId="4D67C2EB" w14:textId="42BAE2E2" w:rsidR="0027376E" w:rsidRDefault="00A910DF" w:rsidP="0027376E">
      <w:pPr>
        <w:jc w:val="both"/>
        <w:rPr>
          <w:b/>
          <w:bCs/>
          <w:lang w:val="fr-FR"/>
        </w:rPr>
      </w:pPr>
      <w:r w:rsidRPr="00A910DF">
        <w:rPr>
          <w:b/>
          <w:bCs/>
          <w:lang w:val="fr-FR"/>
        </w:rPr>
        <w:t>Tout comme la collection elle-même, ce récent musée viennois est né d'une initiative privée. Il représente une nouvelle étape importante dans l'évolution constante de la riche collection Heidi Horten.</w:t>
      </w:r>
      <w:r w:rsidR="00633D6D">
        <w:rPr>
          <w:b/>
          <w:bCs/>
          <w:lang w:val="fr-FR"/>
        </w:rPr>
        <w:t xml:space="preserve"> Des expositions temporaires </w:t>
      </w:r>
      <w:r w:rsidR="00673C9E">
        <w:rPr>
          <w:b/>
          <w:bCs/>
          <w:lang w:val="fr-FR"/>
        </w:rPr>
        <w:t>viennent compléter</w:t>
      </w:r>
      <w:r w:rsidR="00633D6D">
        <w:rPr>
          <w:b/>
          <w:bCs/>
          <w:lang w:val="fr-FR"/>
        </w:rPr>
        <w:t xml:space="preserve"> la collection permanente. </w:t>
      </w:r>
    </w:p>
    <w:p w14:paraId="47DDF1A6" w14:textId="77777777" w:rsidR="00A910DF" w:rsidRDefault="00A910DF" w:rsidP="0027376E">
      <w:pPr>
        <w:jc w:val="both"/>
        <w:rPr>
          <w:b/>
          <w:bCs/>
          <w:lang w:val="fr-FR"/>
        </w:rPr>
      </w:pPr>
    </w:p>
    <w:p w14:paraId="4A9129EF" w14:textId="038F22E7" w:rsidR="00A910DF" w:rsidRPr="00A910DF" w:rsidRDefault="00A910DF" w:rsidP="00A910DF">
      <w:pPr>
        <w:pStyle w:val="berschrift3"/>
        <w:numPr>
          <w:ilvl w:val="0"/>
          <w:numId w:val="0"/>
        </w:numPr>
        <w:jc w:val="both"/>
        <w:rPr>
          <w:lang w:val="fr-FR"/>
        </w:rPr>
      </w:pPr>
      <w:r w:rsidRPr="00A910DF">
        <w:rPr>
          <w:lang w:val="fr-FR"/>
        </w:rPr>
        <w:t>Au cœur de Vienne, un musée d’art contemporain et sa collection permanente</w:t>
      </w:r>
    </w:p>
    <w:p w14:paraId="7058FFEA" w14:textId="77777777" w:rsidR="00A910DF" w:rsidRPr="00A910DF" w:rsidRDefault="00A910DF" w:rsidP="00A910DF">
      <w:pPr>
        <w:jc w:val="both"/>
        <w:rPr>
          <w:lang w:val="fr-FR"/>
        </w:rPr>
      </w:pPr>
      <w:r w:rsidRPr="00A910DF">
        <w:rPr>
          <w:lang w:val="fr-FR"/>
        </w:rPr>
        <w:t xml:space="preserve">Situé au cœur de Vienne, entre l'Opéra national, l'Albertina et le jardin impérial </w:t>
      </w:r>
      <w:proofErr w:type="spellStart"/>
      <w:r w:rsidRPr="00A910DF">
        <w:rPr>
          <w:lang w:val="fr-FR"/>
        </w:rPr>
        <w:t>Burggarten</w:t>
      </w:r>
      <w:proofErr w:type="spellEnd"/>
      <w:r w:rsidRPr="00A910DF">
        <w:rPr>
          <w:lang w:val="fr-FR"/>
        </w:rPr>
        <w:t xml:space="preserve">, la Collection Heidi Horten a ouvert ses portes en juin 2022. C’est l'ancien bâtiment de la chancellerie archiducale, construit en 1914 par l'archiduc Friedrich, qui a été pressenti comme écrin idéal pour accueillir la riche collection privée. Le cabinet d'architectes </w:t>
      </w:r>
      <w:proofErr w:type="spellStart"/>
      <w:r w:rsidRPr="00A910DF">
        <w:rPr>
          <w:lang w:val="fr-FR"/>
        </w:rPr>
        <w:t>next</w:t>
      </w:r>
      <w:proofErr w:type="spellEnd"/>
      <w:r w:rsidRPr="00A910DF">
        <w:rPr>
          <w:lang w:val="fr-FR"/>
        </w:rPr>
        <w:t xml:space="preserve"> </w:t>
      </w:r>
      <w:proofErr w:type="spellStart"/>
      <w:r w:rsidRPr="00A910DF">
        <w:rPr>
          <w:lang w:val="fr-FR"/>
        </w:rPr>
        <w:t>ENTERprise</w:t>
      </w:r>
      <w:proofErr w:type="spellEnd"/>
      <w:r w:rsidRPr="00A910DF">
        <w:rPr>
          <w:lang w:val="fr-FR"/>
        </w:rPr>
        <w:t xml:space="preserve"> fut mandaté pour le transformer en un musée d'art moderne et contemporain à l’architecture audacieuse.</w:t>
      </w:r>
    </w:p>
    <w:p w14:paraId="215EB9AF" w14:textId="77777777" w:rsidR="00A910DF" w:rsidRPr="00A910DF" w:rsidRDefault="00A910DF" w:rsidP="00A910DF">
      <w:pPr>
        <w:jc w:val="both"/>
        <w:rPr>
          <w:lang w:val="fr-FR"/>
        </w:rPr>
      </w:pPr>
    </w:p>
    <w:p w14:paraId="4A0623D9" w14:textId="77777777" w:rsidR="00A910DF" w:rsidRPr="00A910DF" w:rsidRDefault="00A910DF" w:rsidP="00A910DF">
      <w:pPr>
        <w:jc w:val="both"/>
        <w:rPr>
          <w:lang w:val="fr-FR"/>
        </w:rPr>
      </w:pPr>
      <w:r w:rsidRPr="00A910DF">
        <w:rPr>
          <w:lang w:val="fr-FR"/>
        </w:rPr>
        <w:t xml:space="preserve">Reliés par des escaliers flottants, les trois niveaux d'exposition offrent une surface généreuse d'environ 1 500 mètres carrés. Un studio avec terrasse accueille des activités éducatives créatives, un volet qui passionnait particulièrement la défunte collectionneuse Heidi </w:t>
      </w:r>
      <w:proofErr w:type="spellStart"/>
      <w:r w:rsidRPr="00A910DF">
        <w:rPr>
          <w:lang w:val="fr-FR"/>
        </w:rPr>
        <w:t>Goëss</w:t>
      </w:r>
      <w:proofErr w:type="spellEnd"/>
      <w:r w:rsidRPr="00A910DF">
        <w:rPr>
          <w:lang w:val="fr-FR"/>
        </w:rPr>
        <w:t>-Horten. Le « Salon de thé » est, quant à lui, un espace unique du musée en raison de sa dimension historique : conçu par les artistes autrichiens Markus Schinwald et Hans Kupelwieser, c'est l'endroit idéal pour se détendre après la visite du musée, un lieu où le visiteur s'immerge dans l'univers du collectionneur.</w:t>
      </w:r>
    </w:p>
    <w:p w14:paraId="689A1B4A" w14:textId="77777777" w:rsidR="00A910DF" w:rsidRPr="00A910DF" w:rsidRDefault="00A910DF" w:rsidP="00A910DF">
      <w:pPr>
        <w:jc w:val="both"/>
        <w:rPr>
          <w:lang w:val="fr-FR"/>
        </w:rPr>
      </w:pPr>
    </w:p>
    <w:p w14:paraId="5674F75F" w14:textId="7B15CF74" w:rsidR="00A910DF" w:rsidRPr="00A910DF" w:rsidRDefault="00A910DF" w:rsidP="00A910DF">
      <w:pPr>
        <w:jc w:val="both"/>
        <w:rPr>
          <w:lang w:val="fr-FR"/>
        </w:rPr>
      </w:pPr>
      <w:r w:rsidRPr="00A910DF">
        <w:rPr>
          <w:lang w:val="fr-FR"/>
        </w:rPr>
        <w:t>Un espace vert aménagé devant le musée constitue une oasis de tranquillité inattendue au milieu de l'agitation urbaine et accueille plusieurs sculptures de la collection.</w:t>
      </w:r>
    </w:p>
    <w:p w14:paraId="11D292B5" w14:textId="77777777" w:rsidR="00A910DF" w:rsidRPr="00A910DF" w:rsidRDefault="00A910DF" w:rsidP="00A910DF">
      <w:pPr>
        <w:rPr>
          <w:lang w:val="fr-FR"/>
        </w:rPr>
      </w:pPr>
    </w:p>
    <w:p w14:paraId="5EE78269" w14:textId="5896A650" w:rsidR="00A910DF" w:rsidRDefault="00A910DF" w:rsidP="0027376E">
      <w:pPr>
        <w:pStyle w:val="berschrift3"/>
        <w:numPr>
          <w:ilvl w:val="0"/>
          <w:numId w:val="0"/>
        </w:numPr>
        <w:jc w:val="both"/>
        <w:rPr>
          <w:lang w:val="fr-FR"/>
        </w:rPr>
      </w:pPr>
      <w:r w:rsidRPr="00A910DF">
        <w:rPr>
          <w:lang w:val="fr-FR"/>
        </w:rPr>
        <w:t xml:space="preserve">La collection permanente </w:t>
      </w:r>
      <w:proofErr w:type="gramStart"/>
      <w:r w:rsidRPr="00A910DF">
        <w:rPr>
          <w:lang w:val="fr-FR"/>
        </w:rPr>
        <w:t xml:space="preserve">KLIMT </w:t>
      </w:r>
      <w:r w:rsidRPr="00A910DF">
        <w:rPr>
          <w:rFonts w:ascii="Segoe UI Symbol" w:hAnsi="Segoe UI Symbol" w:cs="Segoe UI Symbol"/>
          <w:lang w:val="fr-FR"/>
        </w:rPr>
        <w:t>⮂</w:t>
      </w:r>
      <w:r w:rsidRPr="00A910DF">
        <w:rPr>
          <w:lang w:val="fr-FR"/>
        </w:rPr>
        <w:t xml:space="preserve"> WARHOL</w:t>
      </w:r>
      <w:proofErr w:type="gramEnd"/>
    </w:p>
    <w:p w14:paraId="2E115760" w14:textId="77777777" w:rsidR="00A910DF" w:rsidRPr="00A910DF" w:rsidRDefault="00A910DF" w:rsidP="00A910DF">
      <w:pPr>
        <w:jc w:val="both"/>
        <w:rPr>
          <w:lang w:val="fr-FR"/>
        </w:rPr>
      </w:pPr>
      <w:r w:rsidRPr="00A910DF">
        <w:rPr>
          <w:lang w:val="fr-FR"/>
        </w:rPr>
        <w:t xml:space="preserve">La sélection des œuvres pour la nouvelle exposition permanente « Klimt </w:t>
      </w:r>
      <w:r w:rsidRPr="00A910DF">
        <w:rPr>
          <w:rFonts w:ascii="Cambria Math" w:hAnsi="Cambria Math" w:cs="Cambria Math"/>
          <w:lang w:val="fr-FR"/>
        </w:rPr>
        <w:t>⇄</w:t>
      </w:r>
      <w:r w:rsidRPr="00A910DF">
        <w:rPr>
          <w:lang w:val="fr-FR"/>
        </w:rPr>
        <w:t xml:space="preserve"> Warhol </w:t>
      </w:r>
      <w:proofErr w:type="gramStart"/>
      <w:r w:rsidRPr="00A910DF">
        <w:rPr>
          <w:lang w:val="fr-FR"/>
        </w:rPr>
        <w:t>»  a</w:t>
      </w:r>
      <w:proofErr w:type="gramEnd"/>
      <w:r w:rsidRPr="00A910DF">
        <w:rPr>
          <w:lang w:val="fr-FR"/>
        </w:rPr>
        <w:t xml:space="preserve"> été réalisée par les visiteurs de la collection Heidi Horten dans le cadre du projet participatif innovant #ARTfluence. C’est dans un esprit de participation active, que des visiteurs volontaires ont été invités à voter pour leurs œuvres préférées et ainsi à influencer directement la nouvelle exposition permanente.</w:t>
      </w:r>
    </w:p>
    <w:p w14:paraId="6A51D131" w14:textId="77777777" w:rsidR="00A910DF" w:rsidRPr="00A910DF" w:rsidRDefault="00A910DF" w:rsidP="00A910DF">
      <w:pPr>
        <w:jc w:val="both"/>
        <w:rPr>
          <w:lang w:val="fr-FR"/>
        </w:rPr>
      </w:pPr>
    </w:p>
    <w:p w14:paraId="5FD34467" w14:textId="77777777" w:rsidR="00A910DF" w:rsidRPr="00A910DF" w:rsidRDefault="00A910DF" w:rsidP="00A910DF">
      <w:pPr>
        <w:jc w:val="both"/>
        <w:rPr>
          <w:lang w:val="fr-FR"/>
        </w:rPr>
      </w:pPr>
      <w:r w:rsidRPr="00A910DF">
        <w:rPr>
          <w:lang w:val="fr-FR"/>
        </w:rPr>
        <w:t xml:space="preserve">Les chefs-d’œuvre de l'histoire de l'art des XXe et XXIe siècles se retrouvent ainsi réunis dans l’exposition intitulée « Klimt to Warhol ». Des mouvements artistiques aussi variés que Vienne 1900, l'expressionnisme allemand, le surréalisme de René Magritte, l'abstraction européenne et américaine de l'après-guerre, la figuration de Francis Bacon, le pop art, les œuvres du </w:t>
      </w:r>
      <w:r w:rsidRPr="00A910DF">
        <w:rPr>
          <w:lang w:val="fr-FR"/>
        </w:rPr>
        <w:lastRenderedPageBreak/>
        <w:t>groupe d'artistes ZERO et les positions contemporaines sont réunis dans une présentation qui révèle la polyvalence de la collection Heidi Horten.</w:t>
      </w:r>
    </w:p>
    <w:p w14:paraId="46F40A12" w14:textId="77777777" w:rsidR="00A910DF" w:rsidRPr="00A910DF" w:rsidRDefault="00A910DF" w:rsidP="00A910DF">
      <w:pPr>
        <w:jc w:val="both"/>
        <w:rPr>
          <w:lang w:val="fr-FR"/>
        </w:rPr>
      </w:pPr>
    </w:p>
    <w:p w14:paraId="4564D15B" w14:textId="1B332889" w:rsidR="00A910DF" w:rsidRDefault="00A910DF" w:rsidP="00A910DF">
      <w:pPr>
        <w:jc w:val="both"/>
        <w:rPr>
          <w:lang w:val="fr-FR"/>
        </w:rPr>
      </w:pPr>
      <w:r w:rsidRPr="00A910DF">
        <w:rPr>
          <w:lang w:val="fr-FR"/>
        </w:rPr>
        <w:t>La présentation de l’exposition permanente a été confié à l'artiste autrichien Markus Schinwald, en étroite collaboration avec la collection Heidi Horten. La conception murale de l’artiste crée une atmosphère à la fois représentative et intime, les allusions aux intérieurs bourgeois reflètent les origines de la collection. Une cinquantaine d'œuvres se retrouvent ainsi intégrées dans un cadre artistique global où le visiteur est invité à entre en dialogue avec l'art. Deux éléments muraux comportant des hublots font écho à la conception du salon de thé et créent de nouvelles lignes de mire.</w:t>
      </w:r>
    </w:p>
    <w:p w14:paraId="34E92B5D" w14:textId="77777777" w:rsidR="00673C9E" w:rsidRDefault="00673C9E" w:rsidP="00A910DF">
      <w:pPr>
        <w:jc w:val="both"/>
        <w:rPr>
          <w:lang w:val="fr-FR"/>
        </w:rPr>
      </w:pPr>
    </w:p>
    <w:p w14:paraId="671C5B66" w14:textId="77777777" w:rsidR="00633D6D" w:rsidRDefault="00633D6D" w:rsidP="00A910DF">
      <w:pPr>
        <w:jc w:val="both"/>
        <w:rPr>
          <w:lang w:val="fr-FR"/>
        </w:rPr>
      </w:pPr>
    </w:p>
    <w:p w14:paraId="6FA8B907" w14:textId="3FBF4CD9" w:rsidR="00633D6D" w:rsidRDefault="00673C9E" w:rsidP="00A910DF">
      <w:pPr>
        <w:jc w:val="both"/>
        <w:rPr>
          <w:b/>
          <w:bCs/>
          <w:sz w:val="24"/>
          <w:szCs w:val="24"/>
          <w:lang w:val="fr-FR"/>
        </w:rPr>
      </w:pPr>
      <w:r w:rsidRPr="00673C9E">
        <w:rPr>
          <w:b/>
          <w:bCs/>
          <w:sz w:val="24"/>
          <w:szCs w:val="24"/>
          <w:lang w:val="fr-FR"/>
        </w:rPr>
        <w:t>Exposition temporaire : « </w:t>
      </w:r>
      <w:proofErr w:type="spellStart"/>
      <w:r w:rsidRPr="00673C9E">
        <w:rPr>
          <w:b/>
          <w:bCs/>
          <w:sz w:val="24"/>
          <w:szCs w:val="24"/>
          <w:lang w:val="fr-FR"/>
        </w:rPr>
        <w:t>Animalia</w:t>
      </w:r>
      <w:proofErr w:type="spellEnd"/>
      <w:r w:rsidRPr="00673C9E">
        <w:rPr>
          <w:b/>
          <w:bCs/>
          <w:sz w:val="24"/>
          <w:szCs w:val="24"/>
          <w:lang w:val="fr-FR"/>
        </w:rPr>
        <w:t>. Des animaux et des humains</w:t>
      </w:r>
      <w:r w:rsidRPr="00673C9E">
        <w:rPr>
          <w:b/>
          <w:bCs/>
          <w:sz w:val="24"/>
          <w:szCs w:val="24"/>
          <w:lang w:val="fr-FR"/>
        </w:rPr>
        <w:t> », du 27 mars au 30 août 2026.</w:t>
      </w:r>
    </w:p>
    <w:p w14:paraId="3ABFBD57" w14:textId="2F55290F" w:rsidR="00673C9E" w:rsidRDefault="00673C9E" w:rsidP="00A910DF">
      <w:pPr>
        <w:jc w:val="both"/>
        <w:rPr>
          <w:szCs w:val="22"/>
          <w:lang w:val="fr-FR"/>
        </w:rPr>
      </w:pPr>
      <w:r w:rsidRPr="00673C9E">
        <w:rPr>
          <w:szCs w:val="22"/>
          <w:lang w:val="fr-FR"/>
        </w:rPr>
        <w:t>À travers plus de 100 œuvres des XXe et XXIe siècles, l’exposition "</w:t>
      </w:r>
      <w:proofErr w:type="spellStart"/>
      <w:r w:rsidRPr="00673C9E">
        <w:rPr>
          <w:szCs w:val="22"/>
          <w:lang w:val="fr-FR"/>
        </w:rPr>
        <w:t>Animalia</w:t>
      </w:r>
      <w:proofErr w:type="spellEnd"/>
      <w:r w:rsidRPr="00673C9E">
        <w:rPr>
          <w:szCs w:val="22"/>
          <w:lang w:val="fr-FR"/>
        </w:rPr>
        <w:t>. Des animaux et des humains" explore la relation ambivalente entre l’être humain et l’animal et interroge notre regard sur le vivant.</w:t>
      </w:r>
      <w:r>
        <w:rPr>
          <w:szCs w:val="22"/>
          <w:lang w:val="fr-FR"/>
        </w:rPr>
        <w:t xml:space="preserve"> </w:t>
      </w:r>
      <w:r w:rsidRPr="00673C9E">
        <w:rPr>
          <w:szCs w:val="22"/>
          <w:lang w:val="fr-FR"/>
        </w:rPr>
        <w:t>Parmi les artistes présentés figurent notamment Pablo Picasso, Marc Chagall, Fernand Léger, François-Xavier Lalanne, Michèle Pagel, Meret Oppenheim, Franz Marc et Andy Warhol, aux côtés de nombreuses autres artistes des XXe et XXIe siècles.</w:t>
      </w:r>
    </w:p>
    <w:p w14:paraId="447D4427" w14:textId="77777777" w:rsidR="00673C9E" w:rsidRPr="00673C9E" w:rsidRDefault="00673C9E" w:rsidP="00A910DF">
      <w:pPr>
        <w:jc w:val="both"/>
        <w:rPr>
          <w:szCs w:val="22"/>
          <w:lang w:val="fr-FR"/>
        </w:rPr>
      </w:pPr>
    </w:p>
    <w:p w14:paraId="22B36E2E" w14:textId="77777777" w:rsidR="00A910DF" w:rsidRDefault="00A910DF" w:rsidP="0027376E">
      <w:pPr>
        <w:pStyle w:val="berschrift3"/>
        <w:numPr>
          <w:ilvl w:val="0"/>
          <w:numId w:val="0"/>
        </w:numPr>
        <w:jc w:val="both"/>
        <w:rPr>
          <w:lang w:val="fr-FR"/>
        </w:rPr>
      </w:pPr>
    </w:p>
    <w:p w14:paraId="65C83914" w14:textId="4B1CA1C3" w:rsidR="000624E8" w:rsidRPr="0027376E" w:rsidRDefault="00A910DF" w:rsidP="0027376E">
      <w:pPr>
        <w:pStyle w:val="berschrift3"/>
        <w:numPr>
          <w:ilvl w:val="0"/>
          <w:numId w:val="0"/>
        </w:numPr>
        <w:jc w:val="both"/>
        <w:rPr>
          <w:lang w:val="fr-FR"/>
        </w:rPr>
      </w:pPr>
      <w:r>
        <w:rPr>
          <w:lang w:val="fr-FR"/>
        </w:rPr>
        <w:t>Heidi Horten, une collectionneuse autrichienne</w:t>
      </w:r>
    </w:p>
    <w:p w14:paraId="119C8215" w14:textId="65BF7C88" w:rsidR="000624E8" w:rsidRDefault="00A910DF" w:rsidP="00A910DF">
      <w:pPr>
        <w:pStyle w:val="Text"/>
        <w:jc w:val="both"/>
        <w:rPr>
          <w:lang w:val="fr-FR"/>
        </w:rPr>
      </w:pPr>
      <w:r w:rsidRPr="00A910DF">
        <w:rPr>
          <w:lang w:val="fr-FR"/>
        </w:rPr>
        <w:t>Après le décès de son premier mari, l’entrepreneur allemand Helmut Horten, en 1987, Heidi Goëss-Horten (1941-2022) a commencé à constituer avec beaucoup de sensibilité et de passion une collection d'art de renommée internationale. Au cours des dernières décennies, celle-ci s'est enrichie pour atteindre aujourd'hui plusieurs centaines de peintures, sculptures et gravures. Lors de la constitution de sa collection, la collectionneuse a toujours eu à cœur de ne se soumettre à aucune mode. Heidi Goëss-Horten a toujours vécu au milieu de ses œuvres, elle accordait une grande importance à la relation intime qu’elle portait à chacune d’elles.  A la fin de sa vie, elle confie « Je suis fier d'avoir créé, avec ma collection et la construction du musée, quelque chose de durable, quelque chose que les générations futures pourront encore découvrir en visitant mon musée et en appréciant l'art qui m'a longtemps rendu heureux. »</w:t>
      </w:r>
    </w:p>
    <w:p w14:paraId="4E3285A1" w14:textId="77777777" w:rsidR="00673C9E" w:rsidRDefault="00673C9E" w:rsidP="00A910DF">
      <w:pPr>
        <w:pStyle w:val="Text"/>
        <w:jc w:val="both"/>
        <w:rPr>
          <w:lang w:val="fr-FR"/>
        </w:rPr>
      </w:pPr>
    </w:p>
    <w:p w14:paraId="64D280E8" w14:textId="0D91A905" w:rsidR="00673C9E" w:rsidRPr="00A910DF" w:rsidRDefault="00673C9E" w:rsidP="00A910DF">
      <w:pPr>
        <w:pStyle w:val="Text"/>
        <w:jc w:val="both"/>
        <w:rPr>
          <w:lang w:val="fr-FR"/>
        </w:rPr>
      </w:pPr>
      <w:hyperlink r:id="rId11" w:history="1">
        <w:r w:rsidRPr="00163EF2">
          <w:rPr>
            <w:rStyle w:val="Hyperlink"/>
            <w:lang w:val="fr-FR"/>
          </w:rPr>
          <w:t>https://hortencollection.com/en/intro</w:t>
        </w:r>
      </w:hyperlink>
      <w:r>
        <w:rPr>
          <w:lang w:val="fr-FR"/>
        </w:rPr>
        <w:t xml:space="preserve"> </w:t>
      </w:r>
      <w:r w:rsidRPr="00673C9E">
        <w:rPr>
          <w:lang w:val="fr-FR"/>
        </w:rPr>
        <w:t xml:space="preserve">  </w:t>
      </w:r>
    </w:p>
    <w:p w14:paraId="79E18D9E" w14:textId="77777777" w:rsidR="00770E90" w:rsidRPr="00770E90" w:rsidRDefault="00770E90" w:rsidP="001769BD">
      <w:pPr>
        <w:pStyle w:val="Text"/>
        <w:jc w:val="both"/>
        <w:rPr>
          <w:sz w:val="24"/>
          <w:szCs w:val="22"/>
          <w:lang w:val="fr-FR"/>
        </w:rPr>
      </w:pPr>
    </w:p>
    <w:sectPr w:rsidR="00770E90" w:rsidRPr="00770E90" w:rsidSect="0078493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7"/>
  </w:num>
  <w:num w:numId="2" w16cid:durableId="963197043">
    <w:abstractNumId w:val="7"/>
    <w:lvlOverride w:ilvl="0">
      <w:startOverride w:val="1"/>
    </w:lvlOverride>
  </w:num>
  <w:num w:numId="3" w16cid:durableId="1177647296">
    <w:abstractNumId w:val="5"/>
  </w:num>
  <w:num w:numId="4" w16cid:durableId="1482189251">
    <w:abstractNumId w:val="10"/>
  </w:num>
  <w:num w:numId="5" w16cid:durableId="1575893089">
    <w:abstractNumId w:val="4"/>
  </w:num>
  <w:num w:numId="6" w16cid:durableId="1958297010">
    <w:abstractNumId w:val="5"/>
  </w:num>
  <w:num w:numId="7" w16cid:durableId="2062630414">
    <w:abstractNumId w:val="9"/>
  </w:num>
  <w:num w:numId="8" w16cid:durableId="193005547">
    <w:abstractNumId w:val="12"/>
  </w:num>
  <w:num w:numId="9" w16cid:durableId="856892571">
    <w:abstractNumId w:val="5"/>
  </w:num>
  <w:num w:numId="10" w16cid:durableId="290213404">
    <w:abstractNumId w:val="5"/>
  </w:num>
  <w:num w:numId="11" w16cid:durableId="570967708">
    <w:abstractNumId w:val="1"/>
  </w:num>
  <w:num w:numId="12" w16cid:durableId="276068172">
    <w:abstractNumId w:val="11"/>
  </w:num>
  <w:num w:numId="13" w16cid:durableId="1246842716">
    <w:abstractNumId w:val="6"/>
  </w:num>
  <w:num w:numId="14" w16cid:durableId="458456142">
    <w:abstractNumId w:val="0"/>
  </w:num>
  <w:num w:numId="15" w16cid:durableId="233201377">
    <w:abstractNumId w:val="2"/>
  </w:num>
  <w:num w:numId="16" w16cid:durableId="864830280">
    <w:abstractNumId w:val="8"/>
  </w:num>
  <w:num w:numId="17" w16cid:durableId="730812590">
    <w:abstractNumId w:val="8"/>
  </w:num>
  <w:num w:numId="18" w16cid:durableId="1898274070">
    <w:abstractNumId w:val="8"/>
  </w:num>
  <w:num w:numId="19" w16cid:durableId="2113234440">
    <w:abstractNumId w:val="8"/>
  </w:num>
  <w:num w:numId="20" w16cid:durableId="273557024">
    <w:abstractNumId w:val="3"/>
  </w:num>
  <w:num w:numId="21" w16cid:durableId="851140824">
    <w:abstractNumId w:val="5"/>
  </w:num>
  <w:num w:numId="22" w16cid:durableId="1819491501">
    <w:abstractNumId w:val="8"/>
  </w:num>
  <w:num w:numId="23" w16cid:durableId="1260258746">
    <w:abstractNumId w:val="8"/>
  </w:num>
  <w:num w:numId="24" w16cid:durableId="1531257055">
    <w:abstractNumId w:val="8"/>
  </w:num>
  <w:num w:numId="25" w16cid:durableId="2051565377">
    <w:abstractNumId w:val="8"/>
  </w:num>
  <w:num w:numId="26" w16cid:durableId="1327440456">
    <w:abstractNumId w:val="8"/>
  </w:num>
  <w:num w:numId="27" w16cid:durableId="1732265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624E8"/>
    <w:rsid w:val="000744B5"/>
    <w:rsid w:val="00077768"/>
    <w:rsid w:val="000C2D99"/>
    <w:rsid w:val="000D16DD"/>
    <w:rsid w:val="000E2A8F"/>
    <w:rsid w:val="000E3BC8"/>
    <w:rsid w:val="000F6B69"/>
    <w:rsid w:val="00115517"/>
    <w:rsid w:val="0014567D"/>
    <w:rsid w:val="001769BD"/>
    <w:rsid w:val="00184DEA"/>
    <w:rsid w:val="001A63BD"/>
    <w:rsid w:val="002173BE"/>
    <w:rsid w:val="00226EA1"/>
    <w:rsid w:val="002325C3"/>
    <w:rsid w:val="002345DE"/>
    <w:rsid w:val="0027376E"/>
    <w:rsid w:val="00282ED7"/>
    <w:rsid w:val="002B3DCE"/>
    <w:rsid w:val="002D2F2D"/>
    <w:rsid w:val="002F3B92"/>
    <w:rsid w:val="00301575"/>
    <w:rsid w:val="00304B83"/>
    <w:rsid w:val="003623F6"/>
    <w:rsid w:val="003A4B84"/>
    <w:rsid w:val="003C58BE"/>
    <w:rsid w:val="00401B97"/>
    <w:rsid w:val="0041285E"/>
    <w:rsid w:val="00424CEF"/>
    <w:rsid w:val="00435CEE"/>
    <w:rsid w:val="00463459"/>
    <w:rsid w:val="004755A6"/>
    <w:rsid w:val="00475923"/>
    <w:rsid w:val="0048637E"/>
    <w:rsid w:val="004C3A87"/>
    <w:rsid w:val="004D0855"/>
    <w:rsid w:val="004D3D04"/>
    <w:rsid w:val="004D67DB"/>
    <w:rsid w:val="004F7E3A"/>
    <w:rsid w:val="00530263"/>
    <w:rsid w:val="00546DA5"/>
    <w:rsid w:val="00571C10"/>
    <w:rsid w:val="005F65C8"/>
    <w:rsid w:val="006337AD"/>
    <w:rsid w:val="00633D6D"/>
    <w:rsid w:val="00673C9E"/>
    <w:rsid w:val="006A5B42"/>
    <w:rsid w:val="006D11EB"/>
    <w:rsid w:val="006D68E0"/>
    <w:rsid w:val="006F0ECA"/>
    <w:rsid w:val="0073241C"/>
    <w:rsid w:val="00770E90"/>
    <w:rsid w:val="0078493A"/>
    <w:rsid w:val="00785E77"/>
    <w:rsid w:val="00786548"/>
    <w:rsid w:val="007E60A1"/>
    <w:rsid w:val="00802FCE"/>
    <w:rsid w:val="008349B7"/>
    <w:rsid w:val="00862835"/>
    <w:rsid w:val="00865FD2"/>
    <w:rsid w:val="00880829"/>
    <w:rsid w:val="00894AF6"/>
    <w:rsid w:val="008B2A4D"/>
    <w:rsid w:val="008C3379"/>
    <w:rsid w:val="008E147E"/>
    <w:rsid w:val="009026A0"/>
    <w:rsid w:val="00921BD3"/>
    <w:rsid w:val="0092450A"/>
    <w:rsid w:val="009432C0"/>
    <w:rsid w:val="00946CF7"/>
    <w:rsid w:val="00956EC1"/>
    <w:rsid w:val="0097743A"/>
    <w:rsid w:val="00981E97"/>
    <w:rsid w:val="009C40FA"/>
    <w:rsid w:val="009E0FFE"/>
    <w:rsid w:val="009F2792"/>
    <w:rsid w:val="00A05849"/>
    <w:rsid w:val="00A05F8C"/>
    <w:rsid w:val="00A13A3B"/>
    <w:rsid w:val="00A24EDC"/>
    <w:rsid w:val="00A7715B"/>
    <w:rsid w:val="00A910DF"/>
    <w:rsid w:val="00A9129F"/>
    <w:rsid w:val="00A934B3"/>
    <w:rsid w:val="00AB43B3"/>
    <w:rsid w:val="00AD1F8A"/>
    <w:rsid w:val="00AD3BC3"/>
    <w:rsid w:val="00AD4F31"/>
    <w:rsid w:val="00AE5E79"/>
    <w:rsid w:val="00B13E38"/>
    <w:rsid w:val="00B146E7"/>
    <w:rsid w:val="00B34D98"/>
    <w:rsid w:val="00B43C75"/>
    <w:rsid w:val="00B93ED4"/>
    <w:rsid w:val="00B9518B"/>
    <w:rsid w:val="00BB43D3"/>
    <w:rsid w:val="00BD1F1D"/>
    <w:rsid w:val="00BE7CF8"/>
    <w:rsid w:val="00BF3519"/>
    <w:rsid w:val="00C51809"/>
    <w:rsid w:val="00C56CCA"/>
    <w:rsid w:val="00C82C5A"/>
    <w:rsid w:val="00CC064A"/>
    <w:rsid w:val="00CE412D"/>
    <w:rsid w:val="00CE58C5"/>
    <w:rsid w:val="00CE59B2"/>
    <w:rsid w:val="00CE63E3"/>
    <w:rsid w:val="00CF4F41"/>
    <w:rsid w:val="00CF63C7"/>
    <w:rsid w:val="00D01989"/>
    <w:rsid w:val="00D01F24"/>
    <w:rsid w:val="00D07949"/>
    <w:rsid w:val="00D148A9"/>
    <w:rsid w:val="00D16AD2"/>
    <w:rsid w:val="00D21630"/>
    <w:rsid w:val="00D25655"/>
    <w:rsid w:val="00D34E53"/>
    <w:rsid w:val="00D35E10"/>
    <w:rsid w:val="00D67351"/>
    <w:rsid w:val="00D71453"/>
    <w:rsid w:val="00D74847"/>
    <w:rsid w:val="00D94F9E"/>
    <w:rsid w:val="00DA03E8"/>
    <w:rsid w:val="00DB4948"/>
    <w:rsid w:val="00DD6B10"/>
    <w:rsid w:val="00DE65BA"/>
    <w:rsid w:val="00DF3003"/>
    <w:rsid w:val="00DF6B51"/>
    <w:rsid w:val="00E20D07"/>
    <w:rsid w:val="00E230C2"/>
    <w:rsid w:val="00E369A6"/>
    <w:rsid w:val="00E612C1"/>
    <w:rsid w:val="00E633E4"/>
    <w:rsid w:val="00E6426D"/>
    <w:rsid w:val="00EB3B52"/>
    <w:rsid w:val="00ED3DE0"/>
    <w:rsid w:val="00ED490C"/>
    <w:rsid w:val="00EE683B"/>
    <w:rsid w:val="00F008CA"/>
    <w:rsid w:val="00F119A7"/>
    <w:rsid w:val="00F12709"/>
    <w:rsid w:val="00F14012"/>
    <w:rsid w:val="00F14B2F"/>
    <w:rsid w:val="00F163EB"/>
    <w:rsid w:val="00F816BC"/>
    <w:rsid w:val="00F92C29"/>
    <w:rsid w:val="00F932FD"/>
    <w:rsid w:val="00FA22A1"/>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rtencollection.com/en/int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3.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4.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663</Words>
  <Characters>4181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Millet, Ingeborg</cp:lastModifiedBy>
  <cp:revision>10</cp:revision>
  <cp:lastPrinted>2024-08-13T11:22:00Z</cp:lastPrinted>
  <dcterms:created xsi:type="dcterms:W3CDTF">2026-03-11T09:13:00Z</dcterms:created>
  <dcterms:modified xsi:type="dcterms:W3CDTF">2026-03-23T10:04:00Z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