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!-- OEW_PR_GEN_BODY_START -->
    <w:p>
      <w:pPr>
        <w:pStyle w:val="Text"/>
      </w:pPr>
      <w:r>
        <w:rPr>
          <w:u w:val="single"/>
          <w:sz w:val="24"/>
          <w:szCs w:val="24"/>
        </w:rPr>
        <w:t>Presseinformation</w:t>
      </w:r>
    </w:p>
    <w:p>
      <w:pPr>
        <w:pStyle w:val="Text"/>
      </w:pPr>
    </w:p>
    <w:p>
      <w:pPr>
        <w:pStyle w:val="Text"/>
      </w:pPr>
      <w:r>
        <w:rPr>
          <w:b/>
          <w:bCs/>
          <w:sz w:val="32"/>
          <w:szCs w:val="32"/>
        </w:rPr>
        <w:t>Österreich Werbung und ACB: Österreichische Meetingbranche wächst durch internationale Nachfrage</w:t>
      </w:r>
    </w:p>
    <w:p>
      <w:pPr>
        <w:pStyle w:val="Listenabsatz"/>
        <w:numPr>
          <w:ilvl w:val="0"/>
          <w:numId w:val="14"/>
        </w:numPr>
      </w:pPr>
      <w:r>
        <w:rPr>
          <w:b/>
          <w:bCs/>
          <w:sz w:val="24"/>
          <w:szCs w:val="24"/>
        </w:rPr>
        <w:t>mira 2025: 27.041 Veranstaltungen, 1,9 Mio. Teilnehmer:innen und 4,3 Mio. Nächtigungen </w:t>
      </w:r>
    </w:p>
    <w:p>
      <w:pPr>
        <w:pStyle w:val="Listenabsatz"/>
        <w:numPr>
          <w:ilvl w:val="0"/>
          <w:numId w:val="14"/>
        </w:numPr>
      </w:pPr>
      <w:r>
        <w:rPr>
          <w:b/>
          <w:bCs/>
          <w:sz w:val="24"/>
          <w:szCs w:val="24"/>
        </w:rPr>
        <w:t>709.000 internationale Teilnehmer:innen (+10,8 Prozent) und 114 Großkongresse mit jeweils mehr als 1.000 Teilnehmer:innen</w:t>
      </w:r>
    </w:p>
    <w:p>
      <w:pPr>
        <w:pStyle w:val="Listenabsatz"/>
        <w:numPr>
          <w:ilvl w:val="0"/>
          <w:numId w:val="14"/>
        </w:numPr>
      </w:pPr>
      <w:r>
        <w:rPr>
          <w:b/>
          <w:bCs/>
          <w:sz w:val="24"/>
          <w:szCs w:val="24"/>
        </w:rPr>
        <w:t>ACB-Blitzumfrage: 72 Prozent der Betriebe sehen die Buchungslage 2026 wie erwartet bzw. besser als erwartet</w:t>
      </w:r>
    </w:p>
    <w:p>
      <w:pPr>
        <w:pStyle w:val="Listenabsatz"/>
        <w:numPr>
          <w:ilvl w:val="0"/>
          <w:numId w:val="14"/>
        </w:numPr>
      </w:pPr>
      <w:r>
        <w:rPr>
          <w:b/>
          <w:bCs/>
          <w:sz w:val="24"/>
          <w:szCs w:val="24"/>
        </w:rPr>
        <w:t>KI, Nachhaltigkeit und persönliche Begegnungen prägen die Meetingbranche der Zukunft</w:t>
      </w:r>
    </w:p>
    <w:p>
      <w:pPr>
        <w:pStyle w:val="Text"/>
        <w:spacing w:before="0" w:after="0" w:line="240" w:lineRule="exact"/>
      </w:pPr>
    </w:p>
    <w:p>
      <w:pPr>
        <w:pStyle w:val="Text"/>
      </w:pPr>
      <w:r>
        <w:rPr>
          <w:sz w:val="24"/>
          <w:szCs w:val="24"/>
        </w:rPr>
        <w:t>Im Rahmen eines gemeinsamen Pressegesprächs präsentierten die Österreich Werbung (ÖW) und das Austrian Convention Bureau (ACB) aktuelle Entwicklungen, Trends und Kennzahlen der österreichischen Meeting Industry.</w:t>
      </w:r>
    </w:p>
    <w:p>
      <w:pPr>
        <w:pStyle w:val="Text"/>
      </w:pPr>
      <w:r>
        <w:rPr>
          <w:b/>
          <w:bCs/>
          <w:sz w:val="24"/>
          <w:szCs w:val="24"/>
        </w:rPr>
        <w:t>Meeting Industry Report Austria (mira) 2025: Österreichs Meeting- und Kongressbranche wächst weiter international</w:t>
      </w:r>
    </w:p>
    <w:p>
      <w:pPr>
        <w:pStyle w:val="Text"/>
      </w:pPr>
      <w:r>
        <w:rPr>
          <w:sz w:val="24"/>
          <w:szCs w:val="24"/>
        </w:rPr>
        <w:t>Trotz einer leicht rückläufig gemeldeten Veranstaltungszahl entwickelte sich die österreichische Meetingbranche 2025 deutlich positiv: Internationale Teilnehmer:innen und Nächtigungen stiegen kräftig an. Der aktuelle Meeting Industry Report Austria (mira) 2025 verzeichnet 27.041 Veranstaltungen mit rund 1,9 Millionen Teilnehmer:innen und daraus resultierend 4,3 Millionen Nächtigungen. Obwohl mehr als 80 Prozent aller Veranstaltungen national ausgerichtet sind, entfallen fast zwei Drittel aller Nächtigungen auf internationale Teilnehmer:innen.</w:t>
      </w:r>
    </w:p>
    <w:p>
      <w:pPr>
        <w:pStyle w:val="Text"/>
      </w:pPr>
      <w:r>
        <w:rPr>
          <w:sz w:val="24"/>
          <w:szCs w:val="24"/>
        </w:rPr>
        <w:t>Besonders dynamisch entwickelte sich das internationale Kongressgeschäft: Die Zahl internationaler Teilnehmer:innen stieg um 10,8 Prozent auf 709.000, internationale Nächtigungen legten um 12,2 Prozent auf 2,2 Millionen zu. </w:t>
      </w:r>
    </w:p>
    <w:p>
      <w:pPr>
        <w:pStyle w:val="Text"/>
      </w:pPr>
      <w:r>
        <w:rPr>
          <w:sz w:val="24"/>
          <w:szCs w:val="24"/>
        </w:rPr>
        <w:t>Rund zwei Drittel aller Veranstaltungen finden außerhalb Wiens statt und stärken insbesondere die touristischen Nebensaisonen. Besonders dynamisch entwickelte sich das Segment der Großkongresse: 2025 fanden in Österreich mit 114 Kongressen mit jeweils mehr als 1.000 Teilnehmer:innen so viele Großkongresse wie noch nie statt.</w:t>
      </w:r>
    </w:p>
    <w:p>
      <w:pPr>
        <w:pStyle w:val="Text"/>
      </w:pPr>
      <w:r>
        <w:rPr>
          <w:sz w:val="24"/>
          <w:szCs w:val="24"/>
        </w:rPr>
        <w:t>„Internationale Kongresse bringen hohe Wertschöpfung nach Österreich – weit über den Tourismus hinaus. Sie stärken Österreich als Wirtschafts-, Innovations- und Wissenschaftsstandort und sorgen für internationale Sichtbarkeit“, erklärt Sandra Neukart, Chief Operating Officer der Österreich Werbung.</w:t>
      </w:r>
    </w:p>
    <w:p>
      <w:pPr>
        <w:pStyle w:val="Text"/>
      </w:pPr>
      <w:r>
        <w:rPr>
          <w:sz w:val="24"/>
          <w:szCs w:val="24"/>
        </w:rPr>
        <w:t>Die starke internationale Positionierung Österreichs zeigt sich auch im aktuellen ICCA-Ranking: Wien erreichte Platz 4 weltweit unter den Kongressstädten. Österreich zählt zudem mit Rang 16 weiterhin zu den führenden Kongressländern. </w:t>
      </w:r>
    </w:p>
    <w:p>
      <w:pPr>
        <w:pStyle w:val="Text"/>
      </w:pPr>
      <w:r>
        <w:rPr>
          <w:b/>
          <w:bCs/>
          <w:sz w:val="24"/>
          <w:szCs w:val="24"/>
        </w:rPr>
        <w:t>Internationale Studien bestätigen Wachstumstrend</w:t>
      </w:r>
    </w:p>
    <w:p>
      <w:pPr>
        <w:pStyle w:val="Text"/>
      </w:pPr>
      <w:r>
        <w:rPr>
          <w:sz w:val="24"/>
          <w:szCs w:val="24"/>
        </w:rPr>
        <w:t>Auch internationale Marktanalysen bestätigen die positive Entwicklung der Branche: Laut „Global Meetings &amp; Events Forecast 2026“ erwarten 85 Prozent der internationalen Meeting Professionals eine positive Entwicklung. Gleichzeitig gewinnen persönliche Begegnungen, interaktive Formate, Nachhaltigkeit und der Einsatz von Künstlicher Intelligenz weiter an Bedeutung.</w:t>
      </w:r>
    </w:p>
    <w:p>
      <w:pPr>
        <w:pStyle w:val="Text"/>
      </w:pPr>
      <w:r>
        <w:rPr>
          <w:sz w:val="24"/>
          <w:szCs w:val="24"/>
        </w:rPr>
        <w:t>Künstliche Intelligenz wird demnach zunehmend für Teilnehmer:innenmanagement, personalisierte Programme und effizientere Veranstaltungsplanung eingesetzt und verändert damit auch die österreichische Meetingbranche nachhaltig. Gleichzeitig steigt die Nachfrage nach hochwertigen Präsenzveranstaltungen, die Innovation, Wissensaustausch und internationale Vernetzung fördern.</w:t>
      </w:r>
    </w:p>
    <w:p>
      <w:pPr>
        <w:pStyle w:val="Text"/>
      </w:pPr>
      <w:r>
        <w:rPr>
          <w:b/>
          <w:bCs/>
          <w:sz w:val="24"/>
          <w:szCs w:val="24"/>
        </w:rPr>
        <w:t>Nachhaltigkeit wird zum Wettbewerbsfaktor</w:t>
      </w:r>
    </w:p>
    <w:p>
      <w:pPr>
        <w:pStyle w:val="Text"/>
      </w:pPr>
      <w:r>
        <w:rPr>
          <w:sz w:val="24"/>
          <w:szCs w:val="24"/>
        </w:rPr>
        <w:t>Nachhaltigkeit entwickelt sich ebenfalls zunehmend zum entscheidenden Faktor im internationalen Wettbewerb um Kongresse und Veranstaltungen. Immer mehr internationale Veranstalter verlangen nachhaltige Konzepte bereits als Voraussetzung für Ausschreibungen. </w:t>
      </w:r>
    </w:p>
    <w:p>
      <w:pPr>
        <w:pStyle w:val="Text"/>
      </w:pPr>
      <w:r>
        <w:rPr>
          <w:sz w:val="24"/>
          <w:szCs w:val="24"/>
        </w:rPr>
        <w:t>„Green Meetings entwickeln sich zunehmend vom Zusatzangebot zum Entscheidungskriterium bei internationalen Veranstaltungen“, sagt Renate Androsch-Holzer, Präsidentin des Austrian Convention Bureau. „Gleichzeitig verändern Digitalisierung, KI und steigende Anforderungen an Flexibilität die Veranstaltungsbranche nachhaltig.“</w:t>
      </w:r>
    </w:p>
    <w:p>
      <w:pPr>
        <w:pStyle w:val="Text"/>
      </w:pPr>
      <w:r>
        <w:rPr>
          <w:sz w:val="24"/>
          <w:szCs w:val="24"/>
        </w:rPr>
        <w:t>Die Entwicklung zeigt sich auch bei den zertifizierten Green Meetings &amp; Events. 2025 wurden insgesamt 559 solcher grünen Veranstaltungen zertifiziert: 336 Green Meetings (inklusive Messen) und 223 Green Events. Der Bereich wuchs damit gesamthaft um 1,8 Prozent zum Vorjahr. </w:t>
      </w:r>
    </w:p>
    <w:p>
      <w:pPr>
        <w:pStyle w:val="Text"/>
      </w:pPr>
      <w:r>
        <w:rPr>
          <w:b/>
          <w:bCs/>
          <w:sz w:val="24"/>
          <w:szCs w:val="24"/>
        </w:rPr>
        <w:t>ACB-Blitzumfrage 2026 zeigt positive Marktentwicklung</w:t>
      </w:r>
    </w:p>
    <w:p>
      <w:pPr>
        <w:pStyle w:val="Text"/>
      </w:pPr>
      <w:r>
        <w:rPr>
          <w:sz w:val="24"/>
          <w:szCs w:val="24"/>
        </w:rPr>
        <w:t>Während die mira-Daten das Veranstaltungsjahr 2025 abbilden, zeigt die aktuelle ACB-Blitzumfrage bereits einen positiven Ausblick auf 2026: Rund 72 Prozent der befragten Betriebe bewerten die Buchungslage 2026 als besser oder entsprechend den Erwartungen. Gleichzeitig steigen jedoch Wettbewerbsdruck, kurzfristige Buchungen sowie die Anforderungen an Flexibilität und Planungssicherheit.</w:t>
      </w:r>
    </w:p>
    <w:p>
      <w:pPr>
        <w:pStyle w:val="Text"/>
      </w:pPr>
      <w:r>
        <w:rPr>
          <w:b/>
          <w:bCs/>
          <w:sz w:val="24"/>
          <w:szCs w:val="24"/>
        </w:rPr>
        <w:t>ÖW als Plattform für die Meeting Industry</w:t>
      </w:r>
    </w:p>
    <w:p>
      <w:pPr>
        <w:pStyle w:val="Text"/>
      </w:pPr>
      <w:r>
        <w:rPr>
          <w:sz w:val="24"/>
          <w:szCs w:val="24"/>
        </w:rPr>
        <w:t>Die Österreich Werbung setzt ihre internationalen Marketing- und Kommunikationsmaßnahmen weiter konsequent fort – unter anderem auf der IMEX Frankfurt sowie der IBTM World 2026 in Barcelona, den wichtigsten internationalen Leitmessen der Meeting- und Kongressbranche. Dabei fungiert die Österreich Werbung als zentrale Plattform und internationale Bühne für die heimische Meeting Industry: Sie bündelt die Stärken der Branche, schafft Sichtbarkeit für österreichische Anbieter und ermöglicht gemeinsame internationale Marktauftritte sowie den Austausch mit relevanten Entscheidungsträger:innen weltweit.</w:t>
      </w:r>
    </w:p>
    <w:p>
      <w:pPr>
        <w:pStyle w:val="Text"/>
      </w:pPr>
      <w:r>
        <w:rPr>
          <w:sz w:val="24"/>
          <w:szCs w:val="24"/>
        </w:rPr>
        <w:t>Mit der internationalen Kommunikationslinie „Meet in Austria“ positioniert die ÖW Österreich weiterhin gezielt als internationale Meeting-Destination mit moderner Veranstaltungsinfrastruktur und hoher Kompetenz im Kongress- und Tagungsbereich. Im Fokus stehen dabei die Stärken des Standorts: von moderner Infrastruktur und kompakten Veranstaltungsstandorten mit kurzen innerstädtischen Wegen bis hin zu hoher Kompetenz, zertifizierten nachhaltigen Veranstaltungsformaten und österreichischer Gastfreundschaft.</w:t>
      </w:r>
    </w:p>
    <w:p>
      <w:pPr>
        <w:pStyle w:val="Text"/>
      </w:pPr>
      <w:r>
        <w:rPr>
          <w:b/>
          <w:bCs/>
          <w:sz w:val="24"/>
          <w:szCs w:val="24"/>
        </w:rPr>
        <w:t>Die wichtigsten Kennzahlen der mira 2025 im Überblick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27.041 Veranstaltungen (-1,2 % gegenüber 2024)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1,9 Mio. Teilnehmer:innen (+3,5 %)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709.000 internationale Teilnehmer:innen (+10,8 %)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4,3 Mio. Nächtigungen (+15,4 %)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3,2 Mio. internationale Nächtigungen (+19 %)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7.835 Kongresse (+4,3 %)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14.472 Firmentagungen (+0,8 %)</w:t>
      </w:r>
    </w:p>
    <w:p>
      <w:pPr>
        <w:pStyle w:val="Listenabsatz"/>
        <w:numPr>
          <w:ilvl w:val="0"/>
          <w:numId w:val="14"/>
        </w:numPr>
      </w:pPr>
      <w:r>
        <w:rPr>
          <w:sz w:val="24"/>
          <w:szCs w:val="24"/>
        </w:rPr>
        <w:t>559 Green Meetings &amp; Events (+1,8 % gegenüber 2024, +69 % gegenüber 2015)</w:t>
      </w:r>
    </w:p>
    <w:p>
      <w:pPr>
        <w:pStyle w:val="Text"/>
      </w:pPr>
      <w:r>
        <w:rPr>
          <w:b/>
          <w:bCs/>
          <w:sz w:val="24"/>
          <w:szCs w:val="24"/>
        </w:rPr>
        <w:t>Weitere Informationen</w:t>
      </w:r>
    </w:p>
    <w:p>
      <w:pPr>
        <w:pStyle w:val="Text"/>
      </w:pPr>
      <w:hyperlink r:id="rIdLink1" w:history="1">
        <w:r>
          <w:rPr>
            <w:sz w:val="24"/>
            <w:szCs w:val="24"/>
            <w:rStyle w:val="Hyperlink"/>
          </w:rPr>
          <w:t>Presseinformation Meeting Industry Report Austria 2025 inkl. Grafiken</w:t>
        </w:r>
      </w:hyperlink>
    </w:p>
    <w:p>
      <w:pPr>
        <w:pStyle w:val="Text"/>
      </w:pPr>
      <w:hyperlink r:id="rIdLink2" w:history="1">
        <w:r>
          <w:rPr>
            <w:sz w:val="24"/>
            <w:szCs w:val="24"/>
            <w:rStyle w:val="Hyperlink"/>
          </w:rPr>
          <w:t>Meeting Industry Report Austria (mira) 2025</w:t>
        </w:r>
      </w:hyperlink>
    </w:p>
    <w:p>
      <w:pPr>
        <w:pStyle w:val="Text"/>
      </w:pPr>
      <w:hyperlink r:id="rIdLink3" w:history="1">
        <w:r>
          <w:rPr>
            <w:sz w:val="24"/>
            <w:szCs w:val="24"/>
            <w:rStyle w:val="Hyperlink"/>
          </w:rPr>
          <w:t>mira 2025 Fakten</w:t>
        </w:r>
      </w:hyperlink>
      <w:r>
        <w:rPr>
          <w:sz w:val="24"/>
          <w:szCs w:val="24"/>
        </w:rPr>
        <w:t xml:space="preserve"> | </w:t>
      </w:r>
      <w:hyperlink r:id="rIdLink4" w:history="1">
        <w:r>
          <w:rPr>
            <w:sz w:val="24"/>
            <w:szCs w:val="24"/>
            <w:rStyle w:val="Hyperlink"/>
          </w:rPr>
          <w:t>ACB-Blitzumfrage</w:t>
        </w:r>
      </w:hyperlink>
    </w:p>
    <w:p>
      <w:pPr>
        <w:pStyle w:val="Text"/>
      </w:pPr>
      <w:hyperlink r:id="rIdLink5" w:history="1">
        <w:r>
          <w:rPr>
            <w:sz w:val="24"/>
            <w:szCs w:val="24"/>
            <w:rStyle w:val="Hyperlink"/>
          </w:rPr>
          <w:t>Weiterführende Informationen zur Teilnahme an der Wertschöpfungsstudie zur Meeting-Industrie für interessierte Betriebe</w:t>
        </w:r>
      </w:hyperlink>
      <w:r>
        <w:rPr>
          <w:sz w:val="24"/>
          <w:szCs w:val="24"/>
        </w:rPr>
        <w:t> </w:t>
      </w:r>
    </w:p>
    <w:p>
      <w:pPr>
        <w:pStyle w:val="Text"/>
      </w:pPr>
    </w:p>
    <w:p>
      <w:pPr>
        <w:pStyle w:val="berschrift2"/>
      </w:pPr>
      <w:r>
        <w:rPr>
          <w:sz w:val="24"/>
          <w:szCs w:val="24"/>
        </w:rPr>
        <w:t/>
      </w:r>
    </w:p>
    <w:p>
      <w:pPr>
        <w:pStyle w:val="Text"/>
        <w:keepLines/>
      </w:pPr>
      <w:r>
        <w:rPr>
          <w:sz w:val="24"/>
          <w:szCs w:val="24"/>
        </w:rPr>
        <w:t>Thomas Kreidl</w:t>
      </w:r>
      <w:r>
        <w:br/>
      </w:r>
      <w:r>
        <w:rPr>
          <w:sz w:val="24"/>
          <w:szCs w:val="24"/>
        </w:rPr>
        <w:t>Stellvertretender Unternehmenssprecher</w:t>
      </w:r>
      <w:r>
        <w:br/>
      </w:r>
      <w:r>
        <w:rPr>
          <w:sz w:val="24"/>
          <w:szCs w:val="24"/>
        </w:rPr>
        <w:t>Team Corporate Communications</w:t>
      </w:r>
      <w:r>
        <w:br/>
      </w:r>
      <w:r>
        <w:rPr>
          <w:sz w:val="24"/>
          <w:szCs w:val="24"/>
        </w:rPr>
        <w:t>Tel.: +43 1 588 66-277</w:t>
      </w:r>
      <w:r>
        <w:br/>
      </w:r>
      <w:hyperlink r:id="rIdContactEmail6" w:history="1">
        <w:r>
          <w:rPr>
            <w:sz w:val="24"/>
            <w:szCs w:val="24"/>
            <w:rStyle w:val="Hyperlink"/>
          </w:rPr>
          <w:t>thomas.kreidl@austria.info</w:t>
        </w:r>
      </w:hyperlink>
      <w:r>
        <w:br/>
      </w:r>
      <w:hyperlink r:id="rIdContactUrl7" w:history="1">
        <w:r>
          <w:rPr>
            <w:sz w:val="24"/>
            <w:szCs w:val="24"/>
            <w:rStyle w:val="Hyperlink"/>
          </w:rPr>
          <w:t>https://b2b.austria.info/de-at/newsroom/</w:t>
        </w:r>
      </w:hyperlink>
    </w:p>
    <w:p>
      <w:pPr>
        <w:pStyle w:val="Text"/>
        <w:keepLines/>
      </w:pPr>
      <w:r>
        <w:rPr>
          <w:sz w:val="24"/>
          <w:szCs w:val="24"/>
        </w:rPr>
        <w:t>Nicole Körber</w:t>
      </w:r>
      <w:r>
        <w:br/>
      </w:r>
      <w:r>
        <w:rPr>
          <w:sz w:val="24"/>
          <w:szCs w:val="24"/>
        </w:rPr>
        <w:t>Communications &amp; Community</w:t>
      </w:r>
      <w:r>
        <w:br/>
      </w:r>
      <w:r>
        <w:rPr>
          <w:sz w:val="24"/>
          <w:szCs w:val="24"/>
        </w:rPr>
        <w:t>Austrian Convention Bureau</w:t>
      </w:r>
      <w:r>
        <w:br/>
      </w:r>
      <w:r>
        <w:rPr>
          <w:sz w:val="24"/>
          <w:szCs w:val="24"/>
        </w:rPr>
        <w:t>Mobil: +43 676 576 46 66</w:t>
      </w:r>
      <w:r>
        <w:br/>
      </w:r>
      <w:hyperlink r:id="rIdContactEmail8" w:history="1">
        <w:r>
          <w:rPr>
            <w:sz w:val="24"/>
            <w:szCs w:val="24"/>
            <w:rStyle w:val="Hyperlink"/>
          </w:rPr>
          <w:t>n.koerber@acb.at</w:t>
        </w:r>
      </w:hyperlink>
      <w:r>
        <w:br/>
      </w:r>
      <w:hyperlink r:id="rIdContactUrl9" w:history="1">
        <w:r>
          <w:rPr>
            <w:sz w:val="24"/>
            <w:szCs w:val="24"/>
            <w:rStyle w:val="Hyperlink"/>
          </w:rPr>
          <w:t>https://www.acb.at/Presse</w:t>
        </w:r>
      </w:hyperlink>
    </w:p>
    <!-- OEW_PR_GEN_BODY_END -->
    <w:sectPr w:rsidR="0078493A" w:rsidRPr="00F14B2F" w:rsidSect="00784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586" w:right="1488" w:bottom="17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D3A7" w14:textId="77777777" w:rsidR="007F5CB3" w:rsidRDefault="007F5CB3" w:rsidP="00184DEA">
      <w:pPr>
        <w:spacing w:after="0" w:line="240" w:lineRule="auto"/>
      </w:pPr>
      <w:r>
        <w:separator/>
      </w:r>
    </w:p>
    <w:p w14:paraId="5FBB6A95" w14:textId="77777777" w:rsidR="007F5CB3" w:rsidRDefault="007F5CB3"/>
  </w:endnote>
  <w:endnote w:type="continuationSeparator" w:id="0">
    <w:p w14:paraId="50EF4226" w14:textId="77777777" w:rsidR="007F5CB3" w:rsidRDefault="007F5CB3" w:rsidP="00184DEA">
      <w:pPr>
        <w:spacing w:after="0" w:line="240" w:lineRule="auto"/>
      </w:pPr>
      <w:r>
        <w:continuationSeparator/>
      </w:r>
    </w:p>
    <w:p w14:paraId="05C982E0" w14:textId="77777777" w:rsidR="007F5CB3" w:rsidRDefault="007F5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E14" w14:textId="77777777" w:rsidR="00A24EDC" w:rsidRDefault="00A24E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D18E" w14:textId="77777777" w:rsidR="00F14B2F" w:rsidRDefault="00F14B2F" w:rsidP="00F14B2F"/>
  <w:p w14:paraId="7E1CEE81" w14:textId="77777777" w:rsidR="00F14B2F" w:rsidRPr="00D35E10" w:rsidRDefault="00F14B2F" w:rsidP="00F14B2F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21728" behindDoc="0" locked="1" layoutInCell="1" allowOverlap="1" wp14:anchorId="73B2E280" wp14:editId="30A83D51">
              <wp:simplePos x="0" y="0"/>
              <wp:positionH relativeFrom="column">
                <wp:posOffset>-1781810</wp:posOffset>
              </wp:positionH>
              <wp:positionV relativeFrom="page">
                <wp:posOffset>8738235</wp:posOffset>
              </wp:positionV>
              <wp:extent cx="2829560" cy="341630"/>
              <wp:effectExtent l="0" t="635" r="1905" b="1905"/>
              <wp:wrapNone/>
              <wp:docPr id="135502512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560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F1050A" w14:textId="77777777" w:rsidR="00F14B2F" w:rsidRPr="00184DEA" w:rsidRDefault="00F14B2F" w:rsidP="00F14B2F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2E2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40.3pt;margin-top:688.05pt;width:222.8pt;height:26.9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" fillcolor="white [3201]" stroked="f" strokeweight=".5pt">
              <v:textbox>
                <w:txbxContent>
                  <w:p w14:paraId="77F1050A" w14:textId="77777777" w:rsidR="00F14B2F" w:rsidRPr="00184DEA" w:rsidRDefault="00F14B2F" w:rsidP="00F14B2F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1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2</w:t>
    </w:r>
    <w:r w:rsidRPr="006F0ECA">
      <w:rPr>
        <w:rStyle w:val="Hervorhebung"/>
        <w:b w:val="0"/>
        <w:bCs w:val="0"/>
      </w:rPr>
      <w:fldChar w:fldCharType="end"/>
    </w:r>
  </w:p>
  <w:p w14:paraId="36F6CB5E" w14:textId="77777777" w:rsidR="00F14B2F" w:rsidRDefault="00F14B2F" w:rsidP="00F14B2F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>Vordere Zollamtss</w:t>
    </w:r>
    <w:r w:rsidR="00D12EFF">
      <w:rPr>
        <w:color w:val="999999"/>
        <w:sz w:val="15"/>
        <w:szCs w:val="15"/>
      </w:rPr>
      <w:t>t</w:t>
    </w:r>
    <w:r>
      <w:rPr>
        <w:color w:val="999999"/>
        <w:sz w:val="15"/>
        <w:szCs w:val="15"/>
      </w:rPr>
      <w:t>raße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34E49C68" w14:textId="77777777" w:rsidR="00F14B2F" w:rsidRPr="00DE65BA" w:rsidRDefault="00F14B2F" w:rsidP="00F14B2F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C219C9">
      <w:rPr>
        <w:color w:val="999999"/>
        <w:sz w:val="15"/>
        <w:szCs w:val="15"/>
      </w:rPr>
      <w:tab/>
    </w:r>
    <w:r w:rsidRPr="00DE65BA">
      <w:rPr>
        <w:color w:val="999999"/>
        <w:sz w:val="15"/>
        <w:szCs w:val="15"/>
        <w:lang w:val="en-US"/>
      </w:rPr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415111A8" w14:textId="77777777" w:rsidR="00CE63E3" w:rsidRPr="00CE63E3" w:rsidRDefault="00F14B2F" w:rsidP="0078493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081" w14:textId="77777777" w:rsidR="001A63BD" w:rsidRDefault="001A63BD" w:rsidP="001A63BD"/>
  <w:p w14:paraId="6DAF6897" w14:textId="77777777" w:rsidR="00DE65BA" w:rsidRPr="00D35E10" w:rsidRDefault="001A63BD" w:rsidP="00FD0F5B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17632" behindDoc="0" locked="1" layoutInCell="1" allowOverlap="1" wp14:anchorId="26CC913D" wp14:editId="10EC8D55">
              <wp:simplePos x="0" y="0"/>
              <wp:positionH relativeFrom="column">
                <wp:posOffset>-1781810</wp:posOffset>
              </wp:positionH>
              <wp:positionV relativeFrom="page">
                <wp:posOffset>8738235</wp:posOffset>
              </wp:positionV>
              <wp:extent cx="2829560" cy="341630"/>
              <wp:effectExtent l="0" t="635" r="1905" b="1905"/>
              <wp:wrapNone/>
              <wp:docPr id="112007959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560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E84B86" w14:textId="77777777" w:rsidR="001A63BD" w:rsidRPr="00184DEA" w:rsidRDefault="001A63BD" w:rsidP="001A63BD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C91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0.3pt;margin-top:688.05pt;width:222.8pt;height:26.9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" fillcolor="white [3201]" stroked="f" strokeweight=".5pt">
              <v:textbox>
                <w:txbxContent>
                  <w:p w14:paraId="6EE84B86" w14:textId="77777777" w:rsidR="001A63BD" w:rsidRPr="00184DEA" w:rsidRDefault="001A63BD" w:rsidP="001A63BD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2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2</w:t>
    </w:r>
    <w:r w:rsidRPr="006F0ECA">
      <w:rPr>
        <w:rStyle w:val="Hervorhebung"/>
        <w:b w:val="0"/>
        <w:bCs w:val="0"/>
      </w:rPr>
      <w:fldChar w:fldCharType="end"/>
    </w:r>
  </w:p>
  <w:p w14:paraId="7D4C5FFD" w14:textId="77777777" w:rsid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 xml:space="preserve">Vordere </w:t>
    </w:r>
    <w:proofErr w:type="spellStart"/>
    <w:r>
      <w:rPr>
        <w:color w:val="999999"/>
        <w:sz w:val="15"/>
        <w:szCs w:val="15"/>
      </w:rPr>
      <w:t>Zollamtssraße</w:t>
    </w:r>
    <w:proofErr w:type="spellEnd"/>
    <w:r>
      <w:rPr>
        <w:color w:val="999999"/>
        <w:sz w:val="15"/>
        <w:szCs w:val="15"/>
      </w:rPr>
      <w:t xml:space="preserve">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760B65EB" w14:textId="77777777" w:rsidR="00DE65BA" w:rsidRPr="00DE65BA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DE65BA">
      <w:rPr>
        <w:color w:val="999999"/>
        <w:sz w:val="15"/>
        <w:szCs w:val="15"/>
        <w:lang w:val="en-US"/>
      </w:rPr>
      <w:t>Austria Tourism</w:t>
    </w:r>
    <w:r w:rsidRPr="00DE65BA">
      <w:rPr>
        <w:color w:val="999999"/>
        <w:sz w:val="15"/>
        <w:szCs w:val="15"/>
        <w:lang w:val="en-US"/>
      </w:rPr>
      <w:tab/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2E51CFB3" w14:textId="77777777" w:rsidR="00DE65BA" w:rsidRP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176E" w14:textId="77777777" w:rsidR="007F5CB3" w:rsidRDefault="007F5CB3" w:rsidP="00184DEA">
      <w:pPr>
        <w:spacing w:after="0" w:line="240" w:lineRule="auto"/>
      </w:pPr>
      <w:r>
        <w:separator/>
      </w:r>
    </w:p>
    <w:p w14:paraId="5F1879A7" w14:textId="77777777" w:rsidR="007F5CB3" w:rsidRDefault="007F5CB3"/>
  </w:footnote>
  <w:footnote w:type="continuationSeparator" w:id="0">
    <w:p w14:paraId="1A41474E" w14:textId="77777777" w:rsidR="007F5CB3" w:rsidRDefault="007F5CB3" w:rsidP="00184DEA">
      <w:pPr>
        <w:spacing w:after="0" w:line="240" w:lineRule="auto"/>
      </w:pPr>
      <w:r>
        <w:continuationSeparator/>
      </w:r>
    </w:p>
    <w:p w14:paraId="5559425E" w14:textId="77777777" w:rsidR="007F5CB3" w:rsidRDefault="007F5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97EE" w14:textId="77777777" w:rsidR="008B2A4D" w:rsidRDefault="008B2A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C8CD" w14:textId="77777777" w:rsidR="00F14B2F" w:rsidRDefault="00820031" w:rsidP="00F14B2F">
    <w:pPr>
      <w:pStyle w:val="Kopfzeile"/>
    </w:pPr>
    <w:r>
      <w:rPr>
        <w:noProof/>
      </w:rPr>
      <w:drawing>
        <wp:anchor distT="0" distB="0" distL="114300" distR="114300" simplePos="0" relativeHeight="251723776" behindDoc="1" locked="1" layoutInCell="1" allowOverlap="1" wp14:anchorId="57E02687" wp14:editId="3143C8DA">
          <wp:simplePos x="0" y="0"/>
          <wp:positionH relativeFrom="column">
            <wp:posOffset>4547870</wp:posOffset>
          </wp:positionH>
          <wp:positionV relativeFrom="page">
            <wp:posOffset>228600</wp:posOffset>
          </wp:positionV>
          <wp:extent cx="1864360" cy="1000760"/>
          <wp:effectExtent l="0" t="0" r="0" b="0"/>
          <wp:wrapNone/>
          <wp:docPr id="1949774129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9C41" w14:textId="77777777" w:rsidR="001A63BD" w:rsidRDefault="001A63BD" w:rsidP="004D3D04">
    <w:pPr>
      <w:pStyle w:val="Kopfzeile"/>
    </w:pPr>
    <w:r w:rsidRPr="00282ED7">
      <w:rPr>
        <w:noProof/>
      </w:rPr>
      <w:drawing>
        <wp:anchor distT="0" distB="0" distL="114300" distR="114300" simplePos="0" relativeHeight="251714560" behindDoc="0" locked="1" layoutInCell="1" allowOverlap="1" wp14:anchorId="414506CC" wp14:editId="102286B2">
          <wp:simplePos x="0" y="0"/>
          <wp:positionH relativeFrom="column">
            <wp:posOffset>4725670</wp:posOffset>
          </wp:positionH>
          <wp:positionV relativeFrom="paragraph">
            <wp:posOffset>-218440</wp:posOffset>
          </wp:positionV>
          <wp:extent cx="1497330" cy="1011555"/>
          <wp:effectExtent l="0" t="0" r="0" b="0"/>
          <wp:wrapNone/>
          <wp:docPr id="149357263" name="Grafik 3" descr="Ein Bild, das Schrift, Logo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56571" name="Grafik 3" descr="Ein Bild, das Schrift, Logo, Grafiken, Screensho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088" r="10338"/>
                  <a:stretch/>
                </pic:blipFill>
                <pic:spPr bwMode="auto">
                  <a:xfrm>
                    <a:off x="0" y="0"/>
                    <a:ext cx="1497330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553"/>
    <w:multiLevelType w:val="hybridMultilevel"/>
    <w:tmpl w:val="51BE3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1D6"/>
    <w:multiLevelType w:val="hybridMultilevel"/>
    <w:tmpl w:val="E8500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915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AA559D"/>
    <w:multiLevelType w:val="hybridMultilevel"/>
    <w:tmpl w:val="73DC1C7E"/>
    <w:lvl w:ilvl="0" w:tplc="0407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41D84DE9"/>
    <w:multiLevelType w:val="multilevel"/>
    <w:tmpl w:val="A3B4D34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CD5E37"/>
    <w:multiLevelType w:val="hybridMultilevel"/>
    <w:tmpl w:val="465A5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A325A6"/>
    <w:multiLevelType w:val="multilevel"/>
    <w:tmpl w:val="62A0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ufzhlu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F61C10"/>
    <w:multiLevelType w:val="hybridMultilevel"/>
    <w:tmpl w:val="FD74C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845AF"/>
    <w:multiLevelType w:val="hybridMultilevel"/>
    <w:tmpl w:val="5E382962"/>
    <w:lvl w:ilvl="0" w:tplc="1488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184F1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6D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1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CAC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0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0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E9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46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D3C"/>
    <w:multiLevelType w:val="hybridMultilevel"/>
    <w:tmpl w:val="7A48B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11A9"/>
    <w:multiLevelType w:val="hybridMultilevel"/>
    <w:tmpl w:val="6386702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949972174">
    <w:abstractNumId w:val="6"/>
  </w:num>
  <w:num w:numId="2" w16cid:durableId="963197043">
    <w:abstractNumId w:val="6"/>
    <w:lvlOverride w:ilvl="0">
      <w:startOverride w:val="1"/>
    </w:lvlOverride>
  </w:num>
  <w:num w:numId="3" w16cid:durableId="1177647296">
    <w:abstractNumId w:val="4"/>
  </w:num>
  <w:num w:numId="4" w16cid:durableId="1482189251">
    <w:abstractNumId w:val="9"/>
  </w:num>
  <w:num w:numId="5" w16cid:durableId="1575893089">
    <w:abstractNumId w:val="3"/>
  </w:num>
  <w:num w:numId="6" w16cid:durableId="1958297010">
    <w:abstractNumId w:val="4"/>
  </w:num>
  <w:num w:numId="7" w16cid:durableId="2062630414">
    <w:abstractNumId w:val="8"/>
  </w:num>
  <w:num w:numId="8" w16cid:durableId="193005547">
    <w:abstractNumId w:val="11"/>
  </w:num>
  <w:num w:numId="9" w16cid:durableId="856892571">
    <w:abstractNumId w:val="4"/>
  </w:num>
  <w:num w:numId="10" w16cid:durableId="290213404">
    <w:abstractNumId w:val="4"/>
  </w:num>
  <w:num w:numId="11" w16cid:durableId="570967708">
    <w:abstractNumId w:val="1"/>
  </w:num>
  <w:num w:numId="12" w16cid:durableId="276068172">
    <w:abstractNumId w:val="10"/>
  </w:num>
  <w:num w:numId="13" w16cid:durableId="1246842716">
    <w:abstractNumId w:val="5"/>
  </w:num>
  <w:num w:numId="14" w16cid:durableId="458456142">
    <w:abstractNumId w:val="0"/>
  </w:num>
  <w:num w:numId="15" w16cid:durableId="233201377">
    <w:abstractNumId w:val="2"/>
  </w:num>
  <w:num w:numId="16" w16cid:durableId="864830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C9"/>
    <w:rsid w:val="00003067"/>
    <w:rsid w:val="00040A7C"/>
    <w:rsid w:val="0004364A"/>
    <w:rsid w:val="0005106F"/>
    <w:rsid w:val="00056F49"/>
    <w:rsid w:val="000744B5"/>
    <w:rsid w:val="00077768"/>
    <w:rsid w:val="000C2D99"/>
    <w:rsid w:val="000E2A8F"/>
    <w:rsid w:val="000E3BC8"/>
    <w:rsid w:val="00115517"/>
    <w:rsid w:val="0014567D"/>
    <w:rsid w:val="00184DEA"/>
    <w:rsid w:val="001A63BD"/>
    <w:rsid w:val="002173BE"/>
    <w:rsid w:val="002325C3"/>
    <w:rsid w:val="002345DE"/>
    <w:rsid w:val="00282ED7"/>
    <w:rsid w:val="002B3DCE"/>
    <w:rsid w:val="002F3B92"/>
    <w:rsid w:val="003623F6"/>
    <w:rsid w:val="0041285E"/>
    <w:rsid w:val="00424CEF"/>
    <w:rsid w:val="00435CEE"/>
    <w:rsid w:val="00446807"/>
    <w:rsid w:val="00463459"/>
    <w:rsid w:val="004755A6"/>
    <w:rsid w:val="00475923"/>
    <w:rsid w:val="004C3A87"/>
    <w:rsid w:val="004D0855"/>
    <w:rsid w:val="004D3D04"/>
    <w:rsid w:val="004F7E3A"/>
    <w:rsid w:val="00546DA5"/>
    <w:rsid w:val="00571C10"/>
    <w:rsid w:val="005F65C8"/>
    <w:rsid w:val="006337AD"/>
    <w:rsid w:val="006A5B42"/>
    <w:rsid w:val="006D11EB"/>
    <w:rsid w:val="006F0ECA"/>
    <w:rsid w:val="006F38E4"/>
    <w:rsid w:val="0073241C"/>
    <w:rsid w:val="0078493A"/>
    <w:rsid w:val="00785E77"/>
    <w:rsid w:val="007862B2"/>
    <w:rsid w:val="00786548"/>
    <w:rsid w:val="007E60A1"/>
    <w:rsid w:val="007F5CB3"/>
    <w:rsid w:val="00820031"/>
    <w:rsid w:val="00865FD2"/>
    <w:rsid w:val="008719C0"/>
    <w:rsid w:val="00880829"/>
    <w:rsid w:val="008B2A4D"/>
    <w:rsid w:val="008E147E"/>
    <w:rsid w:val="008F0E1E"/>
    <w:rsid w:val="009026A0"/>
    <w:rsid w:val="0092450A"/>
    <w:rsid w:val="00946CF7"/>
    <w:rsid w:val="00956EC1"/>
    <w:rsid w:val="0097743A"/>
    <w:rsid w:val="00981E97"/>
    <w:rsid w:val="009C40FA"/>
    <w:rsid w:val="00A24EDC"/>
    <w:rsid w:val="00A43DC6"/>
    <w:rsid w:val="00A7715B"/>
    <w:rsid w:val="00A934B3"/>
    <w:rsid w:val="00AB43B3"/>
    <w:rsid w:val="00AD1F8A"/>
    <w:rsid w:val="00AD3BC3"/>
    <w:rsid w:val="00AD4F31"/>
    <w:rsid w:val="00AE5E79"/>
    <w:rsid w:val="00B146E7"/>
    <w:rsid w:val="00B34D98"/>
    <w:rsid w:val="00B43C75"/>
    <w:rsid w:val="00B9518B"/>
    <w:rsid w:val="00BE7CF8"/>
    <w:rsid w:val="00BF3519"/>
    <w:rsid w:val="00C219C9"/>
    <w:rsid w:val="00C80D7E"/>
    <w:rsid w:val="00CC064A"/>
    <w:rsid w:val="00CE58C5"/>
    <w:rsid w:val="00CE59B2"/>
    <w:rsid w:val="00CE63E3"/>
    <w:rsid w:val="00CF4F41"/>
    <w:rsid w:val="00CF63C7"/>
    <w:rsid w:val="00D01F24"/>
    <w:rsid w:val="00D07949"/>
    <w:rsid w:val="00D12EFF"/>
    <w:rsid w:val="00D16AD2"/>
    <w:rsid w:val="00D25655"/>
    <w:rsid w:val="00D35E10"/>
    <w:rsid w:val="00D67351"/>
    <w:rsid w:val="00D71453"/>
    <w:rsid w:val="00D74847"/>
    <w:rsid w:val="00D94F9E"/>
    <w:rsid w:val="00DB4948"/>
    <w:rsid w:val="00DD6B10"/>
    <w:rsid w:val="00DE65BA"/>
    <w:rsid w:val="00DF3003"/>
    <w:rsid w:val="00DF6B51"/>
    <w:rsid w:val="00E20D07"/>
    <w:rsid w:val="00E369A6"/>
    <w:rsid w:val="00E612C1"/>
    <w:rsid w:val="00E633E4"/>
    <w:rsid w:val="00E6426D"/>
    <w:rsid w:val="00EB3B52"/>
    <w:rsid w:val="00ED3DE0"/>
    <w:rsid w:val="00EE683B"/>
    <w:rsid w:val="00F008CA"/>
    <w:rsid w:val="00F119A7"/>
    <w:rsid w:val="00F12709"/>
    <w:rsid w:val="00F14B2F"/>
    <w:rsid w:val="00F163EB"/>
    <w:rsid w:val="00F816BC"/>
    <w:rsid w:val="00F932FD"/>
    <w:rsid w:val="00FD0F5B"/>
    <w:rsid w:val="00FD1B4E"/>
    <w:rsid w:val="00FD62EB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9E83"/>
  <w15:docId w15:val="{E16149BE-36C3-4358-BE5D-8FEDEB2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CEE"/>
    <w:pPr>
      <w:spacing w:after="60" w:line="276" w:lineRule="auto"/>
    </w:pPr>
    <w:rPr>
      <w:color w:val="000000" w:themeColor="text1"/>
      <w:sz w:val="22"/>
    </w:rPr>
  </w:style>
  <w:style w:type="paragraph" w:styleId="berschrift1">
    <w:name w:val="heading 1"/>
    <w:aliases w:val="Aufzählung 1"/>
    <w:basedOn w:val="Listenabsatz"/>
    <w:next w:val="Standard"/>
    <w:link w:val="berschrift1Zchn"/>
    <w:uiPriority w:val="9"/>
    <w:qFormat/>
    <w:rsid w:val="004755A6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755A6"/>
    <w:pPr>
      <w:spacing w:line="278" w:lineRule="auto"/>
      <w:ind w:left="0"/>
      <w:outlineLvl w:val="1"/>
    </w:pPr>
    <w:rPr>
      <w:b/>
      <w:bCs/>
      <w:sz w:val="24"/>
      <w:szCs w:val="24"/>
    </w:rPr>
  </w:style>
  <w:style w:type="paragraph" w:styleId="berschrift3">
    <w:name w:val="heading 3"/>
    <w:aliases w:val="Aufzählung 2"/>
    <w:basedOn w:val="Listenabsatz"/>
    <w:next w:val="Standard"/>
    <w:link w:val="berschrift3Zchn"/>
    <w:uiPriority w:val="9"/>
    <w:unhideWhenUsed/>
    <w:qFormat/>
    <w:rsid w:val="0078493A"/>
    <w:pPr>
      <w:numPr>
        <w:ilvl w:val="1"/>
        <w:numId w:val="16"/>
      </w:numPr>
      <w:ind w:left="540" w:hanging="540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ufzählung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aliases w:val="Aufzählung 2 Zchn"/>
    <w:basedOn w:val="Absatz-Standardschriftart"/>
    <w:link w:val="berschrift3"/>
    <w:uiPriority w:val="9"/>
    <w:rsid w:val="0078493A"/>
    <w:rPr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Footer,Headline"/>
    <w:uiPriority w:val="1"/>
    <w:rsid w:val="00D16AD2"/>
    <w:pPr>
      <w:spacing w:after="0" w:line="240" w:lineRule="auto"/>
    </w:pPr>
    <w:rPr>
      <w:color w:val="C7C7C4"/>
      <w:sz w:val="15"/>
    </w:rPr>
  </w:style>
  <w:style w:type="character" w:styleId="SchwacheHervorhebung">
    <w:name w:val="Subtle Emphasis"/>
    <w:aliases w:val="Hervorheben"/>
    <w:uiPriority w:val="19"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0563C1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customStyle="1" w:styleId="Text">
    <w:name w:val="Text"/>
    <w:link w:val="TextZchn"/>
    <w:qFormat/>
    <w:rsid w:val="004755A6"/>
    <w:pPr>
      <w:tabs>
        <w:tab w:val="left" w:pos="5400"/>
        <w:tab w:val="left" w:pos="8505"/>
      </w:tabs>
    </w:pPr>
    <w:rPr>
      <w:color w:val="000000" w:themeColor="text1"/>
      <w:sz w:val="22"/>
    </w:rPr>
  </w:style>
  <w:style w:type="paragraph" w:styleId="Untertitel">
    <w:name w:val="Subtitle"/>
    <w:aliases w:val="rot_unterstrichen"/>
    <w:basedOn w:val="Standard"/>
    <w:next w:val="Standard"/>
    <w:link w:val="UntertitelZchn"/>
    <w:uiPriority w:val="11"/>
    <w:rsid w:val="00435CEE"/>
    <w:pPr>
      <w:ind w:left="907"/>
    </w:pPr>
    <w:rPr>
      <w:sz w:val="20"/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3BD"/>
    <w:rPr>
      <w:color w:val="605E5C"/>
      <w:shd w:val="clear" w:color="auto" w:fill="E1DFDD"/>
    </w:rPr>
  </w:style>
  <w:style w:type="paragraph" w:customStyle="1" w:styleId="berschrift">
    <w:name w:val="Überschrift"/>
    <w:next w:val="Standard"/>
    <w:qFormat/>
    <w:rsid w:val="004755A6"/>
    <w:rPr>
      <w:b/>
      <w:bCs/>
      <w:color w:val="DC0000"/>
      <w:sz w:val="28"/>
      <w:szCs w:val="28"/>
      <w:lang w:val="de-DE"/>
    </w:rPr>
  </w:style>
  <w:style w:type="numbering" w:customStyle="1" w:styleId="AktuelleListe1">
    <w:name w:val="Aktuelle Liste1"/>
    <w:uiPriority w:val="99"/>
    <w:rsid w:val="004755A6"/>
    <w:pPr>
      <w:numPr>
        <w:numId w:val="15"/>
      </w:numPr>
    </w:pPr>
  </w:style>
  <w:style w:type="paragraph" w:customStyle="1" w:styleId="Zwischenberschrift">
    <w:name w:val="Zwischenüberschrift"/>
    <w:basedOn w:val="Standard"/>
    <w:next w:val="Text"/>
    <w:qFormat/>
    <w:rsid w:val="004755A6"/>
    <w:pPr>
      <w:tabs>
        <w:tab w:val="left" w:pos="5400"/>
        <w:tab w:val="left" w:pos="8505"/>
      </w:tabs>
    </w:pPr>
    <w:rPr>
      <w:b/>
      <w:bCs/>
      <w:color w:val="999999"/>
      <w:lang w:val="de-DE"/>
    </w:rPr>
  </w:style>
  <w:style w:type="paragraph" w:customStyle="1" w:styleId="Hervorheben2">
    <w:name w:val="Hervorheben 2"/>
    <w:basedOn w:val="Standard"/>
    <w:next w:val="Standard"/>
    <w:qFormat/>
    <w:rsid w:val="004755A6"/>
    <w:rPr>
      <w:color w:val="DC0000"/>
    </w:rPr>
  </w:style>
  <w:style w:type="paragraph" w:customStyle="1" w:styleId="Aufzhlung3">
    <w:name w:val="Aufzählung 3"/>
    <w:basedOn w:val="berschrift3"/>
    <w:next w:val="Standard"/>
    <w:qFormat/>
    <w:rsid w:val="0078493A"/>
    <w:pPr>
      <w:numPr>
        <w:ilvl w:val="2"/>
      </w:numPr>
      <w:ind w:left="540" w:hanging="540"/>
    </w:pPr>
    <w:rPr>
      <w:bCs w:val="0"/>
      <w:sz w:val="22"/>
    </w:rPr>
  </w:style>
  <w:style w:type="table" w:customStyle="1" w:styleId="WTabelleohneKopfzeile">
    <w:name w:val="ÖW Tabelle ohne Kopfzeile"/>
    <w:basedOn w:val="NormaleTabelle"/>
    <w:uiPriority w:val="99"/>
    <w:rsid w:val="00DE65BA"/>
    <w:pPr>
      <w:spacing w:after="0" w:line="240" w:lineRule="auto"/>
    </w:pPr>
    <w:rPr>
      <w:rFonts w:cs="Times New Roman"/>
      <w:kern w:val="0"/>
      <w:sz w:val="18"/>
      <w14:ligatures w14:val="none"/>
    </w:rPr>
    <w:tblPr>
      <w:tblInd w:w="108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85" w:type="dxa"/>
        <w:bottom w:w="85" w:type="dxa"/>
      </w:tblCellMar>
    </w:tblPr>
    <w:tcPr>
      <w:vAlign w:val="bottom"/>
    </w:tcPr>
  </w:style>
  <w:style w:type="paragraph" w:customStyle="1" w:styleId="rot-unterstrichen">
    <w:name w:val="rot-unterstrichen"/>
    <w:basedOn w:val="Text"/>
    <w:next w:val="Text"/>
    <w:link w:val="rot-unterstrichenZchn"/>
    <w:qFormat/>
    <w:rsid w:val="00F14B2F"/>
    <w:pPr>
      <w:tabs>
        <w:tab w:val="clear" w:pos="5400"/>
        <w:tab w:val="clear" w:pos="8505"/>
      </w:tabs>
      <w:spacing w:after="120" w:line="276" w:lineRule="auto"/>
      <w:ind w:left="907"/>
    </w:pPr>
    <w:rPr>
      <w:u w:val="thick" w:color="DC0000"/>
      <w:lang w:val="en-US"/>
    </w:rPr>
  </w:style>
  <w:style w:type="character" w:customStyle="1" w:styleId="TextZchn">
    <w:name w:val="Text Zchn"/>
    <w:basedOn w:val="Absatz-Standardschriftart"/>
    <w:link w:val="Text"/>
    <w:rsid w:val="00F14B2F"/>
    <w:rPr>
      <w:color w:val="000000" w:themeColor="text1"/>
      <w:sz w:val="22"/>
    </w:rPr>
  </w:style>
  <w:style w:type="character" w:customStyle="1" w:styleId="rot-unterstrichenZchn">
    <w:name w:val="rot-unterstrichen Zchn"/>
    <w:basedOn w:val="TextZchn"/>
    <w:link w:val="rot-unterstrichen"/>
    <w:rsid w:val="00F14B2F"/>
    <w:rPr>
      <w:color w:val="000000" w:themeColor="text1"/>
      <w:sz w:val="22"/>
      <w:u w:val="thick" w:color="DC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Link1" Type="http://schemas.openxmlformats.org/officeDocument/2006/relationships/hyperlink" Target="https://www.acb.at/wp-content/uploads/2026/05/mira2025_ACBPresseaussendung_22.05.2026.pdf" TargetMode="External"/><Relationship Id="rIdLink2" Type="http://schemas.openxmlformats.org/officeDocument/2006/relationships/hyperlink" Target="https://www.acb.at/wp-content/uploads/pdf/mira-2025.pdf" TargetMode="External"/><Relationship Id="rIdLink3" Type="http://schemas.openxmlformats.org/officeDocument/2006/relationships/hyperlink" Target="https://www.acb.at/wp-content/uploads/2026/05/10_Fakten_mira2025.pdf" TargetMode="External"/><Relationship Id="rIdLink4" Type="http://schemas.openxmlformats.org/officeDocument/2006/relationships/hyperlink" Target="https://www.acb.at/wp-content/uploads/2026/05/Blitzumfrage_2026.pdf" TargetMode="External"/><Relationship Id="rIdLink5" Type="http://schemas.openxmlformats.org/officeDocument/2006/relationships/hyperlink" Target="https://www.acb.at/themen/daten-zahlen-fakten/wertschoepfungsstudie/" TargetMode="External"/><Relationship Id="rIdContactEmail6" Type="http://schemas.openxmlformats.org/officeDocument/2006/relationships/hyperlink" Target="mailto:thomas.kreidl@austria.info" TargetMode="External"/><Relationship Id="rIdContactUrl7" Type="http://schemas.openxmlformats.org/officeDocument/2006/relationships/hyperlink" Target="https://b2b.austria.info/de-at/newsroom/" TargetMode="External"/><Relationship Id="rIdContactEmail8" Type="http://schemas.openxmlformats.org/officeDocument/2006/relationships/hyperlink" Target="mailto:n.koerber@acb.at" TargetMode="External"/><Relationship Id="rIdContactUrl9" Type="http://schemas.openxmlformats.org/officeDocument/2006/relationships/hyperlink" Target="https://www.acb.at/Pres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ew.sharepoint.com/sites/intranet-assets/Allgemein/de_Flie&#223;text_EXTERN_NEU.dotx" TargetMode="External"/></Relationships>
</file>

<file path=word/theme/theme1.xml><?xml version="1.0" encoding="utf-8"?>
<a:theme xmlns:a="http://schemas.openxmlformats.org/drawingml/2006/main" name="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2344-a26b-456f-8e61-7ec650c78c3c" xsi:nil="true"/>
    <lcf76f155ced4ddcb4097134ff3c332f xmlns="e88a6fb1-3d92-42e8-8552-d6b83ea76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510C0AC210A43828962735EF5EF4C" ma:contentTypeVersion="10" ma:contentTypeDescription="Ein neues Dokument erstellen." ma:contentTypeScope="" ma:versionID="263397371161c157467157a6fe6b0a24">
  <xsd:schema xmlns:xsd="http://www.w3.org/2001/XMLSchema" xmlns:xs="http://www.w3.org/2001/XMLSchema" xmlns:p="http://schemas.microsoft.com/office/2006/metadata/properties" xmlns:ns2="e88a6fb1-3d92-42e8-8552-d6b83ea76391" xmlns:ns3="bf6d2344-a26b-456f-8e61-7ec650c78c3c" targetNamespace="http://schemas.microsoft.com/office/2006/metadata/properties" ma:root="true" ma:fieldsID="b088358be3bf4d6f220f8f64c65cea10" ns2:_="" ns3:_="">
    <xsd:import namespace="e88a6fb1-3d92-42e8-8552-d6b83ea76391"/>
    <xsd:import namespace="bf6d2344-a26b-456f-8e61-7ec650c78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a6fb1-3d92-42e8-8552-d6b83ea76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2344-a26b-456f-8e61-7ec650c78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c2a889-bf35-41c9-9aa2-0d591bcd6d0f}" ma:internalName="TaxCatchAll" ma:showField="CatchAllData" ma:web="82a75c68-01af-4751-97db-9a19e254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04410E-8384-4CBB-92CE-54A5134D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E1A51-06EA-4536-8D0A-3C8BD6478CF0}">
  <ds:schemaRefs>
    <ds:schemaRef ds:uri="http://schemas.microsoft.com/office/2006/metadata/properties"/>
    <ds:schemaRef ds:uri="http://schemas.microsoft.com/office/infopath/2007/PartnerControls"/>
    <ds:schemaRef ds:uri="bf6d2344-a26b-456f-8e61-7ec650c78c3c"/>
    <ds:schemaRef ds:uri="e88a6fb1-3d92-42e8-8552-d6b83ea76391"/>
  </ds:schemaRefs>
</ds:datastoreItem>
</file>

<file path=customXml/itemProps3.xml><?xml version="1.0" encoding="utf-8"?>
<ds:datastoreItem xmlns:ds="http://schemas.openxmlformats.org/officeDocument/2006/customXml" ds:itemID="{F8116C9C-A8E4-44E2-B3FE-636AB9C6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a6fb1-3d92-42e8-8552-d6b83ea76391"/>
    <ds:schemaRef ds:uri="bf6d2344-a26b-456f-8e61-7ec650c7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de_Fließtext_EXTERN_NEU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Ferner,Tanja</dc:creator>
  <cp:keywords/>
  <dc:description/>
  <cp:lastModifiedBy>Ferner,Tanja</cp:lastModifiedBy>
  <cp:revision>1</cp:revision>
  <cp:lastPrinted>2024-08-13T11:22:00Z</cp:lastPrinted>
  <dcterms:created xsi:type="dcterms:W3CDTF">2026-05-06T18:39:00Z</dcterms:created>
  <dcterms:modified xsi:type="dcterms:W3CDTF">2026-05-06T18:40:00Z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0x010100880510C0AC210A43828962735EF5EF4C</vt:lpwstr>
  </property>
  <property fmtid="{D5CDD505-2E9C-101B-9397-08002B2CF9AE}" pid="3" name="MediaServiceImageTags">
    <vt:lpwstr/>
  </property>
</Properties>
</file>