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Austria House: Österreich Werbung inszeniert Kulinarik, touristische Geheimtipps und Lebensgefühl auf olympischer Bühne</w:t>
      </w:r>
    </w:p>
    <w:p>
      <w:pPr>
        <w:pStyle w:val="Text"/>
      </w:pPr>
      <w:r>
        <w:rPr>
          <w:sz w:val="24"/>
          <w:szCs w:val="24"/>
        </w:rPr>
        <w:t xml:space="preserve"> Österreich mit allen Sinnen erleben. Mit dem Austria House hat das Österreichische Olympische Comité gemeinsam mit dem Premium-Partner Österreich Werbung eine olympische Bühne inmitten der alpinen Atmosphäre von Cortina d’Ampezzo geschaffen, auf der sich die rot-weiß-rote Wintersportnation als exzellentes Gastgeberland in all seiner Vielfalt präsentieren darf.</w:t>
      </w:r>
    </w:p>
    <w:p>
      <w:pPr>
        <w:pStyle w:val="Text"/>
        <w:spacing w:before="0" w:after="0" w:line="240" w:lineRule="exact"/>
      </w:pPr>
    </w:p>
    <w:p>
      <w:pPr>
        <w:pStyle w:val="Text"/>
      </w:pPr>
      <w:r>
        <w:rPr>
          <w:sz w:val="24"/>
          <w:szCs w:val="24"/>
        </w:rPr>
        <w:t>Das Austria House wird bei den Olympischen Winterspielen Mailand Cortina 2026 wieder zum Olympia-Hotspot: Heimat für Athlet:innen, Gastgeber für internationales Publikum, Plattform für Wirtschaft, Tourismus, Sport, Politik und Medien. Die ganze Welt blickt auf das Spektakel im Zeichen der fünf Ringe – Olympia als globales Schaufenster. Genau diese Aufmerksamkeit nutzt die Österreich Werbung, um Österreich als alpine Winter- und Ganzjahresdestination zu positionieren. Im Austria House werden nicht nur sportliche Höchstleistungen gefeiert, sondern auch jene Qualitäten gezeigt, die Österreich international auszeichnen: Gastfreundschaft, Kulinarik, regionale Vielfalt und das besondere Lebensgefühl.</w:t>
      </w:r>
    </w:p>
    <w:p>
      <w:pPr>
        <w:pStyle w:val="Text"/>
      </w:pPr>
      <w:r>
        <w:rPr>
          <w:sz w:val="24"/>
          <w:szCs w:val="24"/>
        </w:rPr>
        <w:t>„Mailand Cortina 2026 ist für uns tatsächlich fast ein echtes Heimspiel“, sagt Elisabeth Zehetner, Staatssekretärin für Energie, Startups und Tourismus. „Olympia steht für Spitzenleistungen und verbindet Menschen weltweit. Genau diese Aufmerksamkeit nutzen wir, um Österreich als attraktive Winterdestination mit hoher Qualität, gelebter Gastfreundschaft, regionaler Kulinarik und Angeboten abseits der bekannten Wege zu zeigen.“</w:t>
      </w:r>
    </w:p>
    <w:p>
      <w:pPr>
        <w:pStyle w:val="Text"/>
      </w:pPr>
      <w:r>
        <w:rPr>
          <w:sz w:val="24"/>
          <w:szCs w:val="24"/>
        </w:rPr>
        <w:t>Ein Höhepunkt im Austria House ist der Austria Tourism-Abend am Sonntag, 8. Februar, der ganz im Zeichen der österreichischen „Hidden Gems“ steht. Internationale Gäste aus Wirtschaft, Tourismus, Sport, Politik und Medien erleben Österreich abseits des Erwartbaren.</w:t>
      </w:r>
    </w:p>
    <w:p>
      <w:pPr>
        <w:pStyle w:val="Text"/>
      </w:pPr>
      <w:r>
        <w:rPr>
          <w:sz w:val="24"/>
          <w:szCs w:val="24"/>
        </w:rPr>
        <w:t>„Unser Ziel ist es, internationale Gäste für Österreich als Urlaubsland zu begeistern und dafür nutzen wir gekonnt die Olympische Strahlkraft. Wer das Austria House besucht, erlebt ganz Österreich mit allen Sinnen und die Gäste spüren sofort: Österreich ist nicht nur Top-Wintersportdestination, sondern auch touristischer Gastgeber Nummer eins“, so Steharnig-Staudinger, CEO der Österreich Werbung.</w:t>
      </w:r>
    </w:p>
    <w:p>
      <w:pPr>
        <w:pStyle w:val="Text"/>
      </w:pPr>
      <w:r>
        <w:rPr>
          <w:sz w:val="24"/>
          <w:szCs w:val="24"/>
        </w:rPr>
        <w:t>Um die internationale Markenpräsenz Österreichs als Reiseland zu stärken, setzt die Österreich Werbung auf diverse Branding-Maßnahmen wie digitale Screens, die mit einzigartigen Bildern und Videomaterial aus ganz Österreich bespielt werden.</w:t>
      </w:r>
    </w:p>
    <w:p>
      <w:pPr>
        <w:pStyle w:val="Text"/>
      </w:pPr>
      <w:r>
        <w:rPr>
          <w:b/>
          <w:bCs/>
          <w:sz w:val="24"/>
          <w:szCs w:val="24"/>
        </w:rPr>
        <w:t>Ein Herz für das Austria House: 4,80 Meter hohe lichtanimierte Skulptur</w:t>
      </w:r>
    </w:p>
    <w:p>
      <w:pPr>
        <w:pStyle w:val="Text"/>
      </w:pPr>
      <w:r>
        <w:rPr>
          <w:sz w:val="24"/>
          <w:szCs w:val="24"/>
        </w:rPr>
        <w:t>Das pulsierende Herz wird zum visuellen, emotionalen und weit sichtbaren Leitsymbol des Austria House. Astrid Steharnig-Staudinger erklärt begeistert: „Diese große, lichtanimierte Herzskulptur direkt vor dem Austria House ist ein echtes Highlight: ein pulsierendes, schwebendes Herz, das den Beat der Party sichtbar macht und die Besucher:innen einlädt, Teil ganz besonderer Momente zu werden.“</w:t>
      </w:r>
    </w:p>
    <w:p>
      <w:pPr>
        <w:pStyle w:val="Text"/>
      </w:pPr>
      <w:r>
        <w:rPr>
          <w:sz w:val="24"/>
          <w:szCs w:val="24"/>
        </w:rPr>
        <w:t>Die 4,80 Meter hohe, aus Stahl und eingefärbtem Stoff gebaute und mit LEDs versehene Herzskulptur stammt von der Tiroler Künstlerin Patricia Karg. „Österreich steht für Herzlichkeit – und genau das wollte ich sichtbar machen. Das Herz ist unglaublich stark, es pumpt wie die Athlet:innen bei Olympia, und gleichzeitig ist es fragil und zutiefst emotional. Meine Installation ist ein lichtanimiertes Stoffherz, durch das der Herzschlag der Menschen spürbar wird, umgeben von Eisblöcken: ein Bild dafür, dass Lebendigkeit und Gefühl Kälte überwinden können. Das Herz schwebt frei, fast wie ein Luftballon, zieht die Farben Rot-Weiß-Rot hinter sich her und steht für Freiheit, Emotion und das österreichische Lebensgefühl. Dass ich dieses Symbol für das Austria House gestalten durfte, ist für mich eine große Verantwortung – und ein sehr bewegender Moment.“</w:t>
      </w:r>
    </w:p>
    <w:p>
      <w:pPr>
        <w:pStyle w:val="Text"/>
      </w:pPr>
      <w:r>
        <w:rPr>
          <w:b/>
          <w:bCs/>
          <w:sz w:val="24"/>
          <w:szCs w:val="24"/>
        </w:rPr>
        <w:t>Mission Gastfreundschaft: Austria House als Ort der Begegnung</w:t>
      </w:r>
    </w:p>
    <w:p>
      <w:pPr>
        <w:pStyle w:val="Text"/>
      </w:pPr>
      <w:r>
        <w:rPr>
          <w:sz w:val="24"/>
          <w:szCs w:val="24"/>
        </w:rPr>
        <w:t>Das Austria House ist damit weit mehr als ein Veranstaltungsort. Es ist ein Stück Österreich inmitten der Olympischen Wintersiele – ein Ort der Begegnung, des Austauschs und der Emotion. Für die Österreich Werbung ist es die ideale Plattform, um das alpine Lebensgefühl erlebbar zu machen und internationale Gäste für Österreich zu begeistern. Oder, wie Astrid Steharnig-Staudinger es auf den Punkt bringt: „Gastfreundschaft! Im Austria House sollen Gäste sofort spüren: Österreich ist nicht nur eine Top-Wintersportnation, sondern auch touristischer Gastgeber Nummer eins. Ein Austria House ohne Kaiserschmarrn – mit Rosinen und frisch aus der Pfanne – wäre wie ein Italien-Besuch ohne Pasta! Aber Österreichs Kulinarik hat – auch im Austria House – noch viel mehr zu bieten als unsere weltweit bekannten Klassiker.“</w:t>
      </w:r>
    </w:p>
    <w:p>
      <w:pPr>
        <w:pStyle w:val="Text"/>
      </w:pPr>
    </w:p>
    <w:p>
      <w:pPr>
        <w:pStyle w:val="berschrift2"/>
      </w:pPr>
      <w:r>
        <w:rPr>
          <w:sz w:val="24"/>
          <w:szCs w:val="24"/>
        </w:rPr>
        <w:t>Rückfragehinweis</w:t>
      </w:r>
    </w:p>
    <w:p>
      <w:pPr>
        <w:pStyle w:val="Text"/>
        <w:keepLines/>
      </w:pPr>
      <w:r>
        <w:rPr>
          <w:sz w:val="24"/>
          <w:szCs w:val="24"/>
        </w:rPr>
        <w:t>Julia Kernbichler</w:t>
      </w:r>
      <w:r>
        <w:br/>
      </w:r>
      <w:r>
        <w:rPr>
          <w:sz w:val="24"/>
          <w:szCs w:val="24"/>
        </w:rPr>
        <w:t>Pressesprecherin</w:t>
      </w:r>
      <w:r>
        <w:br/>
      </w:r>
      <w:r>
        <w:rPr>
          <w:sz w:val="24"/>
          <w:szCs w:val="24"/>
        </w:rPr>
        <w:t>Team Corporate Communications</w:t>
      </w:r>
      <w:r>
        <w:br/>
      </w:r>
      <w:r>
        <w:rPr>
          <w:sz w:val="24"/>
          <w:szCs w:val="24"/>
        </w:rPr>
        <w:t>Tel.: +43 1 58866-298</w:t>
      </w:r>
      <w:r>
        <w:br/>
      </w:r>
      <w:hyperlink r:id="rIdContactEmail1" w:history="1">
        <w:r>
          <w:rPr>
            <w:sz w:val="24"/>
            <w:szCs w:val="24"/>
            <w:rStyle w:val="Hyperlink"/>
          </w:rPr>
          <w:t>julia.kernbichler@austria.info</w:t>
        </w:r>
      </w:hyperlink>
      <w:r>
        <w:br/>
      </w:r>
      <w:hyperlink r:id="rIdContactUrl2"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ContactEmail1" Type="http://schemas.openxmlformats.org/officeDocument/2006/relationships/hyperlink" Target="mailto:julia.kernbichler@austria.info" TargetMode="External"/><Relationship Id="rIdContactUrl2"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