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Kennismakingsgesprek · vragenlijst en verslag</w:t>
      </w:r>
    </w:p>
    <w:p>
      <w:pPr>
        <w:spacing w:after="110"/>
      </w:pPr>
      <w:r>
        <w:rPr>
          <w:i/>
          <w:iCs/>
        </w:rPr>
        <w:t xml:space="preserve">Voor de eerste kandidaat op de wachtlijst. Streefduur 15 minuten, maximaal 20. Zelfde vragen voor iedereen, geen vrije beoordeling of score (Playbook 1, stap 5).</w:t>
      </w:r>
    </w:p>
    <w:p>
      <w:pPr>
        <w:spacing w:after="80"/>
      </w:pPr>
      <w:r>
        <w:rPr>
          <w:b/>
          <w:bCs/>
        </w:rPr>
        <w:t xml:space="preserve">Kandidaat:  </w:t>
      </w:r>
      <w:r>
        <w:t xml:space="preserve">...................................................................</w:t>
      </w:r>
    </w:p>
    <w:p>
      <w:pPr>
        <w:spacing w:after="80"/>
      </w:pPr>
      <w:r>
        <w:rPr>
          <w:b/>
          <w:bCs/>
        </w:rPr>
        <w:t xml:space="preserve">Vacature:  </w:t>
      </w:r>
      <w:r>
        <w:t xml:space="preserve">...................................................................</w:t>
      </w:r>
    </w:p>
    <w:p>
      <w:pPr>
        <w:spacing w:after="80"/>
      </w:pPr>
      <w:r>
        <w:rPr>
          <w:b/>
          <w:bCs/>
        </w:rPr>
        <w:t xml:space="preserve">Datum en gespreksvoerder:  </w:t>
      </w:r>
      <w:r>
        <w:t xml:space="preserve">...................................................................</w:t>
      </w:r>
    </w:p>
    <w:p>
      <w:pPr>
        <w:pStyle w:val="Heading1"/>
        <w:spacing w:after="100" w:before="320"/>
      </w:pPr>
      <w:r>
        <w:t xml:space="preserve">Opbouw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Welkom en uitleg (2 min) – dit is geen selectiegesprek; de volgorde van aanmelding bepaalt.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Beschikbaarheid (3 min) · Praktische randvoorwaarden (3 min) · Harde functie-eisen (5 min) · Afsluiting (2 min).</w:t>
      </w:r>
    </w:p>
    <w:p>
      <w:pPr>
        <w:pStyle w:val="Heading1"/>
        <w:spacing w:after="100" w:before="320"/>
      </w:pPr>
      <w:r>
        <w:t xml:space="preserve">Vragen en verslag</w:t>
      </w:r>
    </w:p>
    <w:tbl>
      <w:tblPr>
        <w:tblW w:type="dxa" w:w="90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700"/>
        <w:gridCol w:w="1300"/>
        <w:gridCol w:w="3060"/>
      </w:tblGrid>
      <w:tr>
        <w:trPr>
          <w:tblHeader/>
        </w:trPr>
        <w:tc>
          <w:tcPr>
            <w:tcW w:type="dxa" w:w="4700"/>
            <w:shd w:fill="1F5C6B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/>
                <w:bCs/>
                <w:color w:val="FFFFFF"/>
              </w:rPr>
              <w:t xml:space="preserve">Vraag</w:t>
            </w:r>
          </w:p>
        </w:tc>
        <w:tc>
          <w:tcPr>
            <w:tcW w:type="dxa" w:w="1300"/>
            <w:shd w:fill="1F5C6B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/>
                <w:bCs/>
                <w:color w:val="FFFFFF"/>
              </w:rPr>
              <w:t xml:space="preserve">Ja/Nee</w:t>
            </w:r>
          </w:p>
        </w:tc>
        <w:tc>
          <w:tcPr>
            <w:tcW w:type="dxa" w:w="3060"/>
            <w:shd w:fill="1F5C6B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/>
                <w:bCs/>
                <w:color w:val="FFFFFF"/>
              </w:rPr>
              <w:t xml:space="preserve">Toelichting</w:t>
            </w:r>
          </w:p>
        </w:tc>
      </w:tr>
      <w:tr>
        <w:tc>
          <w:tcPr>
            <w:tcW w:type="dxa" w:w="47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Vanaf welke datum kun je beginnen?</w:t>
            </w:r>
          </w:p>
        </w:tc>
        <w:tc>
          <w:tcPr>
            <w:tcW w:type="dxa" w:w="13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306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47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Hoeveel uur per week wil en kun je werken?</w:t>
            </w:r>
          </w:p>
        </w:tc>
        <w:tc>
          <w:tcPr>
            <w:tcW w:type="dxa" w:w="13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306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47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Op welke dagen en tijden ben je beschikbaar?</w:t>
            </w:r>
          </w:p>
        </w:tc>
        <w:tc>
          <w:tcPr>
            <w:tcW w:type="dxa" w:w="13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306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47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Kun je op [locatie] werken, gezien reistijd en bereikbaarheid?</w:t>
            </w:r>
          </w:p>
        </w:tc>
        <w:tc>
          <w:tcPr>
            <w:tcW w:type="dxa" w:w="13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306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47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Heb je vervoer geregeld om op tijd te kunnen starten?</w:t>
            </w:r>
          </w:p>
        </w:tc>
        <w:tc>
          <w:tcPr>
            <w:tcW w:type="dxa" w:w="13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306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47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Harde functie-eis 1: [vooraf invullen, bijv. tillen tot 10 kg]</w:t>
            </w:r>
          </w:p>
        </w:tc>
        <w:tc>
          <w:tcPr>
            <w:tcW w:type="dxa" w:w="13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306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47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Harde functie-eis 2: [vooraf invullen]</w:t>
            </w:r>
          </w:p>
        </w:tc>
        <w:tc>
          <w:tcPr>
            <w:tcW w:type="dxa" w:w="13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306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47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Heb je zelf nog vragen over start, werktijden of begeleiding?</w:t>
            </w:r>
          </w:p>
        </w:tc>
        <w:tc>
          <w:tcPr>
            <w:tcW w:type="dxa" w:w="13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306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</w:tbl>
    <w:p>
      <w:pPr>
        <w:pStyle w:val="Heading1"/>
        <w:spacing w:after="100" w:before="320"/>
      </w:pPr>
      <w:r>
        <w:t xml:space="preserve">Spelregels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De vragenlijst ligt vooraf vast per functiegroep en wordt niet tijdens het gesprek aangepast.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Geen vragen over opleiding, werkervaring, cv of onderwerpen die (indirect) discrimineren.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Geen vergelijking tussen kandidaten: dit gesprek toetst alleen of déze kandidaat aan de harde eisen voldoet.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pPr>
      <w:spacing w:after="160"/>
    </w:pPr>
    <w:rPr>
      <w:b/>
      <w:bCs/>
      <w:color w:val="1F5C6B"/>
      <w:sz w:val="38"/>
      <w:szCs w:val="38"/>
    </w:rPr>
  </w:style>
  <w:style w:type="paragraph" w:styleId="Heading1">
    <w:name w:val="Heading 1"/>
    <w:basedOn w:val="Normal"/>
    <w:next w:val="Normal"/>
    <w:qFormat/>
    <w:rPr>
      <w:b/>
      <w:bCs/>
      <w:color w:val="1F5C6B"/>
      <w:sz w:val="27"/>
      <w:szCs w:val="27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2026-07-24T12:20:51.949Z</dcterms:created>
  <dcterms:modified xsi:type="dcterms:W3CDTF">2026-07-24T12:20:51.949Z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