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Werkbladen · Open Baan Basis</w:t>
      </w:r>
    </w:p>
    <w:p>
      <w:pPr>
        <w:spacing w:after="110"/>
      </w:pPr>
      <w:r>
        <w:rPr>
          <w:i/>
          <w:iCs/>
        </w:rPr>
        <w:t xml:space="preserve">Drie invulbladen uit Playbook 2: groeiplan, organisatiecanvas en draagvlakscan.</w:t>
      </w:r>
    </w:p>
    <w:p>
      <w:pPr>
        <w:pStyle w:val="Heading1"/>
        <w:spacing w:after="100" w:before="320"/>
      </w:pPr>
      <w:r>
        <w:t xml:space="preserve">1 · Groeiplan</w:t>
      </w:r>
    </w:p>
    <w:p>
      <w:pPr>
        <w:spacing w:after="110"/>
      </w:pPr>
      <w:r>
        <w:t xml:space="preserve">Welke functiegroep gaat wanneer over op Open Baan?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0"/>
        <w:gridCol w:w="4530"/>
      </w:tblGrid>
      <w:tr>
        <w:trPr>
          <w:tblHeader/>
        </w:trPr>
        <w:tc>
          <w:tcPr>
            <w:tcW w:type="dxa" w:w="453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Functiegroep</w:t>
            </w:r>
          </w:p>
        </w:tc>
        <w:tc>
          <w:tcPr>
            <w:tcW w:type="dxa" w:w="453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Periode (maand/kwartaal/jaar)</w:t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t xml:space="preserve">2 · Organisatiecanvas</w:t>
      </w:r>
    </w:p>
    <w:p>
      <w:pPr>
        <w:spacing w:after="110"/>
      </w:pPr>
      <w:r>
        <w:t xml:space="preserve">Zorg dat Open Baan onderdeel wordt van jullie werkwijze – niet van één persoon. Vul per taak in wie verantwoordelijk is.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00"/>
        <w:gridCol w:w="2760"/>
      </w:tblGrid>
      <w:tr>
        <w:trPr>
          <w:tblHeader/>
        </w:trPr>
        <w:tc>
          <w:tcPr>
            <w:tcW w:type="dxa" w:w="630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Taak</w:t>
            </w:r>
          </w:p>
        </w:tc>
        <w:tc>
          <w:tcPr>
            <w:tcW w:type="dxa" w:w="276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Naam / functietitel</w:t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Eigenaar van Open Baan binnen de organisatie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Bewaakt dat vacatures volgens de afspraken worden gepubliceerd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Beheert de wachtlijst (kandidaten op volgorde)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Plant bedrijfsbezoeken en stemt startdata af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Ondersteunt leidinggevenden bij vragen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Begeleidt nieuwe medewerkers tijdens de inwerkperiode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Signaleert wanneer iemand vastloopt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Organiseert extra ondersteuning als dat nodig is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Houdt resultaten en ervaringen bij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Evalueert regelmatig wat goed gaat en beter kan</w:t>
            </w:r>
          </w:p>
        </w:tc>
        <w:tc>
          <w:tcPr>
            <w:tcW w:type="dxa" w:w="27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60" w:before="160"/>
      </w:pPr>
      <w:r>
        <w:rPr>
          <w:b/>
          <w:bCs/>
        </w:rPr>
        <w:t xml:space="preserve">Snelle check – kun je overal “ja” op zeggen?</w:t>
      </w:r>
    </w:p>
    <w:p>
      <w:pPr>
        <w:spacing w:after="60"/>
      </w:pPr>
      <w:r>
        <w:t xml:space="preserve">☐  Als iemand morgen ziek is, loopt Open Baan gewoon door.</w:t>
      </w:r>
    </w:p>
    <w:p>
      <w:pPr>
        <w:spacing w:after="60"/>
      </w:pPr>
      <w:r>
        <w:t xml:space="preserve">☐  Minimaal twee mensen weten hoe de methode werkt.</w:t>
      </w:r>
    </w:p>
    <w:p>
      <w:pPr>
        <w:spacing w:after="60"/>
      </w:pPr>
      <w:r>
        <w:t xml:space="preserve">☐  Iedereen weet bij wie vragen terechtkunnen.</w:t>
      </w:r>
    </w:p>
    <w:p>
      <w:pPr>
        <w:spacing w:after="60"/>
      </w:pPr>
      <w:r>
        <w:t xml:space="preserve">☐  De verantwoordelijkheden zijn vastgelegd.</w:t>
      </w:r>
    </w:p>
    <w:p>
      <w:pPr>
        <w:spacing w:after="60"/>
      </w:pPr>
      <w:r>
        <w:t xml:space="preserve">☐  Open Baan is onderdeel van ons proces, niet van één persoon.</w:t>
      </w:r>
    </w:p>
    <w:p>
      <w:pPr>
        <w:pStyle w:val="Heading1"/>
        <w:spacing w:after="100" w:before="320"/>
      </w:pPr>
      <w:r>
        <w:t xml:space="preserve">3 · Draagvlakscan</w:t>
      </w:r>
    </w:p>
    <w:p>
      <w:pPr>
        <w:spacing w:after="110"/>
      </w:pPr>
      <w:r>
        <w:t xml:space="preserve">Beoordeel per groep: groen (positief, betrek ze actief), oranje (nieuwsgierig met vragen, deel resultaten), rood (weerstand, ga in gesprek over de zorgen).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20"/>
        <w:gridCol w:w="2020"/>
        <w:gridCol w:w="2020"/>
      </w:tblGrid>
      <w:tr>
        <w:trPr>
          <w:tblHeader/>
        </w:trPr>
        <w:tc>
          <w:tcPr>
            <w:tcW w:type="dxa" w:w="300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Groep</w:t>
            </w:r>
          </w:p>
        </w:tc>
        <w:tc>
          <w:tcPr>
            <w:tcW w:type="dxa" w:w="202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Groen</w:t>
            </w:r>
          </w:p>
        </w:tc>
        <w:tc>
          <w:tcPr>
            <w:tcW w:type="dxa" w:w="202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Oranje</w:t>
            </w:r>
          </w:p>
        </w:tc>
        <w:tc>
          <w:tcPr>
            <w:tcW w:type="dxa" w:w="202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Rood</w:t>
            </w:r>
          </w:p>
        </w:tc>
      </w:tr>
      <w:tr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Management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</w:tr>
      <w:tr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Recruiters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</w:tr>
      <w:tr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Teamleiders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</w:tr>
      <w:tr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Werkvloer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  <w:tc>
          <w:tcPr>
            <w:tcW w:type="dxa" w:w="202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☐</w:t>
            </w:r>
          </w:p>
        </w:tc>
      </w:tr>
    </w:tbl>
    <w:p>
      <w:pPr>
        <w:spacing w:after="110"/>
      </w:pPr>
      <w:r>
        <w:t xml:space="preserve">Veel oranje of rood? Geen paniek – vrijwel iedere organisatie begint daar. Laat de praktijk het verhaal vertellen: één geslaagde aanname overtuigt meer dan tien slides.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/>
    </w:pPr>
    <w:rPr>
      <w:b/>
      <w:bCs/>
      <w:color w:val="1F5C6B"/>
      <w:sz w:val="38"/>
      <w:szCs w:val="38"/>
    </w:rPr>
  </w:style>
  <w:style w:type="paragraph" w:styleId="Heading1">
    <w:name w:val="Heading 1"/>
    <w:basedOn w:val="Normal"/>
    <w:next w:val="Normal"/>
    <w:qFormat/>
    <w:rPr>
      <w:b/>
      <w:bCs/>
      <w:color w:val="1F5C6B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2026-07-24T12:20:51.958Z</dcterms:created>
  <dcterms:modified xsi:type="dcterms:W3CDTF">2026-07-24T12:20:51.958Z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