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4E0168DD" w14:textId="77777777" w:rsidTr="009F0426">
        <w:trPr>
          <w:trHeight w:val="1126"/>
        </w:trPr>
        <w:tc>
          <w:tcPr>
            <w:tcW w:w="1874" w:type="dxa"/>
          </w:tcPr>
          <w:p w14:paraId="4E0168D9"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4E0168DA" w14:textId="77777777" w:rsidR="003E74AE" w:rsidRPr="00BA15B5" w:rsidRDefault="003E74AE" w:rsidP="00684BB3">
            <w:pPr>
              <w:overflowPunct w:val="0"/>
              <w:rPr>
                <w:rFonts w:ascii="Arial" w:eastAsia="Calibri" w:hAnsi="Arial" w:cs="Calibri"/>
                <w:b/>
                <w:bCs/>
                <w:color w:val="000000"/>
                <w:szCs w:val="20"/>
              </w:rPr>
            </w:pPr>
          </w:p>
          <w:p w14:paraId="4E0168DB" w14:textId="77777777" w:rsidR="003E74AE" w:rsidRPr="00BA15B5" w:rsidRDefault="005459EE" w:rsidP="00684BB3">
            <w:pPr>
              <w:pStyle w:val="Kop2"/>
              <w:rPr>
                <w:rFonts w:eastAsia="Calibri"/>
              </w:rPr>
            </w:pPr>
            <w:r>
              <w:rPr>
                <w:rFonts w:eastAsia="Calibri"/>
              </w:rPr>
              <w:t>Verslaglegging HIS</w:t>
            </w:r>
          </w:p>
          <w:p w14:paraId="4E0168DC" w14:textId="77777777" w:rsidR="003E74AE" w:rsidRPr="00BA15B5" w:rsidRDefault="003E74AE" w:rsidP="00684BB3">
            <w:pPr>
              <w:overflowPunct w:val="0"/>
              <w:rPr>
                <w:rFonts w:ascii="Arial" w:hAnsi="Arial"/>
                <w:b/>
                <w:bCs/>
                <w:color w:val="00000A"/>
                <w:szCs w:val="20"/>
              </w:rPr>
            </w:pPr>
          </w:p>
        </w:tc>
      </w:tr>
      <w:tr w:rsidR="003E74AE" w:rsidRPr="009D5456" w14:paraId="4E0168E1" w14:textId="77777777" w:rsidTr="009F0426">
        <w:trPr>
          <w:trHeight w:val="151"/>
        </w:trPr>
        <w:tc>
          <w:tcPr>
            <w:tcW w:w="1874" w:type="dxa"/>
            <w:vMerge w:val="restart"/>
          </w:tcPr>
          <w:p w14:paraId="4E0168DE"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4E0168DF" w14:textId="74E49D66"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 xml:space="preserve">Auteu </w:t>
            </w:r>
            <w:r w:rsidRPr="00BA15B5">
              <w:rPr>
                <w:rFonts w:ascii="Arial" w:hAnsi="Arial" w:cs="Arial"/>
                <w:color w:val="00000A"/>
                <w:szCs w:val="20"/>
                <w:lang w:val="fr-FR"/>
              </w:rPr>
              <w:t xml:space="preserve"> </w:t>
            </w:r>
          </w:p>
        </w:tc>
        <w:tc>
          <w:tcPr>
            <w:tcW w:w="3119" w:type="dxa"/>
            <w:vAlign w:val="center"/>
          </w:tcPr>
          <w:p w14:paraId="4E0168E0" w14:textId="03C6FEC4"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4E0168E5" w14:textId="77777777" w:rsidTr="009F0426">
        <w:trPr>
          <w:trHeight w:val="155"/>
        </w:trPr>
        <w:tc>
          <w:tcPr>
            <w:tcW w:w="1874" w:type="dxa"/>
            <w:vMerge/>
          </w:tcPr>
          <w:p w14:paraId="4E0168E2" w14:textId="77777777" w:rsidR="003E74AE" w:rsidRPr="00BA15B5" w:rsidRDefault="003E74AE" w:rsidP="00684BB3">
            <w:pPr>
              <w:overflowPunct w:val="0"/>
              <w:rPr>
                <w:color w:val="00000A"/>
                <w:szCs w:val="20"/>
              </w:rPr>
            </w:pPr>
          </w:p>
        </w:tc>
        <w:tc>
          <w:tcPr>
            <w:tcW w:w="3371" w:type="dxa"/>
            <w:vAlign w:val="center"/>
          </w:tcPr>
          <w:p w14:paraId="4E0168E3" w14:textId="7AB52877"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4E0168E4" w14:textId="04284FB1" w:rsidR="003E74AE" w:rsidRPr="00BA15B5" w:rsidRDefault="003E74AE" w:rsidP="00684BB3">
            <w:pPr>
              <w:tabs>
                <w:tab w:val="left" w:pos="1418"/>
              </w:tabs>
              <w:overflowPunct w:val="0"/>
              <w:snapToGrid w:val="0"/>
              <w:rPr>
                <w:rFonts w:ascii="Arial" w:hAnsi="Arial" w:cs="Arial"/>
                <w:b/>
                <w:bCs/>
                <w:color w:val="00000A"/>
                <w:szCs w:val="20"/>
              </w:rPr>
            </w:pPr>
          </w:p>
        </w:tc>
      </w:tr>
      <w:tr w:rsidR="00AE0C30" w:rsidRPr="009D5456" w14:paraId="112FA21E" w14:textId="77777777" w:rsidTr="009F0426">
        <w:trPr>
          <w:trHeight w:val="155"/>
        </w:trPr>
        <w:tc>
          <w:tcPr>
            <w:tcW w:w="1874" w:type="dxa"/>
            <w:vMerge/>
          </w:tcPr>
          <w:p w14:paraId="5C2A7951" w14:textId="77777777" w:rsidR="00AE0C30" w:rsidRPr="00BA15B5" w:rsidRDefault="00AE0C30" w:rsidP="00684BB3">
            <w:pPr>
              <w:overflowPunct w:val="0"/>
              <w:rPr>
                <w:color w:val="00000A"/>
                <w:szCs w:val="20"/>
              </w:rPr>
            </w:pPr>
          </w:p>
        </w:tc>
        <w:tc>
          <w:tcPr>
            <w:tcW w:w="3371" w:type="dxa"/>
            <w:vAlign w:val="center"/>
          </w:tcPr>
          <w:p w14:paraId="647CFEB3" w14:textId="10907C74" w:rsidR="00AE0C30" w:rsidRPr="00BA15B5" w:rsidRDefault="00AE0C30" w:rsidP="00684BB3">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2A4416E9" w14:textId="77777777" w:rsidR="00AE0C30" w:rsidRPr="00BA15B5" w:rsidRDefault="00AE0C30" w:rsidP="00684BB3">
            <w:pPr>
              <w:tabs>
                <w:tab w:val="left" w:pos="1418"/>
              </w:tabs>
              <w:overflowPunct w:val="0"/>
              <w:snapToGrid w:val="0"/>
              <w:rPr>
                <w:rFonts w:ascii="Arial" w:hAnsi="Arial" w:cs="Arial"/>
                <w:b/>
                <w:bCs/>
                <w:color w:val="00000A"/>
                <w:szCs w:val="20"/>
              </w:rPr>
            </w:pPr>
          </w:p>
        </w:tc>
      </w:tr>
      <w:tr w:rsidR="003E74AE" w:rsidRPr="009D5456" w14:paraId="4E0168E9" w14:textId="77777777" w:rsidTr="009F0426">
        <w:trPr>
          <w:trHeight w:val="356"/>
        </w:trPr>
        <w:tc>
          <w:tcPr>
            <w:tcW w:w="1874" w:type="dxa"/>
            <w:vMerge/>
          </w:tcPr>
          <w:p w14:paraId="4E0168E6" w14:textId="77777777" w:rsidR="003E74AE" w:rsidRPr="00BA15B5" w:rsidRDefault="003E74AE" w:rsidP="00684BB3">
            <w:pPr>
              <w:overflowPunct w:val="0"/>
              <w:rPr>
                <w:color w:val="00000A"/>
                <w:szCs w:val="20"/>
              </w:rPr>
            </w:pPr>
          </w:p>
        </w:tc>
        <w:tc>
          <w:tcPr>
            <w:tcW w:w="3371" w:type="dxa"/>
            <w:vAlign w:val="center"/>
          </w:tcPr>
          <w:p w14:paraId="4E0168E7" w14:textId="485B8975" w:rsidR="003E74AE" w:rsidRPr="00BA15B5" w:rsidRDefault="00AE0C30"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r w:rsidR="003E74AE" w:rsidRPr="00BA15B5">
              <w:rPr>
                <w:rFonts w:ascii="Arial" w:hAnsi="Arial" w:cs="Arial"/>
                <w:b/>
                <w:bCs/>
                <w:color w:val="00000A"/>
                <w:szCs w:val="20"/>
              </w:rPr>
              <w:t xml:space="preserve"> </w:t>
            </w:r>
          </w:p>
        </w:tc>
        <w:tc>
          <w:tcPr>
            <w:tcW w:w="3119" w:type="dxa"/>
            <w:vAlign w:val="center"/>
          </w:tcPr>
          <w:p w14:paraId="4E0168E8" w14:textId="1985EC68" w:rsidR="003E74AE" w:rsidRPr="00BA15B5" w:rsidRDefault="003E74AE" w:rsidP="00684BB3">
            <w:pPr>
              <w:tabs>
                <w:tab w:val="left" w:pos="1418"/>
              </w:tabs>
              <w:overflowPunct w:val="0"/>
              <w:snapToGrid w:val="0"/>
              <w:rPr>
                <w:rFonts w:ascii="Arial" w:hAnsi="Arial" w:cs="Arial"/>
                <w:b/>
                <w:bCs/>
                <w:color w:val="00000A"/>
                <w:szCs w:val="20"/>
              </w:rPr>
            </w:pPr>
          </w:p>
        </w:tc>
      </w:tr>
    </w:tbl>
    <w:p w14:paraId="4E0168EA" w14:textId="77777777" w:rsidR="00936E2C" w:rsidRDefault="00936E2C" w:rsidP="003E74AE">
      <w:pPr>
        <w:rPr>
          <w:b/>
        </w:rPr>
      </w:pPr>
    </w:p>
    <w:p w14:paraId="4E0168EB" w14:textId="77777777" w:rsidR="005459EE" w:rsidRPr="00560475" w:rsidRDefault="005459EE" w:rsidP="005459EE">
      <w:pPr>
        <w:pStyle w:val="Kop2"/>
        <w:rPr>
          <w:rFonts w:eastAsia="Helvetica"/>
        </w:rPr>
      </w:pPr>
      <w:r w:rsidRPr="005459EE">
        <w:t>Doel</w:t>
      </w:r>
    </w:p>
    <w:p w14:paraId="4E0168EC" w14:textId="77777777" w:rsidR="005459EE" w:rsidRPr="005459EE" w:rsidRDefault="005459EE" w:rsidP="005459EE">
      <w:r w:rsidRPr="005459EE">
        <w:t>Het vastleggen van relevante zorg inhoudelijke informatie in het EPD door huisarts en praktijkmedewerker is van belang voor de continuïteit en kwaliteit van zorg. Doordat het EPD toegankelijk is vanaf diverse werkplekken is de continuïteit van zorginformatie beter gewaarborgd dan bij een dossier op papier. Het EPD vervult een belangrijke rol bij taakdeleg</w:t>
      </w:r>
      <w:r>
        <w:t xml:space="preserve">atie in de huisartspraktijk. De </w:t>
      </w:r>
      <w:r w:rsidRPr="005459EE">
        <w:t xml:space="preserve">praktijkassistente en de praktijkondersteuner leggen in het kader hiervan hun eigen contactgegevens in het EPD vast. Het EPD is verder een onmisbaar instrument bij het uitvoeren van gestructureerde zorg- en preventietaken in de huisartspraktijk, zoals het monitoren van chronische aandoeningen, het opsporen van risicopatiënten en het selecteren van patiënten voor programmatische preventie. </w:t>
      </w:r>
    </w:p>
    <w:p w14:paraId="4E0168ED" w14:textId="77777777" w:rsidR="005459EE" w:rsidRPr="00560475" w:rsidRDefault="005459EE" w:rsidP="005459EE">
      <w:pPr>
        <w:pStyle w:val="Kop2"/>
      </w:pPr>
      <w:r w:rsidRPr="005459EE">
        <w:t>Methode</w:t>
      </w:r>
      <w:r w:rsidRPr="00560475">
        <w:rPr>
          <w:rFonts w:eastAsia="Helvetica-Bold"/>
        </w:rPr>
        <w:t xml:space="preserve"> </w:t>
      </w:r>
    </w:p>
    <w:p w14:paraId="4E0168EE" w14:textId="77777777" w:rsidR="005459EE" w:rsidRPr="00560475" w:rsidRDefault="005459EE" w:rsidP="005459EE">
      <w:r w:rsidRPr="00560475">
        <w:t xml:space="preserve">Onze praktijk maakt gebruik van het Huisartseninformatiesysteem (HIS) </w:t>
      </w:r>
      <w:r>
        <w:t>……</w:t>
      </w:r>
      <w:r w:rsidRPr="00560475">
        <w:t xml:space="preserve"> van het bedrijf </w:t>
      </w:r>
      <w:r>
        <w:t>……</w:t>
      </w:r>
      <w:r w:rsidRPr="00560475">
        <w:t xml:space="preserve">. </w:t>
      </w:r>
    </w:p>
    <w:p w14:paraId="4E0168EF" w14:textId="77777777" w:rsidR="005459EE" w:rsidRPr="00560475" w:rsidRDefault="005459EE" w:rsidP="005459EE">
      <w:r w:rsidRPr="00560475">
        <w:t xml:space="preserve">Er zijn </w:t>
      </w:r>
      <w:r>
        <w:t>..</w:t>
      </w:r>
      <w:r w:rsidRPr="00560475">
        <w:t xml:space="preserve"> werkplekken, allen met een internetaansluiting. </w:t>
      </w:r>
    </w:p>
    <w:p w14:paraId="4E0168F0" w14:textId="77777777" w:rsidR="005459EE" w:rsidRPr="005459EE" w:rsidRDefault="005459EE" w:rsidP="005459EE">
      <w:r w:rsidRPr="00560475">
        <w:t xml:space="preserve">Iedere medewerker heeft een eigen toegangscode voor het HIS. Hiermee krijgt men een bij de functie passende toegang tot delen van het HIS en een bijpassende autorisatie om gegevens te muteren. </w:t>
      </w:r>
    </w:p>
    <w:p w14:paraId="4E0168F1" w14:textId="77777777" w:rsidR="005459EE" w:rsidRPr="00560475" w:rsidRDefault="005459EE" w:rsidP="005459EE">
      <w:r w:rsidRPr="00560475">
        <w:t xml:space="preserve">In </w:t>
      </w:r>
      <w:r>
        <w:t>de</w:t>
      </w:r>
      <w:r w:rsidRPr="00560475">
        <w:t xml:space="preserve"> praktijk is afgesproken dat de assistentes de SOEP registratie gebruiken. De klachten van de patiënt worden op de S-regel genoteerd, de bevindingen bij onderzoeken bij de O-regel, de werkdiagnose op de E-regel en het plan op de P-regel. Hierdoor is het dossier overzichtelijk voor alle medewerkers; iedereen kan dan van elkaar weten wat er met de patiënt is afgesproken. Dit is vooral van belang omdat er in onze praktijk enkele parttimers werken. </w:t>
      </w:r>
    </w:p>
    <w:p w14:paraId="4E0168F2" w14:textId="77777777" w:rsidR="005459EE" w:rsidRPr="00560475" w:rsidRDefault="005459EE" w:rsidP="005459EE">
      <w:r w:rsidRPr="00560475">
        <w:t xml:space="preserve">Verder </w:t>
      </w:r>
      <w:r>
        <w:t>wordt er</w:t>
      </w:r>
      <w:r w:rsidRPr="00560475">
        <w:t xml:space="preserve"> Episodegericht </w:t>
      </w:r>
      <w:r>
        <w:t>ge</w:t>
      </w:r>
      <w:r w:rsidRPr="00560475">
        <w:t>registre</w:t>
      </w:r>
      <w:r>
        <w:t>erd</w:t>
      </w:r>
      <w:r w:rsidRPr="00560475">
        <w:t xml:space="preserve"> (EGR). EGR biedt een overzicht van een episodelijst van alle gezondheidsprobleem. Een episode is een serie bij elkaar behorende contacten bijv. als een patiënt klachten heeft van hoofdpijn, worden alle contacten met betrekking tot deze klacht geregistreerd onder dezelfde episode, namelijk hoofdpijn. Elk gezondheidsprobleem, hoe klein ook, vormt een episode. Is de </w:t>
      </w:r>
      <w:r w:rsidRPr="00560475">
        <w:lastRenderedPageBreak/>
        <w:t>diagnose nog niet vastgesteld, dan wordt op klachtenniveau geregistreerd. (Zie bijlage werkinstructies).</w:t>
      </w:r>
    </w:p>
    <w:p w14:paraId="4E0168F3" w14:textId="77777777" w:rsidR="005459EE" w:rsidRPr="00560475" w:rsidRDefault="005459EE" w:rsidP="005459EE">
      <w:pPr>
        <w:pStyle w:val="Inhoudtabel"/>
        <w:spacing w:after="283"/>
        <w:rPr>
          <w:rFonts w:ascii="Trebuchet MS" w:hAnsi="Trebuchet MS"/>
          <w:sz w:val="22"/>
          <w:szCs w:val="22"/>
        </w:rPr>
      </w:pPr>
    </w:p>
    <w:p w14:paraId="4E0168F4" w14:textId="77777777" w:rsidR="005459EE" w:rsidRPr="00560475" w:rsidRDefault="005459EE" w:rsidP="005459EE">
      <w:pPr>
        <w:pStyle w:val="Inhoudtabel"/>
        <w:spacing w:after="283"/>
        <w:rPr>
          <w:rFonts w:ascii="Trebuchet MS" w:hAnsi="Trebuchet MS"/>
          <w:sz w:val="22"/>
          <w:szCs w:val="22"/>
        </w:rPr>
      </w:pPr>
    </w:p>
    <w:p w14:paraId="4E0168F5" w14:textId="77777777" w:rsidR="005459EE" w:rsidRPr="00560475" w:rsidRDefault="005459EE" w:rsidP="005459EE">
      <w:r>
        <w:t>D</w:t>
      </w:r>
      <w:r w:rsidRPr="00560475">
        <w:t xml:space="preserve">e episodelijst is het centrale overzicht in het EPD van alle klachten, ziekten en aandoeningen van een patiënt in heden en verleden. Let daarbij op het volgende: De probleemlijst vormt een integraal onderdeel van de episodelijst en bevat alle klachten die gedurende langere tijd spelen en die ernstige consequenties hebben voor de gezondheid van de patiënt. Een ‘probleem’ is een episode ‘met bijzondere attentiewaarde’. Probleemlijst wordt de arts bijgehouden.  </w:t>
      </w:r>
    </w:p>
    <w:p w14:paraId="4E0168F6" w14:textId="77777777" w:rsidR="005459EE" w:rsidRPr="00560475" w:rsidRDefault="005459EE" w:rsidP="005459EE">
      <w:r w:rsidRPr="00560475">
        <w:t>Elke episode is voorzien van een ICPC-code. ICPC is eige</w:t>
      </w:r>
      <w:r>
        <w:t>n</w:t>
      </w:r>
      <w:r w:rsidRPr="00560475">
        <w:t>lijk een grote tabel waarin alle diagnoses en ziektebeelden genoteerd staan volgens een afgesproken lijst met letters en cijfers. (zie bijlage ICPC-lijst). In onze praktijk worden vooral symptomen, klachten en meest voorkomende ziektes ICPC gecodeerd in het HIS. Als er nieuwe objectieve gegevens zijn die een verandering rechtvaardigen wordt een episodenaam en/of ICPC-code hernoemd.</w:t>
      </w:r>
    </w:p>
    <w:p w14:paraId="4E0168F7" w14:textId="77777777" w:rsidR="005459EE" w:rsidRPr="00560475" w:rsidRDefault="005459EE" w:rsidP="005459EE">
      <w:r w:rsidRPr="00560475">
        <w:t xml:space="preserve">Verder biedt ons HIS de mogelijkheid om patiënten </w:t>
      </w:r>
      <w:r>
        <w:t>ruiters te geven</w:t>
      </w:r>
      <w:r w:rsidRPr="00560475">
        <w:t xml:space="preserve">. Als de ruiters correct in de computer zijn ingevoerd, is bijv. het oproepen van alle patiënten voor de griepprik geen probleem. </w:t>
      </w:r>
      <w:r>
        <w:t>Ruiters worden</w:t>
      </w:r>
      <w:r w:rsidRPr="00560475">
        <w:t xml:space="preserve"> door de huisartsen </w:t>
      </w:r>
      <w:r>
        <w:t>aangemaakt</w:t>
      </w:r>
      <w:r w:rsidRPr="00560475">
        <w:t xml:space="preserve">. </w:t>
      </w:r>
    </w:p>
    <w:p w14:paraId="4E0168F8" w14:textId="77777777" w:rsidR="005459EE" w:rsidRPr="005459EE" w:rsidRDefault="005459EE" w:rsidP="005459EE">
      <w:r w:rsidRPr="00560475">
        <w:t>De richtlijn ADEPD biedt de praktijkmedewerkers houvast bij het registreren van relevante medische gegevens in het EPD. En daarom hebben alle medewerkers van onze praktijk een cursus registreren volgen ADEPD- richtlijnen gevolgd. Na het volgen van de cursus zijn wij in staat om:</w:t>
      </w:r>
    </w:p>
    <w:p w14:paraId="4E0168F9" w14:textId="77777777" w:rsidR="005459EE" w:rsidRPr="00560475" w:rsidRDefault="005459EE" w:rsidP="005459EE">
      <w:pPr>
        <w:pStyle w:val="Lijstalinea"/>
        <w:numPr>
          <w:ilvl w:val="0"/>
          <w:numId w:val="48"/>
        </w:numPr>
      </w:pPr>
      <w:r w:rsidRPr="00560475">
        <w:t>Volgens het SOEP-systeem te werken.</w:t>
      </w:r>
    </w:p>
    <w:p w14:paraId="4E0168FA" w14:textId="77777777" w:rsidR="005459EE" w:rsidRPr="00560475" w:rsidRDefault="005459EE" w:rsidP="005459EE">
      <w:pPr>
        <w:pStyle w:val="Lijstalinea"/>
        <w:numPr>
          <w:ilvl w:val="0"/>
          <w:numId w:val="48"/>
        </w:numPr>
      </w:pPr>
      <w:r w:rsidRPr="00560475">
        <w:t xml:space="preserve">Episodegericht te registreren in </w:t>
      </w:r>
      <w:r>
        <w:t>HIS</w:t>
      </w:r>
      <w:r w:rsidRPr="00560475">
        <w:t>.</w:t>
      </w:r>
    </w:p>
    <w:p w14:paraId="4E0168FB" w14:textId="77777777" w:rsidR="005459EE" w:rsidRPr="00560475" w:rsidRDefault="005459EE" w:rsidP="005459EE">
      <w:pPr>
        <w:pStyle w:val="Lijstalinea"/>
        <w:numPr>
          <w:ilvl w:val="0"/>
          <w:numId w:val="48"/>
        </w:numPr>
      </w:pPr>
      <w:r w:rsidRPr="00560475">
        <w:t>De episodelijst actief te onderhouden.</w:t>
      </w:r>
    </w:p>
    <w:p w14:paraId="4E0168FC" w14:textId="77777777" w:rsidR="005459EE" w:rsidRPr="00560475" w:rsidRDefault="005459EE" w:rsidP="005459EE">
      <w:pPr>
        <w:pStyle w:val="Lijstalinea"/>
        <w:numPr>
          <w:ilvl w:val="0"/>
          <w:numId w:val="48"/>
        </w:numPr>
      </w:pPr>
      <w:r w:rsidRPr="00560475">
        <w:t>ICPC-codes te gebruiken.</w:t>
      </w:r>
    </w:p>
    <w:p w14:paraId="4E0168FD" w14:textId="77777777" w:rsidR="005459EE" w:rsidRPr="00560475" w:rsidRDefault="005459EE" w:rsidP="005459EE">
      <w:pPr>
        <w:pStyle w:val="Lijstalinea"/>
        <w:numPr>
          <w:ilvl w:val="0"/>
          <w:numId w:val="48"/>
        </w:numPr>
      </w:pPr>
      <w:r w:rsidRPr="00560475">
        <w:t>Medische gegevens op de juiste plaats in het medisch dossier te zetten.</w:t>
      </w:r>
    </w:p>
    <w:p w14:paraId="4E0168FE" w14:textId="77777777" w:rsidR="005459EE" w:rsidRPr="005459EE" w:rsidRDefault="005459EE" w:rsidP="005459EE">
      <w:pPr>
        <w:pStyle w:val="Lijstalinea"/>
        <w:numPr>
          <w:ilvl w:val="0"/>
          <w:numId w:val="48"/>
        </w:numPr>
        <w:rPr>
          <w:rFonts w:eastAsia="Helvetica" w:cs="Helvetica"/>
        </w:rPr>
      </w:pPr>
      <w:r w:rsidRPr="005459EE">
        <w:rPr>
          <w:rFonts w:eastAsia="Helvetica" w:cs="Helvetica"/>
        </w:rPr>
        <w:t>Overige gegevens zoals voorschriften te koppelen aan een episode.</w:t>
      </w:r>
    </w:p>
    <w:p w14:paraId="4E0168FF" w14:textId="77777777" w:rsidR="005459EE" w:rsidRPr="00560475" w:rsidRDefault="005459EE" w:rsidP="005459EE">
      <w:r w:rsidRPr="00560475">
        <w:t xml:space="preserve">NB: voor uitgebreide uitleg/werkinstructies </w:t>
      </w:r>
      <w:r w:rsidRPr="00560475">
        <w:rPr>
          <w:rFonts w:ascii="Arial" w:hAnsi="Arial" w:cs="Arial"/>
        </w:rPr>
        <w:t>→</w:t>
      </w:r>
      <w:r>
        <w:t xml:space="preserve">  zie bijlage NHG- ri</w:t>
      </w:r>
      <w:r w:rsidRPr="00560475">
        <w:t xml:space="preserve">chtlijn ADEPS  registreren.  </w:t>
      </w:r>
    </w:p>
    <w:p w14:paraId="4E016900" w14:textId="77777777" w:rsidR="005459EE" w:rsidRDefault="005459EE" w:rsidP="005459EE">
      <w:pPr>
        <w:pStyle w:val="Inhoudtabel"/>
        <w:spacing w:after="283"/>
        <w:rPr>
          <w:rFonts w:ascii="Trebuchet MS" w:eastAsia="Helvetica" w:hAnsi="Trebuchet MS" w:cs="Helvetica"/>
          <w:sz w:val="22"/>
          <w:szCs w:val="22"/>
        </w:rPr>
      </w:pPr>
    </w:p>
    <w:p w14:paraId="4E016901" w14:textId="77777777" w:rsidR="005459EE" w:rsidRDefault="005459EE" w:rsidP="005459EE">
      <w:pPr>
        <w:pStyle w:val="Inhoudtabel"/>
        <w:spacing w:after="283"/>
        <w:rPr>
          <w:rFonts w:ascii="Trebuchet MS" w:eastAsia="Helvetica" w:hAnsi="Trebuchet MS" w:cs="Helvetica"/>
          <w:sz w:val="22"/>
          <w:szCs w:val="22"/>
        </w:rPr>
      </w:pPr>
    </w:p>
    <w:p w14:paraId="4E016902" w14:textId="77777777" w:rsidR="005459EE" w:rsidRPr="00560475" w:rsidRDefault="005459EE" w:rsidP="005459EE">
      <w:pPr>
        <w:pStyle w:val="Inhoudtabel"/>
        <w:spacing w:after="283"/>
        <w:rPr>
          <w:rFonts w:ascii="Trebuchet MS" w:eastAsia="Helvetica" w:hAnsi="Trebuchet MS" w:cs="Helvetica"/>
          <w:sz w:val="22"/>
          <w:szCs w:val="22"/>
        </w:rPr>
      </w:pPr>
    </w:p>
    <w:p w14:paraId="4E016903" w14:textId="77777777" w:rsidR="005459EE" w:rsidRDefault="005459EE">
      <w:pPr>
        <w:spacing w:line="259" w:lineRule="auto"/>
        <w:rPr>
          <w:rFonts w:eastAsia="Helvetica" w:cstheme="majorBidi"/>
          <w:b/>
          <w:bCs/>
          <w:color w:val="009380"/>
          <w:sz w:val="24"/>
          <w:szCs w:val="26"/>
        </w:rPr>
      </w:pPr>
      <w:r>
        <w:rPr>
          <w:rFonts w:eastAsia="Helvetica"/>
        </w:rPr>
        <w:br w:type="page"/>
      </w:r>
    </w:p>
    <w:p w14:paraId="4E016904" w14:textId="77777777" w:rsidR="005459EE" w:rsidRPr="005459EE" w:rsidRDefault="005459EE" w:rsidP="005459EE">
      <w:pPr>
        <w:pStyle w:val="Kop2"/>
        <w:rPr>
          <w:rFonts w:eastAsia="Helvetica"/>
        </w:rPr>
      </w:pPr>
      <w:r>
        <w:rPr>
          <w:rFonts w:eastAsia="Helvetica"/>
        </w:rPr>
        <w:lastRenderedPageBreak/>
        <w:t>I</w:t>
      </w:r>
      <w:r w:rsidRPr="00560475">
        <w:rPr>
          <w:rFonts w:eastAsia="Helvetica"/>
        </w:rPr>
        <w:t>n de onderstaande tabel staat een aantal belangrijke functies van het HIS vermeld.</w:t>
      </w:r>
    </w:p>
    <w:tbl>
      <w:tblPr>
        <w:tblStyle w:val="Tabelrasterlicht"/>
        <w:tblW w:w="9067" w:type="dxa"/>
        <w:tblLook w:val="0000" w:firstRow="0" w:lastRow="0" w:firstColumn="0" w:lastColumn="0" w:noHBand="0" w:noVBand="0"/>
      </w:tblPr>
      <w:tblGrid>
        <w:gridCol w:w="6799"/>
        <w:gridCol w:w="2268"/>
      </w:tblGrid>
      <w:tr w:rsidR="005459EE" w:rsidRPr="005459EE" w14:paraId="4E016907" w14:textId="77777777" w:rsidTr="005459EE">
        <w:tc>
          <w:tcPr>
            <w:tcW w:w="6799" w:type="dxa"/>
          </w:tcPr>
          <w:p w14:paraId="4E016905" w14:textId="77777777" w:rsidR="005459EE" w:rsidRPr="005459EE" w:rsidRDefault="005459EE" w:rsidP="005459EE">
            <w:pPr>
              <w:rPr>
                <w:b/>
              </w:rPr>
            </w:pPr>
            <w:r w:rsidRPr="005459EE">
              <w:rPr>
                <w:b/>
              </w:rPr>
              <w:t xml:space="preserve">Functionaliteit HIS </w:t>
            </w:r>
          </w:p>
        </w:tc>
        <w:tc>
          <w:tcPr>
            <w:tcW w:w="2268" w:type="dxa"/>
          </w:tcPr>
          <w:p w14:paraId="4E016906" w14:textId="77777777" w:rsidR="005459EE" w:rsidRPr="005459EE" w:rsidRDefault="005459EE" w:rsidP="005459EE">
            <w:pPr>
              <w:rPr>
                <w:b/>
              </w:rPr>
            </w:pPr>
            <w:r w:rsidRPr="005459EE">
              <w:rPr>
                <w:b/>
              </w:rPr>
              <w:t xml:space="preserve">In gebruik </w:t>
            </w:r>
          </w:p>
        </w:tc>
      </w:tr>
      <w:tr w:rsidR="005459EE" w:rsidRPr="00560475" w14:paraId="4E01690B" w14:textId="77777777" w:rsidTr="005459EE">
        <w:tc>
          <w:tcPr>
            <w:tcW w:w="6799" w:type="dxa"/>
          </w:tcPr>
          <w:p w14:paraId="4E016908" w14:textId="77777777" w:rsidR="005459EE" w:rsidRPr="00560475" w:rsidRDefault="005459EE" w:rsidP="005459EE">
            <w:r w:rsidRPr="00560475">
              <w:t xml:space="preserve">Journaal </w:t>
            </w:r>
          </w:p>
          <w:p w14:paraId="4E016909" w14:textId="77777777" w:rsidR="005459EE" w:rsidRPr="00560475" w:rsidRDefault="005459EE" w:rsidP="005459EE"/>
        </w:tc>
        <w:tc>
          <w:tcPr>
            <w:tcW w:w="2268" w:type="dxa"/>
          </w:tcPr>
          <w:p w14:paraId="4E01690A" w14:textId="77777777" w:rsidR="005459EE" w:rsidRPr="00560475" w:rsidRDefault="005459EE" w:rsidP="005459EE"/>
        </w:tc>
      </w:tr>
      <w:tr w:rsidR="005459EE" w:rsidRPr="00560475" w14:paraId="4E01690F" w14:textId="77777777" w:rsidTr="005459EE">
        <w:trPr>
          <w:trHeight w:val="366"/>
        </w:trPr>
        <w:tc>
          <w:tcPr>
            <w:tcW w:w="6799" w:type="dxa"/>
          </w:tcPr>
          <w:p w14:paraId="4E01690C" w14:textId="77777777" w:rsidR="005459EE" w:rsidRPr="00560475" w:rsidRDefault="005459EE" w:rsidP="005459EE">
            <w:r w:rsidRPr="00560475">
              <w:t>SOEP-registratie (Subjectief-Objectief-Evaluatie-Plan)</w:t>
            </w:r>
          </w:p>
          <w:p w14:paraId="4E01690D" w14:textId="77777777" w:rsidR="005459EE" w:rsidRPr="00560475" w:rsidRDefault="005459EE" w:rsidP="005459EE"/>
        </w:tc>
        <w:tc>
          <w:tcPr>
            <w:tcW w:w="2268" w:type="dxa"/>
          </w:tcPr>
          <w:p w14:paraId="4E01690E" w14:textId="77777777" w:rsidR="005459EE" w:rsidRPr="00560475" w:rsidRDefault="005459EE" w:rsidP="005459EE"/>
        </w:tc>
      </w:tr>
      <w:tr w:rsidR="005459EE" w:rsidRPr="00560475" w14:paraId="4E016913" w14:textId="77777777" w:rsidTr="005459EE">
        <w:tc>
          <w:tcPr>
            <w:tcW w:w="6799" w:type="dxa"/>
          </w:tcPr>
          <w:p w14:paraId="4E016910" w14:textId="77777777" w:rsidR="005459EE" w:rsidRPr="00560475" w:rsidRDefault="005459EE" w:rsidP="005459EE">
            <w:r w:rsidRPr="00560475">
              <w:t xml:space="preserve">Probleemlijst </w:t>
            </w:r>
          </w:p>
          <w:p w14:paraId="4E016911" w14:textId="77777777" w:rsidR="005459EE" w:rsidRPr="00560475" w:rsidRDefault="005459EE" w:rsidP="005459EE"/>
        </w:tc>
        <w:tc>
          <w:tcPr>
            <w:tcW w:w="2268" w:type="dxa"/>
          </w:tcPr>
          <w:p w14:paraId="4E016912" w14:textId="77777777" w:rsidR="005459EE" w:rsidRPr="00560475" w:rsidRDefault="005459EE" w:rsidP="005459EE"/>
        </w:tc>
      </w:tr>
      <w:tr w:rsidR="005459EE" w:rsidRPr="00560475" w14:paraId="4E016917" w14:textId="77777777" w:rsidTr="005459EE">
        <w:tc>
          <w:tcPr>
            <w:tcW w:w="6799" w:type="dxa"/>
          </w:tcPr>
          <w:p w14:paraId="4E016914" w14:textId="77777777" w:rsidR="005459EE" w:rsidRPr="00560475" w:rsidRDefault="005459EE" w:rsidP="005459EE">
            <w:r w:rsidRPr="00560475">
              <w:t>Episodegerichte registratie</w:t>
            </w:r>
          </w:p>
          <w:p w14:paraId="4E016915" w14:textId="77777777" w:rsidR="005459EE" w:rsidRPr="00560475" w:rsidRDefault="005459EE" w:rsidP="005459EE"/>
        </w:tc>
        <w:tc>
          <w:tcPr>
            <w:tcW w:w="2268" w:type="dxa"/>
          </w:tcPr>
          <w:p w14:paraId="4E016916" w14:textId="77777777" w:rsidR="005459EE" w:rsidRPr="00560475" w:rsidRDefault="005459EE" w:rsidP="005459EE"/>
        </w:tc>
      </w:tr>
      <w:tr w:rsidR="005459EE" w:rsidRPr="00560475" w14:paraId="4E01691B" w14:textId="77777777" w:rsidTr="005459EE">
        <w:tc>
          <w:tcPr>
            <w:tcW w:w="6799" w:type="dxa"/>
          </w:tcPr>
          <w:p w14:paraId="4E016918" w14:textId="77777777" w:rsidR="005459EE" w:rsidRPr="00560475" w:rsidRDefault="005459EE" w:rsidP="005459EE">
            <w:r w:rsidRPr="00560475">
              <w:t>ICPC-koppeling</w:t>
            </w:r>
          </w:p>
          <w:p w14:paraId="4E016919" w14:textId="77777777" w:rsidR="005459EE" w:rsidRPr="00560475" w:rsidRDefault="005459EE" w:rsidP="005459EE"/>
        </w:tc>
        <w:tc>
          <w:tcPr>
            <w:tcW w:w="2268" w:type="dxa"/>
          </w:tcPr>
          <w:p w14:paraId="4E01691A" w14:textId="77777777" w:rsidR="005459EE" w:rsidRPr="00560475" w:rsidRDefault="005459EE" w:rsidP="005459EE"/>
        </w:tc>
      </w:tr>
      <w:tr w:rsidR="005459EE" w:rsidRPr="00560475" w14:paraId="4E01691F" w14:textId="77777777" w:rsidTr="005459EE">
        <w:tc>
          <w:tcPr>
            <w:tcW w:w="6799" w:type="dxa"/>
          </w:tcPr>
          <w:p w14:paraId="4E01691C" w14:textId="77777777" w:rsidR="005459EE" w:rsidRPr="00560475" w:rsidRDefault="005459EE" w:rsidP="005459EE">
            <w:r w:rsidRPr="00560475">
              <w:t>Ruiters</w:t>
            </w:r>
          </w:p>
          <w:p w14:paraId="4E01691D" w14:textId="77777777" w:rsidR="005459EE" w:rsidRPr="00560475" w:rsidRDefault="005459EE" w:rsidP="005459EE">
            <w:r w:rsidRPr="00560475">
              <w:t xml:space="preserve"> </w:t>
            </w:r>
          </w:p>
        </w:tc>
        <w:tc>
          <w:tcPr>
            <w:tcW w:w="2268" w:type="dxa"/>
          </w:tcPr>
          <w:p w14:paraId="4E01691E" w14:textId="77777777" w:rsidR="005459EE" w:rsidRPr="00560475" w:rsidRDefault="005459EE" w:rsidP="005459EE"/>
        </w:tc>
      </w:tr>
      <w:tr w:rsidR="005459EE" w:rsidRPr="00560475" w14:paraId="4E016923" w14:textId="77777777" w:rsidTr="005459EE">
        <w:tc>
          <w:tcPr>
            <w:tcW w:w="6799" w:type="dxa"/>
          </w:tcPr>
          <w:p w14:paraId="4E016920" w14:textId="77777777" w:rsidR="005459EE" w:rsidRPr="00560475" w:rsidRDefault="005459EE" w:rsidP="005459EE">
            <w:r w:rsidRPr="00560475">
              <w:t>Verwijsbrieven schrijven</w:t>
            </w:r>
          </w:p>
          <w:p w14:paraId="4E016921" w14:textId="77777777" w:rsidR="005459EE" w:rsidRPr="00560475" w:rsidRDefault="005459EE" w:rsidP="005459EE"/>
        </w:tc>
        <w:tc>
          <w:tcPr>
            <w:tcW w:w="2268" w:type="dxa"/>
          </w:tcPr>
          <w:p w14:paraId="4E016922" w14:textId="77777777" w:rsidR="005459EE" w:rsidRPr="00560475" w:rsidRDefault="005459EE" w:rsidP="005459EE"/>
        </w:tc>
      </w:tr>
      <w:tr w:rsidR="005459EE" w:rsidRPr="00560475" w14:paraId="4E016927" w14:textId="77777777" w:rsidTr="005459EE">
        <w:tc>
          <w:tcPr>
            <w:tcW w:w="6799" w:type="dxa"/>
          </w:tcPr>
          <w:p w14:paraId="4E016924" w14:textId="77777777" w:rsidR="005459EE" w:rsidRPr="00560475" w:rsidRDefault="005459EE" w:rsidP="005459EE">
            <w:r w:rsidRPr="00560475">
              <w:t>Voorschrijven medicatie</w:t>
            </w:r>
          </w:p>
          <w:p w14:paraId="4E016925" w14:textId="77777777" w:rsidR="005459EE" w:rsidRPr="00560475" w:rsidRDefault="005459EE" w:rsidP="005459EE"/>
        </w:tc>
        <w:tc>
          <w:tcPr>
            <w:tcW w:w="2268" w:type="dxa"/>
          </w:tcPr>
          <w:p w14:paraId="4E016926" w14:textId="77777777" w:rsidR="005459EE" w:rsidRPr="00560475" w:rsidRDefault="005459EE" w:rsidP="005459EE"/>
        </w:tc>
      </w:tr>
      <w:tr w:rsidR="005459EE" w:rsidRPr="00560475" w14:paraId="4E01692B" w14:textId="77777777" w:rsidTr="005459EE">
        <w:tc>
          <w:tcPr>
            <w:tcW w:w="6799" w:type="dxa"/>
          </w:tcPr>
          <w:p w14:paraId="4E016928" w14:textId="77777777" w:rsidR="005459EE" w:rsidRPr="00560475" w:rsidRDefault="005459EE" w:rsidP="005459EE">
            <w:r w:rsidRPr="00560475">
              <w:t>Elektronisch formularium</w:t>
            </w:r>
          </w:p>
          <w:p w14:paraId="4E016929" w14:textId="77777777" w:rsidR="005459EE" w:rsidRPr="00560475" w:rsidRDefault="005459EE" w:rsidP="005459EE"/>
        </w:tc>
        <w:tc>
          <w:tcPr>
            <w:tcW w:w="2268" w:type="dxa"/>
          </w:tcPr>
          <w:p w14:paraId="4E01692A" w14:textId="77777777" w:rsidR="005459EE" w:rsidRPr="00560475" w:rsidRDefault="005459EE" w:rsidP="005459EE"/>
        </w:tc>
      </w:tr>
      <w:tr w:rsidR="005459EE" w:rsidRPr="00560475" w14:paraId="4E01692F" w14:textId="77777777" w:rsidTr="005459EE">
        <w:tc>
          <w:tcPr>
            <w:tcW w:w="6799" w:type="dxa"/>
          </w:tcPr>
          <w:p w14:paraId="4E01692C" w14:textId="77777777" w:rsidR="005459EE" w:rsidRPr="00560475" w:rsidRDefault="005459EE" w:rsidP="005459EE">
            <w:r w:rsidRPr="00560475">
              <w:t>Medicatieoverzicht</w:t>
            </w:r>
          </w:p>
          <w:p w14:paraId="4E01692D" w14:textId="77777777" w:rsidR="005459EE" w:rsidRPr="00560475" w:rsidRDefault="005459EE" w:rsidP="005459EE"/>
        </w:tc>
        <w:tc>
          <w:tcPr>
            <w:tcW w:w="2268" w:type="dxa"/>
          </w:tcPr>
          <w:p w14:paraId="4E01692E" w14:textId="77777777" w:rsidR="005459EE" w:rsidRPr="00560475" w:rsidRDefault="005459EE" w:rsidP="005459EE"/>
        </w:tc>
      </w:tr>
      <w:tr w:rsidR="005459EE" w:rsidRPr="00560475" w14:paraId="4E016933" w14:textId="77777777" w:rsidTr="005459EE">
        <w:tc>
          <w:tcPr>
            <w:tcW w:w="6799" w:type="dxa"/>
          </w:tcPr>
          <w:p w14:paraId="4E016930" w14:textId="77777777" w:rsidR="005459EE" w:rsidRPr="00560475" w:rsidRDefault="005459EE" w:rsidP="005459EE">
            <w:r w:rsidRPr="00560475">
              <w:t>Medicatieoverzicht incl. specialisten receptuur</w:t>
            </w:r>
          </w:p>
          <w:p w14:paraId="4E016931" w14:textId="77777777" w:rsidR="005459EE" w:rsidRPr="00560475" w:rsidRDefault="005459EE" w:rsidP="005459EE"/>
        </w:tc>
        <w:tc>
          <w:tcPr>
            <w:tcW w:w="2268" w:type="dxa"/>
          </w:tcPr>
          <w:p w14:paraId="4E016932" w14:textId="77777777" w:rsidR="005459EE" w:rsidRPr="00560475" w:rsidRDefault="005459EE" w:rsidP="005459EE"/>
        </w:tc>
      </w:tr>
      <w:tr w:rsidR="005459EE" w:rsidRPr="00560475" w14:paraId="4E016937" w14:textId="77777777" w:rsidTr="005459EE">
        <w:tc>
          <w:tcPr>
            <w:tcW w:w="6799" w:type="dxa"/>
          </w:tcPr>
          <w:p w14:paraId="4E016934" w14:textId="77777777" w:rsidR="005459EE" w:rsidRPr="00560475" w:rsidRDefault="005459EE" w:rsidP="005459EE">
            <w:r w:rsidRPr="00560475">
              <w:t>Preventiemodules griep en cervix</w:t>
            </w:r>
          </w:p>
          <w:p w14:paraId="4E016935" w14:textId="77777777" w:rsidR="005459EE" w:rsidRPr="00560475" w:rsidRDefault="005459EE" w:rsidP="005459EE"/>
        </w:tc>
        <w:tc>
          <w:tcPr>
            <w:tcW w:w="2268" w:type="dxa"/>
          </w:tcPr>
          <w:p w14:paraId="4E016936" w14:textId="77777777" w:rsidR="005459EE" w:rsidRPr="00560475" w:rsidRDefault="005459EE" w:rsidP="005459EE"/>
        </w:tc>
      </w:tr>
      <w:tr w:rsidR="005459EE" w:rsidRPr="00560475" w14:paraId="4E01693A" w14:textId="77777777" w:rsidTr="005459EE">
        <w:tc>
          <w:tcPr>
            <w:tcW w:w="6799" w:type="dxa"/>
          </w:tcPr>
          <w:p w14:paraId="4E016938" w14:textId="77777777" w:rsidR="005459EE" w:rsidRPr="00560475" w:rsidRDefault="005459EE" w:rsidP="005459EE">
            <w:r w:rsidRPr="00560475">
              <w:t>Datacommunicatie met o.a. collegae, apotheek, HAP, specialisten, lab en röntgen</w:t>
            </w:r>
          </w:p>
        </w:tc>
        <w:tc>
          <w:tcPr>
            <w:tcW w:w="2268" w:type="dxa"/>
          </w:tcPr>
          <w:p w14:paraId="4E016939" w14:textId="77777777" w:rsidR="005459EE" w:rsidRPr="00560475" w:rsidRDefault="005459EE" w:rsidP="005459EE"/>
        </w:tc>
      </w:tr>
      <w:tr w:rsidR="005459EE" w:rsidRPr="00560475" w14:paraId="4E01693E" w14:textId="77777777" w:rsidTr="005459EE">
        <w:tc>
          <w:tcPr>
            <w:tcW w:w="6799" w:type="dxa"/>
          </w:tcPr>
          <w:p w14:paraId="4E01693B" w14:textId="77777777" w:rsidR="005459EE" w:rsidRPr="00560475" w:rsidRDefault="005459EE" w:rsidP="005459EE">
            <w:r w:rsidRPr="00560475">
              <w:t>Agenda, actielijst</w:t>
            </w:r>
          </w:p>
          <w:p w14:paraId="4E01693C" w14:textId="77777777" w:rsidR="005459EE" w:rsidRPr="00560475" w:rsidRDefault="005459EE" w:rsidP="005459EE">
            <w:r w:rsidRPr="00560475">
              <w:t xml:space="preserve"> </w:t>
            </w:r>
          </w:p>
        </w:tc>
        <w:tc>
          <w:tcPr>
            <w:tcW w:w="2268" w:type="dxa"/>
          </w:tcPr>
          <w:p w14:paraId="4E01693D" w14:textId="77777777" w:rsidR="005459EE" w:rsidRPr="00560475" w:rsidRDefault="005459EE" w:rsidP="005459EE"/>
        </w:tc>
      </w:tr>
      <w:tr w:rsidR="005459EE" w:rsidRPr="00560475" w14:paraId="4E016942" w14:textId="77777777" w:rsidTr="005459EE">
        <w:tc>
          <w:tcPr>
            <w:tcW w:w="6799" w:type="dxa"/>
          </w:tcPr>
          <w:p w14:paraId="4E01693F" w14:textId="77777777" w:rsidR="005459EE" w:rsidRPr="00560475" w:rsidRDefault="005459EE" w:rsidP="005459EE">
            <w:r w:rsidRPr="00560475">
              <w:t xml:space="preserve">Elektronisch declareren </w:t>
            </w:r>
          </w:p>
          <w:p w14:paraId="4E016940" w14:textId="77777777" w:rsidR="005459EE" w:rsidRPr="00560475" w:rsidRDefault="005459EE" w:rsidP="005459EE"/>
        </w:tc>
        <w:tc>
          <w:tcPr>
            <w:tcW w:w="2268" w:type="dxa"/>
          </w:tcPr>
          <w:p w14:paraId="4E016941" w14:textId="77777777" w:rsidR="005459EE" w:rsidRPr="00560475" w:rsidRDefault="005459EE" w:rsidP="005459EE"/>
        </w:tc>
      </w:tr>
      <w:tr w:rsidR="005459EE" w:rsidRPr="00560475" w14:paraId="4E016946" w14:textId="77777777" w:rsidTr="005459EE">
        <w:tc>
          <w:tcPr>
            <w:tcW w:w="6799" w:type="dxa"/>
          </w:tcPr>
          <w:p w14:paraId="4E016943" w14:textId="77777777" w:rsidR="005459EE" w:rsidRPr="00560475" w:rsidRDefault="005459EE" w:rsidP="005459EE">
            <w:r w:rsidRPr="00560475">
              <w:t>Financiële administratie</w:t>
            </w:r>
          </w:p>
          <w:p w14:paraId="4E016944" w14:textId="77777777" w:rsidR="005459EE" w:rsidRPr="00560475" w:rsidRDefault="005459EE" w:rsidP="005459EE"/>
        </w:tc>
        <w:tc>
          <w:tcPr>
            <w:tcW w:w="2268" w:type="dxa"/>
          </w:tcPr>
          <w:p w14:paraId="4E016945" w14:textId="77777777" w:rsidR="005459EE" w:rsidRPr="00560475" w:rsidRDefault="005459EE" w:rsidP="005459EE"/>
        </w:tc>
      </w:tr>
      <w:tr w:rsidR="005459EE" w:rsidRPr="00560475" w14:paraId="4E016949" w14:textId="77777777" w:rsidTr="005459EE">
        <w:trPr>
          <w:trHeight w:val="57"/>
        </w:trPr>
        <w:tc>
          <w:tcPr>
            <w:tcW w:w="6799" w:type="dxa"/>
          </w:tcPr>
          <w:p w14:paraId="4E016947" w14:textId="77777777" w:rsidR="005459EE" w:rsidRPr="00560475" w:rsidRDefault="005459EE" w:rsidP="005459EE">
            <w:r w:rsidRPr="00560475">
              <w:t xml:space="preserve">Scannen en elektronisch opslaan specialistenbrieven </w:t>
            </w:r>
          </w:p>
        </w:tc>
        <w:tc>
          <w:tcPr>
            <w:tcW w:w="2268" w:type="dxa"/>
          </w:tcPr>
          <w:p w14:paraId="4E016948" w14:textId="77777777" w:rsidR="005459EE" w:rsidRPr="00560475" w:rsidRDefault="005459EE" w:rsidP="005459EE"/>
        </w:tc>
      </w:tr>
    </w:tbl>
    <w:p w14:paraId="4E01694A" w14:textId="77777777" w:rsidR="005459EE" w:rsidRPr="00560475" w:rsidRDefault="005459EE" w:rsidP="005459EE">
      <w:pPr>
        <w:rPr>
          <w:rFonts w:eastAsia="Helvetica" w:cs="Helvetica"/>
          <w:sz w:val="22"/>
        </w:rPr>
      </w:pPr>
    </w:p>
    <w:p w14:paraId="4E01694B" w14:textId="77777777" w:rsidR="005459EE" w:rsidRPr="00560475" w:rsidRDefault="005459EE" w:rsidP="005459EE">
      <w:pPr>
        <w:rPr>
          <w:rFonts w:eastAsia="Helvetica" w:cs="Helvetica"/>
          <w:sz w:val="22"/>
        </w:rPr>
      </w:pPr>
      <w:r w:rsidRPr="00560475">
        <w:rPr>
          <w:sz w:val="22"/>
        </w:rPr>
        <w:br w:type="page"/>
      </w:r>
    </w:p>
    <w:p w14:paraId="4E01694C" w14:textId="77777777" w:rsidR="005459EE" w:rsidRPr="00560475" w:rsidRDefault="005459EE" w:rsidP="005459EE">
      <w:pPr>
        <w:pStyle w:val="Kop2"/>
      </w:pPr>
      <w:r w:rsidRPr="00560475">
        <w:lastRenderedPageBreak/>
        <w:t>Hieronder staat beschreven waarom bepaalde gegevens op een bepaalde manier op een bepaalde plaats in het EPD vastgelegd dienen te worden.</w:t>
      </w:r>
    </w:p>
    <w:tbl>
      <w:tblPr>
        <w:tblStyle w:val="Tabelrasterlicht"/>
        <w:tblW w:w="9209" w:type="dxa"/>
        <w:tblLook w:val="0000" w:firstRow="0" w:lastRow="0" w:firstColumn="0" w:lastColumn="0" w:noHBand="0" w:noVBand="0"/>
      </w:tblPr>
      <w:tblGrid>
        <w:gridCol w:w="4390"/>
        <w:gridCol w:w="4819"/>
      </w:tblGrid>
      <w:tr w:rsidR="005459EE" w:rsidRPr="005459EE" w14:paraId="4E01694F" w14:textId="77777777" w:rsidTr="005459EE">
        <w:tc>
          <w:tcPr>
            <w:tcW w:w="4390" w:type="dxa"/>
          </w:tcPr>
          <w:p w14:paraId="4E01694D" w14:textId="77777777" w:rsidR="005459EE" w:rsidRPr="005459EE" w:rsidRDefault="005459EE" w:rsidP="005459EE">
            <w:pPr>
              <w:rPr>
                <w:b/>
              </w:rPr>
            </w:pPr>
            <w:r w:rsidRPr="005459EE">
              <w:rPr>
                <w:b/>
              </w:rPr>
              <w:t xml:space="preserve">Relevante gegevens </w:t>
            </w:r>
          </w:p>
        </w:tc>
        <w:tc>
          <w:tcPr>
            <w:tcW w:w="4819" w:type="dxa"/>
          </w:tcPr>
          <w:p w14:paraId="4E01694E" w14:textId="77777777" w:rsidR="005459EE" w:rsidRPr="005459EE" w:rsidRDefault="005459EE" w:rsidP="005459EE">
            <w:pPr>
              <w:rPr>
                <w:b/>
              </w:rPr>
            </w:pPr>
            <w:r w:rsidRPr="005459EE">
              <w:rPr>
                <w:b/>
              </w:rPr>
              <w:t>Plaats in het EPD</w:t>
            </w:r>
          </w:p>
        </w:tc>
      </w:tr>
      <w:tr w:rsidR="005459EE" w:rsidRPr="00560475" w14:paraId="4E016953" w14:textId="77777777" w:rsidTr="005459EE">
        <w:tc>
          <w:tcPr>
            <w:tcW w:w="4390" w:type="dxa"/>
          </w:tcPr>
          <w:p w14:paraId="4E016950" w14:textId="77777777" w:rsidR="005459EE" w:rsidRPr="00560475" w:rsidRDefault="005459EE" w:rsidP="005459EE">
            <w:r w:rsidRPr="00560475">
              <w:t>Klachten, ziekten en aandoeningen</w:t>
            </w:r>
          </w:p>
        </w:tc>
        <w:tc>
          <w:tcPr>
            <w:tcW w:w="4819" w:type="dxa"/>
          </w:tcPr>
          <w:p w14:paraId="4E016951" w14:textId="77777777" w:rsidR="005459EE" w:rsidRPr="005459EE" w:rsidRDefault="005459EE" w:rsidP="005459EE">
            <w:pPr>
              <w:rPr>
                <w:b/>
              </w:rPr>
            </w:pPr>
            <w:r w:rsidRPr="005459EE">
              <w:rPr>
                <w:b/>
              </w:rPr>
              <w:t xml:space="preserve">Episodelijst                                                 </w:t>
            </w:r>
          </w:p>
          <w:p w14:paraId="4E016952" w14:textId="77777777" w:rsidR="005459EE" w:rsidRPr="00560475" w:rsidRDefault="005459EE" w:rsidP="005459EE">
            <w:r w:rsidRPr="00560475">
              <w:t>In de voorgeschiedenis (niet actueel), in de episode- en/of probleemlijst (actueel) en in de E-regels van het journaal (actueel)</w:t>
            </w:r>
          </w:p>
        </w:tc>
      </w:tr>
      <w:tr w:rsidR="005459EE" w:rsidRPr="00560475" w14:paraId="4E016957" w14:textId="77777777" w:rsidTr="005459EE">
        <w:tc>
          <w:tcPr>
            <w:tcW w:w="4390" w:type="dxa"/>
          </w:tcPr>
          <w:p w14:paraId="4E016954" w14:textId="77777777" w:rsidR="005459EE" w:rsidRPr="00560475" w:rsidRDefault="005459EE" w:rsidP="005459EE">
            <w:r w:rsidRPr="00560475">
              <w:t>Contactgegevens voor nieuwe of bestaande klacht</w:t>
            </w:r>
          </w:p>
        </w:tc>
        <w:tc>
          <w:tcPr>
            <w:tcW w:w="4819" w:type="dxa"/>
          </w:tcPr>
          <w:p w14:paraId="4E016955" w14:textId="77777777" w:rsidR="005459EE" w:rsidRPr="005459EE" w:rsidRDefault="005459EE" w:rsidP="005459EE">
            <w:pPr>
              <w:rPr>
                <w:b/>
              </w:rPr>
            </w:pPr>
            <w:r w:rsidRPr="005459EE">
              <w:rPr>
                <w:b/>
              </w:rPr>
              <w:t xml:space="preserve">Deelcontact </w:t>
            </w:r>
          </w:p>
          <w:p w14:paraId="4E016956" w14:textId="77777777" w:rsidR="005459EE" w:rsidRPr="00560475" w:rsidRDefault="005459EE" w:rsidP="005459EE">
            <w:r w:rsidRPr="00560475">
              <w:t xml:space="preserve">Een deel- contact is een onderdeel van een episode. Leg opeenvolgende contacten en andere gegevens over één aandoening of klacht in één episode vast. SOEP brengt structuur aan in een deelcontact. </w:t>
            </w:r>
          </w:p>
        </w:tc>
      </w:tr>
      <w:tr w:rsidR="005459EE" w:rsidRPr="00560475" w14:paraId="4E01695C" w14:textId="77777777" w:rsidTr="005459EE">
        <w:trPr>
          <w:trHeight w:val="2186"/>
        </w:trPr>
        <w:tc>
          <w:tcPr>
            <w:tcW w:w="4390" w:type="dxa"/>
          </w:tcPr>
          <w:p w14:paraId="4E016958" w14:textId="77777777" w:rsidR="005459EE" w:rsidRPr="00560475" w:rsidRDefault="005459EE" w:rsidP="005459EE">
            <w:r w:rsidRPr="00560475">
              <w:t xml:space="preserve">Voorschrijven en het voorschriftenoverzicht </w:t>
            </w:r>
          </w:p>
        </w:tc>
        <w:tc>
          <w:tcPr>
            <w:tcW w:w="4819" w:type="dxa"/>
          </w:tcPr>
          <w:p w14:paraId="4E016959" w14:textId="77777777" w:rsidR="005459EE" w:rsidRPr="005459EE" w:rsidRDefault="005459EE" w:rsidP="005459EE">
            <w:pPr>
              <w:rPr>
                <w:b/>
              </w:rPr>
            </w:pPr>
            <w:r w:rsidRPr="005459EE">
              <w:rPr>
                <w:b/>
              </w:rPr>
              <w:t>Voorschriftenarchief</w:t>
            </w:r>
          </w:p>
          <w:p w14:paraId="4E01695A" w14:textId="77777777" w:rsidR="005459EE" w:rsidRDefault="005459EE" w:rsidP="005459EE">
            <w:r w:rsidRPr="00560475">
              <w:t xml:space="preserve">Leg bij het bijhouden van de actuele voorschriften ook het volgende vast: </w:t>
            </w:r>
          </w:p>
          <w:p w14:paraId="4E01695B" w14:textId="77777777" w:rsidR="005459EE" w:rsidRPr="00560475" w:rsidRDefault="005459EE" w:rsidP="005459EE">
            <w:pPr>
              <w:pStyle w:val="Lijstalinea"/>
              <w:numPr>
                <w:ilvl w:val="0"/>
                <w:numId w:val="49"/>
              </w:numPr>
            </w:pPr>
            <w:r w:rsidRPr="00560475">
              <w:t xml:space="preserve">middelen voorgeschreven tijdens visites en waarneming; </w:t>
            </w:r>
            <w:r>
              <w:br/>
            </w:r>
            <w:r w:rsidRPr="00560475">
              <w:t xml:space="preserve">het staken van het gebruik van een medicijn; </w:t>
            </w:r>
            <w:r>
              <w:br/>
            </w:r>
            <w:r w:rsidRPr="00560475">
              <w:t>het wijzigen van een dosering of gebruiksvoorschrift (in het medicatieoverzicht)</w:t>
            </w:r>
          </w:p>
        </w:tc>
      </w:tr>
      <w:tr w:rsidR="005459EE" w:rsidRPr="00560475" w14:paraId="4E016960" w14:textId="77777777" w:rsidTr="005459EE">
        <w:tc>
          <w:tcPr>
            <w:tcW w:w="4390" w:type="dxa"/>
          </w:tcPr>
          <w:p w14:paraId="4E01695D" w14:textId="77777777" w:rsidR="005459EE" w:rsidRPr="00560475" w:rsidRDefault="005459EE" w:rsidP="005459EE">
            <w:r w:rsidRPr="00560475">
              <w:t xml:space="preserve">Aanvragen en resultaten van aanvullend onderzoek </w:t>
            </w:r>
          </w:p>
        </w:tc>
        <w:tc>
          <w:tcPr>
            <w:tcW w:w="4819" w:type="dxa"/>
          </w:tcPr>
          <w:p w14:paraId="4E01695E" w14:textId="77777777" w:rsidR="005459EE" w:rsidRPr="005459EE" w:rsidRDefault="005459EE" w:rsidP="005459EE">
            <w:pPr>
              <w:rPr>
                <w:b/>
              </w:rPr>
            </w:pPr>
            <w:r w:rsidRPr="005459EE">
              <w:rPr>
                <w:b/>
              </w:rPr>
              <w:t xml:space="preserve">Diagnostisch archief </w:t>
            </w:r>
          </w:p>
          <w:p w14:paraId="4E01695F" w14:textId="77777777" w:rsidR="005459EE" w:rsidRPr="00560475" w:rsidRDefault="005459EE" w:rsidP="005459EE">
            <w:r w:rsidRPr="00560475">
              <w:t>Vervolgacties en/of instructies aan de praktijkmedewerkers naar aanleiding van een uitslag legt de huisarts in een deelcontact vast.</w:t>
            </w:r>
          </w:p>
        </w:tc>
      </w:tr>
      <w:tr w:rsidR="005459EE" w:rsidRPr="00560475" w14:paraId="4E016964" w14:textId="77777777" w:rsidTr="005459EE">
        <w:trPr>
          <w:trHeight w:val="1745"/>
        </w:trPr>
        <w:tc>
          <w:tcPr>
            <w:tcW w:w="4390" w:type="dxa"/>
          </w:tcPr>
          <w:p w14:paraId="4E016961" w14:textId="77777777" w:rsidR="005459EE" w:rsidRPr="00560475" w:rsidRDefault="005459EE" w:rsidP="005459EE">
            <w:r w:rsidRPr="00560475">
              <w:t>Verwijzen en resultaten van verwijzingen</w:t>
            </w:r>
          </w:p>
        </w:tc>
        <w:tc>
          <w:tcPr>
            <w:tcW w:w="4819" w:type="dxa"/>
          </w:tcPr>
          <w:p w14:paraId="4E016962" w14:textId="77777777" w:rsidR="005459EE" w:rsidRPr="005459EE" w:rsidRDefault="005459EE" w:rsidP="005459EE">
            <w:pPr>
              <w:rPr>
                <w:b/>
              </w:rPr>
            </w:pPr>
            <w:r w:rsidRPr="005459EE">
              <w:rPr>
                <w:b/>
              </w:rPr>
              <w:t>Correspondentiearchief</w:t>
            </w:r>
          </w:p>
          <w:p w14:paraId="4E016963" w14:textId="77777777" w:rsidR="005459EE" w:rsidRPr="00560475" w:rsidRDefault="005459EE" w:rsidP="005459EE">
            <w:r w:rsidRPr="00560475">
              <w:t>Een samenvatting van de brief van een medisch specialist wordt ingevoerd in het correspondentiearchief en gekoppeld aan de bijbehorende episode. De volledige brief van een medisch specialist wordt opgeslagen in een brievenarchief (digitaal).</w:t>
            </w:r>
          </w:p>
        </w:tc>
      </w:tr>
      <w:tr w:rsidR="005459EE" w:rsidRPr="00560475" w14:paraId="4E016968" w14:textId="77777777" w:rsidTr="005459EE">
        <w:tc>
          <w:tcPr>
            <w:tcW w:w="4390" w:type="dxa"/>
          </w:tcPr>
          <w:p w14:paraId="4E016965" w14:textId="77777777" w:rsidR="005459EE" w:rsidRPr="00560475" w:rsidRDefault="005459EE" w:rsidP="005459EE">
            <w:r w:rsidRPr="00560475">
              <w:t>Contextuele informatie, bijvoorbeeld  psychosociale situatie, mantelzorg</w:t>
            </w:r>
          </w:p>
        </w:tc>
        <w:tc>
          <w:tcPr>
            <w:tcW w:w="4819" w:type="dxa"/>
          </w:tcPr>
          <w:p w14:paraId="4E016966" w14:textId="77777777" w:rsidR="005459EE" w:rsidRPr="005459EE" w:rsidRDefault="005459EE" w:rsidP="005459EE">
            <w:pPr>
              <w:rPr>
                <w:b/>
              </w:rPr>
            </w:pPr>
            <w:r w:rsidRPr="005459EE">
              <w:rPr>
                <w:b/>
              </w:rPr>
              <w:t xml:space="preserve">Additioneel of Attentie/memo-regel </w:t>
            </w:r>
          </w:p>
          <w:p w14:paraId="4E016967" w14:textId="77777777" w:rsidR="005459EE" w:rsidRPr="00560475" w:rsidRDefault="005459EE" w:rsidP="005459EE">
            <w:r w:rsidRPr="00560475">
              <w:t>Dit onderdeel bestaat o.a. uit: Sociale gegevens. Familie</w:t>
            </w:r>
            <w:r>
              <w:t xml:space="preserve"> </w:t>
            </w:r>
            <w:r w:rsidRPr="00560475">
              <w:t>-</w:t>
            </w:r>
            <w:r>
              <w:t xml:space="preserve"> </w:t>
            </w:r>
            <w:r w:rsidRPr="00560475">
              <w:t>anamnese. Aanvullende contactgegevens. De plek voor dit soort gegevens in het EPD is het dossierdeel Additioneel. Als tijdelijk alternatief zijn er de zogenaamde attentie-, kop- of memoregels.</w:t>
            </w:r>
          </w:p>
        </w:tc>
      </w:tr>
    </w:tbl>
    <w:p w14:paraId="4E016969" w14:textId="77777777" w:rsidR="005459EE" w:rsidRPr="00560475" w:rsidRDefault="005459EE" w:rsidP="005459EE">
      <w:pPr>
        <w:pStyle w:val="Inhoudtabel"/>
        <w:spacing w:after="283"/>
        <w:rPr>
          <w:rFonts w:ascii="Trebuchet MS" w:hAnsi="Trebuchet MS"/>
          <w:sz w:val="22"/>
          <w:szCs w:val="22"/>
        </w:rPr>
      </w:pPr>
    </w:p>
    <w:p w14:paraId="4E01696A" w14:textId="77777777" w:rsidR="005459EE" w:rsidRPr="00560475" w:rsidRDefault="005459EE" w:rsidP="005459EE">
      <w:pPr>
        <w:rPr>
          <w:sz w:val="22"/>
        </w:rPr>
      </w:pPr>
    </w:p>
    <w:p w14:paraId="4E01696B"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10C0" w14:textId="77777777" w:rsidR="006971EA" w:rsidRDefault="006971EA" w:rsidP="004F45D2">
      <w:pPr>
        <w:spacing w:line="240" w:lineRule="auto"/>
      </w:pPr>
      <w:r>
        <w:separator/>
      </w:r>
    </w:p>
  </w:endnote>
  <w:endnote w:type="continuationSeparator" w:id="0">
    <w:p w14:paraId="3DF74218" w14:textId="77777777" w:rsidR="006971EA" w:rsidRDefault="006971EA"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6972" w14:textId="77777777" w:rsidR="00FD7603" w:rsidRPr="00A6485D" w:rsidRDefault="00AE0C30">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5459EE">
          <w:rPr>
            <w:rStyle w:val="Subtieleverwijzing"/>
            <w:noProof/>
          </w:rPr>
          <w:t>1</w:t>
        </w:r>
        <w:r w:rsidR="00FD7603" w:rsidRPr="00A6485D">
          <w:rPr>
            <w:rStyle w:val="Subtieleverwijzing"/>
          </w:rPr>
          <w:fldChar w:fldCharType="end"/>
        </w:r>
      </w:sdtContent>
    </w:sdt>
  </w:p>
  <w:p w14:paraId="4E016973" w14:textId="77777777" w:rsidR="00FD7603" w:rsidRPr="00A6485D" w:rsidRDefault="00FD7603" w:rsidP="00A6485D">
    <w:pPr>
      <w:pStyle w:val="Voettekst"/>
      <w:jc w:val="center"/>
      <w:rPr>
        <w:rStyle w:val="Subtieleverwijzing"/>
      </w:rPr>
    </w:pPr>
  </w:p>
  <w:p w14:paraId="4E016974"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D7B4" w14:textId="77777777" w:rsidR="006971EA" w:rsidRDefault="006971EA" w:rsidP="004F45D2">
      <w:pPr>
        <w:spacing w:line="240" w:lineRule="auto"/>
      </w:pPr>
      <w:r>
        <w:separator/>
      </w:r>
    </w:p>
  </w:footnote>
  <w:footnote w:type="continuationSeparator" w:id="0">
    <w:p w14:paraId="29EAEE8E" w14:textId="77777777" w:rsidR="006971EA" w:rsidRDefault="006971EA"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6970"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4E016971"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2B4"/>
    <w:multiLevelType w:val="hybridMultilevel"/>
    <w:tmpl w:val="BF3C177A"/>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373F75"/>
    <w:multiLevelType w:val="multilevel"/>
    <w:tmpl w:val="39B420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9052331"/>
    <w:multiLevelType w:val="hybridMultilevel"/>
    <w:tmpl w:val="7F0EBA5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72B0E"/>
    <w:multiLevelType w:val="hybridMultilevel"/>
    <w:tmpl w:val="DDD019A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191682"/>
    <w:multiLevelType w:val="hybridMultilevel"/>
    <w:tmpl w:val="5096F20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463331"/>
    <w:multiLevelType w:val="hybridMultilevel"/>
    <w:tmpl w:val="28F0F4EC"/>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883AC0"/>
    <w:multiLevelType w:val="hybridMultilevel"/>
    <w:tmpl w:val="407C38C6"/>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0E050ECC"/>
    <w:multiLevelType w:val="hybridMultilevel"/>
    <w:tmpl w:val="CFAC99F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384809"/>
    <w:multiLevelType w:val="hybridMultilevel"/>
    <w:tmpl w:val="9CCE0B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04760A"/>
    <w:multiLevelType w:val="hybridMultilevel"/>
    <w:tmpl w:val="46246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B0D2E"/>
    <w:multiLevelType w:val="hybridMultilevel"/>
    <w:tmpl w:val="7DB62690"/>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D96E12"/>
    <w:multiLevelType w:val="hybridMultilevel"/>
    <w:tmpl w:val="EC3E9C94"/>
    <w:lvl w:ilvl="0" w:tplc="AC90B33A">
      <w:numFmt w:val="bullet"/>
      <w:lvlText w:val="-"/>
      <w:lvlJc w:val="left"/>
      <w:pPr>
        <w:tabs>
          <w:tab w:val="num" w:pos="720"/>
        </w:tabs>
        <w:ind w:left="720" w:hanging="360"/>
      </w:pPr>
      <w:rPr>
        <w:rFonts w:ascii="Arial" w:eastAsia="Times New Roman" w:hAnsi="Arial" w:cs="Arial" w:hint="default"/>
      </w:rPr>
    </w:lvl>
    <w:lvl w:ilvl="1" w:tplc="04130019">
      <w:start w:val="1"/>
      <w:numFmt w:val="lowerLetter"/>
      <w:lvlText w:val="%2."/>
      <w:lvlJc w:val="left"/>
      <w:pPr>
        <w:tabs>
          <w:tab w:val="num" w:pos="1495"/>
        </w:tabs>
        <w:ind w:left="1495" w:hanging="360"/>
      </w:pPr>
      <w:rPr>
        <w:rFonts w:hint="default"/>
      </w:rPr>
    </w:lvl>
    <w:lvl w:ilvl="2" w:tplc="322C1314">
      <w:start w:val="1"/>
      <w:numFmt w:val="decimal"/>
      <w:lvlText w:val="%3."/>
      <w:lvlJc w:val="left"/>
      <w:pPr>
        <w:tabs>
          <w:tab w:val="num" w:pos="2160"/>
        </w:tabs>
        <w:ind w:left="2160" w:hanging="360"/>
      </w:pPr>
      <w:rPr>
        <w:rFont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957CD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EEE3B5E"/>
    <w:multiLevelType w:val="hybridMultilevel"/>
    <w:tmpl w:val="83889148"/>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BA13E1"/>
    <w:multiLevelType w:val="hybridMultilevel"/>
    <w:tmpl w:val="8C2E2D3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776973"/>
    <w:multiLevelType w:val="hybridMultilevel"/>
    <w:tmpl w:val="B6B6E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8827E9"/>
    <w:multiLevelType w:val="hybridMultilevel"/>
    <w:tmpl w:val="A7340F1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5105A4"/>
    <w:multiLevelType w:val="hybridMultilevel"/>
    <w:tmpl w:val="0B90FC06"/>
    <w:lvl w:ilvl="0" w:tplc="AC90B33A">
      <w:numFmt w:val="bullet"/>
      <w:lvlText w:val="-"/>
      <w:lvlJc w:val="left"/>
      <w:pPr>
        <w:ind w:left="720" w:hanging="360"/>
      </w:pPr>
      <w:rPr>
        <w:rFonts w:ascii="Arial" w:eastAsia="Times New Roman"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9E2D2C"/>
    <w:multiLevelType w:val="hybridMultilevel"/>
    <w:tmpl w:val="71BCD6D6"/>
    <w:lvl w:ilvl="0" w:tplc="328A53F2">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AF24AB"/>
    <w:multiLevelType w:val="hybridMultilevel"/>
    <w:tmpl w:val="D2F6B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091FD7"/>
    <w:multiLevelType w:val="hybridMultilevel"/>
    <w:tmpl w:val="8A405084"/>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CA38CC"/>
    <w:multiLevelType w:val="hybridMultilevel"/>
    <w:tmpl w:val="49B078E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FC29C9"/>
    <w:multiLevelType w:val="hybridMultilevel"/>
    <w:tmpl w:val="853CCE56"/>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4A64E5"/>
    <w:multiLevelType w:val="multilevel"/>
    <w:tmpl w:val="C196278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4" w15:restartNumberingAfterBreak="0">
    <w:nsid w:val="348B7E87"/>
    <w:multiLevelType w:val="hybridMultilevel"/>
    <w:tmpl w:val="C5F871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6965C9D"/>
    <w:multiLevelType w:val="hybridMultilevel"/>
    <w:tmpl w:val="330256A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7834FAD"/>
    <w:multiLevelType w:val="hybridMultilevel"/>
    <w:tmpl w:val="CEFA03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8B4084D"/>
    <w:multiLevelType w:val="hybridMultilevel"/>
    <w:tmpl w:val="324C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AFE5147"/>
    <w:multiLevelType w:val="multilevel"/>
    <w:tmpl w:val="A71C78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407D4511"/>
    <w:multiLevelType w:val="hybridMultilevel"/>
    <w:tmpl w:val="9E6AC01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16B79E4"/>
    <w:multiLevelType w:val="hybridMultilevel"/>
    <w:tmpl w:val="DD92C8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2381DDD"/>
    <w:multiLevelType w:val="hybridMultilevel"/>
    <w:tmpl w:val="9E269C56"/>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7000C98"/>
    <w:multiLevelType w:val="hybridMultilevel"/>
    <w:tmpl w:val="0E124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C8F5806"/>
    <w:multiLevelType w:val="hybridMultilevel"/>
    <w:tmpl w:val="2E586DC2"/>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E1122EF"/>
    <w:multiLevelType w:val="hybridMultilevel"/>
    <w:tmpl w:val="A2309406"/>
    <w:lvl w:ilvl="0" w:tplc="04130001">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4EED1A25"/>
    <w:multiLevelType w:val="hybridMultilevel"/>
    <w:tmpl w:val="79F04E06"/>
    <w:lvl w:ilvl="0" w:tplc="6480E8CE">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F73294F"/>
    <w:multiLevelType w:val="hybridMultilevel"/>
    <w:tmpl w:val="F7E6DD18"/>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0953886"/>
    <w:multiLevelType w:val="hybridMultilevel"/>
    <w:tmpl w:val="630E6C3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E594DE4"/>
    <w:multiLevelType w:val="hybridMultilevel"/>
    <w:tmpl w:val="B0CE4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293762A"/>
    <w:multiLevelType w:val="hybridMultilevel"/>
    <w:tmpl w:val="033C5476"/>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5646740"/>
    <w:multiLevelType w:val="hybridMultilevel"/>
    <w:tmpl w:val="7C2061F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6045F7"/>
    <w:multiLevelType w:val="hybridMultilevel"/>
    <w:tmpl w:val="9AD21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5E5327F"/>
    <w:multiLevelType w:val="hybridMultilevel"/>
    <w:tmpl w:val="F2F2C882"/>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2218D1"/>
    <w:multiLevelType w:val="hybridMultilevel"/>
    <w:tmpl w:val="7D047A5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8B5C3C"/>
    <w:multiLevelType w:val="hybridMultilevel"/>
    <w:tmpl w:val="4CA49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EB2E84"/>
    <w:multiLevelType w:val="hybridMultilevel"/>
    <w:tmpl w:val="8EDE4B04"/>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C662E24"/>
    <w:multiLevelType w:val="multilevel"/>
    <w:tmpl w:val="960E1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7CC568E2"/>
    <w:multiLevelType w:val="hybridMultilevel"/>
    <w:tmpl w:val="E8825BCC"/>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7553E7"/>
    <w:multiLevelType w:val="hybridMultilevel"/>
    <w:tmpl w:val="F37EE6FA"/>
    <w:lvl w:ilvl="0" w:tplc="AC90B3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7059887">
    <w:abstractNumId w:val="28"/>
  </w:num>
  <w:num w:numId="2" w16cid:durableId="2101101168">
    <w:abstractNumId w:val="12"/>
  </w:num>
  <w:num w:numId="3" w16cid:durableId="931938488">
    <w:abstractNumId w:val="44"/>
  </w:num>
  <w:num w:numId="4" w16cid:durableId="490028585">
    <w:abstractNumId w:val="8"/>
  </w:num>
  <w:num w:numId="5" w16cid:durableId="306250856">
    <w:abstractNumId w:val="6"/>
  </w:num>
  <w:num w:numId="6" w16cid:durableId="1256478414">
    <w:abstractNumId w:val="9"/>
  </w:num>
  <w:num w:numId="7" w16cid:durableId="1384021169">
    <w:abstractNumId w:val="41"/>
  </w:num>
  <w:num w:numId="8" w16cid:durableId="1081607487">
    <w:abstractNumId w:val="32"/>
  </w:num>
  <w:num w:numId="9" w16cid:durableId="1695301409">
    <w:abstractNumId w:val="33"/>
  </w:num>
  <w:num w:numId="10" w16cid:durableId="256984549">
    <w:abstractNumId w:val="19"/>
  </w:num>
  <w:num w:numId="11" w16cid:durableId="1862087069">
    <w:abstractNumId w:val="27"/>
  </w:num>
  <w:num w:numId="12" w16cid:durableId="69889357">
    <w:abstractNumId w:val="38"/>
  </w:num>
  <w:num w:numId="13" w16cid:durableId="895236901">
    <w:abstractNumId w:val="11"/>
  </w:num>
  <w:num w:numId="14" w16cid:durableId="1805805842">
    <w:abstractNumId w:val="15"/>
  </w:num>
  <w:num w:numId="15" w16cid:durableId="1026365055">
    <w:abstractNumId w:val="34"/>
  </w:num>
  <w:num w:numId="16" w16cid:durableId="1843546688">
    <w:abstractNumId w:val="30"/>
  </w:num>
  <w:num w:numId="17" w16cid:durableId="702824132">
    <w:abstractNumId w:val="47"/>
  </w:num>
  <w:num w:numId="18" w16cid:durableId="1789397456">
    <w:abstractNumId w:val="13"/>
  </w:num>
  <w:num w:numId="19" w16cid:durableId="134689343">
    <w:abstractNumId w:val="42"/>
  </w:num>
  <w:num w:numId="20" w16cid:durableId="1656645811">
    <w:abstractNumId w:val="26"/>
  </w:num>
  <w:num w:numId="21" w16cid:durableId="1490290577">
    <w:abstractNumId w:val="24"/>
  </w:num>
  <w:num w:numId="22" w16cid:durableId="1396276587">
    <w:abstractNumId w:val="3"/>
  </w:num>
  <w:num w:numId="23" w16cid:durableId="1428768803">
    <w:abstractNumId w:val="7"/>
  </w:num>
  <w:num w:numId="24" w16cid:durableId="2017070839">
    <w:abstractNumId w:val="36"/>
  </w:num>
  <w:num w:numId="25" w16cid:durableId="2073767374">
    <w:abstractNumId w:val="29"/>
  </w:num>
  <w:num w:numId="26" w16cid:durableId="860122893">
    <w:abstractNumId w:val="37"/>
  </w:num>
  <w:num w:numId="27" w16cid:durableId="1498374913">
    <w:abstractNumId w:val="0"/>
  </w:num>
  <w:num w:numId="28" w16cid:durableId="1580093722">
    <w:abstractNumId w:val="5"/>
  </w:num>
  <w:num w:numId="29" w16cid:durableId="182479844">
    <w:abstractNumId w:val="31"/>
  </w:num>
  <w:num w:numId="30" w16cid:durableId="384454733">
    <w:abstractNumId w:val="10"/>
  </w:num>
  <w:num w:numId="31" w16cid:durableId="293952600">
    <w:abstractNumId w:val="40"/>
  </w:num>
  <w:num w:numId="32" w16cid:durableId="2077237397">
    <w:abstractNumId w:val="39"/>
  </w:num>
  <w:num w:numId="33" w16cid:durableId="1103920259">
    <w:abstractNumId w:val="35"/>
  </w:num>
  <w:num w:numId="34" w16cid:durableId="1841388254">
    <w:abstractNumId w:val="25"/>
  </w:num>
  <w:num w:numId="35" w16cid:durableId="350763906">
    <w:abstractNumId w:val="48"/>
  </w:num>
  <w:num w:numId="36" w16cid:durableId="2005013593">
    <w:abstractNumId w:val="16"/>
  </w:num>
  <w:num w:numId="37" w16cid:durableId="1932617359">
    <w:abstractNumId w:val="17"/>
  </w:num>
  <w:num w:numId="38" w16cid:durableId="990209199">
    <w:abstractNumId w:val="4"/>
  </w:num>
  <w:num w:numId="39" w16cid:durableId="1665425897">
    <w:abstractNumId w:val="22"/>
  </w:num>
  <w:num w:numId="40" w16cid:durableId="385956263">
    <w:abstractNumId w:val="14"/>
  </w:num>
  <w:num w:numId="41" w16cid:durableId="1533567849">
    <w:abstractNumId w:val="45"/>
  </w:num>
  <w:num w:numId="42" w16cid:durableId="1921789463">
    <w:abstractNumId w:val="21"/>
  </w:num>
  <w:num w:numId="43" w16cid:durableId="1480925341">
    <w:abstractNumId w:val="1"/>
  </w:num>
  <w:num w:numId="44" w16cid:durableId="1825124849">
    <w:abstractNumId w:val="23"/>
  </w:num>
  <w:num w:numId="45" w16cid:durableId="239297688">
    <w:abstractNumId w:val="46"/>
  </w:num>
  <w:num w:numId="46" w16cid:durableId="1335493162">
    <w:abstractNumId w:val="43"/>
  </w:num>
  <w:num w:numId="47" w16cid:durableId="888108353">
    <w:abstractNumId w:val="20"/>
  </w:num>
  <w:num w:numId="48" w16cid:durableId="331296461">
    <w:abstractNumId w:val="2"/>
  </w:num>
  <w:num w:numId="49" w16cid:durableId="58904482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B73DF"/>
    <w:rsid w:val="004D56D4"/>
    <w:rsid w:val="004F45D2"/>
    <w:rsid w:val="0051510D"/>
    <w:rsid w:val="005459EE"/>
    <w:rsid w:val="00565154"/>
    <w:rsid w:val="005C2748"/>
    <w:rsid w:val="006574EC"/>
    <w:rsid w:val="0067044B"/>
    <w:rsid w:val="006971EA"/>
    <w:rsid w:val="006F54C0"/>
    <w:rsid w:val="00723707"/>
    <w:rsid w:val="00775BFF"/>
    <w:rsid w:val="007E7C1F"/>
    <w:rsid w:val="007F4476"/>
    <w:rsid w:val="00820915"/>
    <w:rsid w:val="00827AE2"/>
    <w:rsid w:val="008D580D"/>
    <w:rsid w:val="008F2226"/>
    <w:rsid w:val="008F23B0"/>
    <w:rsid w:val="00912C53"/>
    <w:rsid w:val="00936E2C"/>
    <w:rsid w:val="00975E47"/>
    <w:rsid w:val="009E16A7"/>
    <w:rsid w:val="009F0426"/>
    <w:rsid w:val="009F2E8F"/>
    <w:rsid w:val="00A8074F"/>
    <w:rsid w:val="00A86EF0"/>
    <w:rsid w:val="00AA3B01"/>
    <w:rsid w:val="00AE0C30"/>
    <w:rsid w:val="00B10D15"/>
    <w:rsid w:val="00B513C9"/>
    <w:rsid w:val="00BA17E3"/>
    <w:rsid w:val="00C8120C"/>
    <w:rsid w:val="00CD464F"/>
    <w:rsid w:val="00D964FF"/>
    <w:rsid w:val="00DB3709"/>
    <w:rsid w:val="00DB61C1"/>
    <w:rsid w:val="00DE363A"/>
    <w:rsid w:val="00EA6EE8"/>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0168D9"/>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styleId="Plattetekst">
    <w:name w:val="Body Text"/>
    <w:basedOn w:val="Standaard"/>
    <w:link w:val="PlattetekstChar"/>
    <w:rsid w:val="005459EE"/>
    <w:pPr>
      <w:widowControl w:val="0"/>
      <w:overflowPunct w:val="0"/>
      <w:spacing w:after="120" w:line="240" w:lineRule="auto"/>
    </w:pPr>
    <w:rPr>
      <w:rFonts w:ascii="Times New Roman" w:eastAsia="SimSun" w:hAnsi="Times New Roman" w:cs="Mangal"/>
      <w:color w:val="00000A"/>
      <w:sz w:val="24"/>
      <w:szCs w:val="24"/>
      <w:lang w:eastAsia="zh-CN" w:bidi="hi-IN"/>
    </w:rPr>
  </w:style>
  <w:style w:type="character" w:customStyle="1" w:styleId="PlattetekstChar">
    <w:name w:val="Platte tekst Char"/>
    <w:basedOn w:val="Standaardalinea-lettertype"/>
    <w:link w:val="Plattetekst"/>
    <w:rsid w:val="005459EE"/>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8AB44-6CB9-43A5-826C-8835E3749792}">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2.xml><?xml version="1.0" encoding="utf-8"?>
<ds:datastoreItem xmlns:ds="http://schemas.openxmlformats.org/officeDocument/2006/customXml" ds:itemID="{CAEC6D73-11A0-40FA-B7E0-13CD5274F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9D99C-96FE-4246-B70C-E3B96A41D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5</Pages>
  <Words>1046</Words>
  <Characters>5753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2025-12-16T12:22:00Z</dcterms:created>
  <dcterms:modified xsi:type="dcterms:W3CDTF">2025-12-16T12:22:00Z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2025-12-16T12:22:51Z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c2391cb5-5710-4995-9ffe-2a06380fb8e9</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