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sz w:val="44"/>
          <w:szCs w:val="44"/>
        </w:rPr>
      </w:pPr>
      <w:r w:rsidDel="00000000" w:rsidR="00000000" w:rsidRPr="00000000">
        <w:rPr>
          <w:sz w:val="44"/>
          <w:szCs w:val="44"/>
          <w:rtl w:val="0"/>
        </w:rPr>
        <w:t xml:space="preserve">BIPS Beschreibung:</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u w:val="single"/>
        </w:rPr>
      </w:pPr>
      <w:r w:rsidDel="00000000" w:rsidR="00000000" w:rsidRPr="00000000">
        <w:rPr>
          <w:u w:val="single"/>
          <w:rtl w:val="0"/>
        </w:rPr>
        <w:t xml:space="preserve">Allgemeine Bedingungen:</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b w:val="1"/>
          <w:bCs w:val="1"/>
          <w:sz w:val="26"/>
          <w:szCs w:val="26"/>
        </w:rPr>
      </w:pPr>
      <w:r w:rsidDel="00000000" w:rsidR="00000000" w:rsidRPr="00000000">
        <w:rPr>
          <w:b w:val="1"/>
          <w:bCs w:val="1"/>
          <w:sz w:val="26"/>
          <w:szCs w:val="26"/>
          <w:rtl w:val="0"/>
        </w:rPr>
        <w:t xml:space="preserve">3.xxx</w:t>
        <w:tab/>
        <w:t xml:space="preserve">Isolierungsaufhängung:</w:t>
      </w:r>
    </w:p>
    <w:p w:rsidR="00000000" w:rsidDel="00000000" w:rsidP="00000000" w:rsidRDefault="00000000" w:rsidRPr="00000000" w14:paraId="00000009">
      <w:pPr>
        <w:spacing w:after="0" w:lineRule="auto"/>
        <w:ind w:left="1304" w:firstLine="0.9999999999999432"/>
        <w:rPr/>
      </w:pPr>
      <w:r w:rsidDel="00000000" w:rsidR="00000000" w:rsidRPr="00000000">
        <w:rPr>
          <w:rtl w:val="0"/>
        </w:rPr>
        <w:t xml:space="preserve">Aufhängung von EPS-Dämmung unter selbsttragenden Bodenplatten.</w:t>
      </w:r>
    </w:p>
    <w:p w:rsidR="00000000" w:rsidDel="00000000" w:rsidP="00000000" w:rsidRDefault="00000000" w:rsidRPr="00000000" w14:paraId="0000000A">
      <w:pPr>
        <w:spacing w:after="0" w:lineRule="auto"/>
        <w:ind w:left="1304" w:firstLine="0.9999999999999432"/>
        <w:rPr/>
      </w:pPr>
      <w:r w:rsidDel="00000000" w:rsidR="00000000" w:rsidRPr="00000000">
        <w:rPr>
          <w:rtl w:val="0"/>
        </w:rPr>
        <w:t xml:space="preserve">Auszuführen in korrosionsbeständigem glasfaserverstärktem Nylon.</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u w:val="single"/>
        </w:rPr>
      </w:pPr>
      <w:r w:rsidDel="00000000" w:rsidR="00000000" w:rsidRPr="00000000">
        <w:rPr>
          <w:u w:val="single"/>
          <w:rtl w:val="0"/>
        </w:rPr>
        <w:t xml:space="preserve">Bauteilbeschreibung:</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b w:val="1"/>
          <w:bCs w:val="1"/>
          <w:sz w:val="26"/>
          <w:szCs w:val="26"/>
        </w:rPr>
      </w:pPr>
      <w:r w:rsidDel="00000000" w:rsidR="00000000" w:rsidRPr="00000000">
        <w:rPr>
          <w:b w:val="1"/>
          <w:bCs w:val="1"/>
          <w:sz w:val="26"/>
          <w:szCs w:val="26"/>
          <w:rtl w:val="0"/>
        </w:rPr>
        <w:t xml:space="preserve">4.xxxx</w:t>
        <w:tab/>
        <w:t xml:space="preserve">Isolierungsaufhängung:</w:t>
      </w:r>
    </w:p>
    <w:p w:rsidR="00000000" w:rsidDel="00000000" w:rsidP="00000000" w:rsidRDefault="00000000" w:rsidRPr="00000000" w14:paraId="00000010">
      <w:pPr>
        <w:spacing w:after="0" w:lineRule="auto"/>
        <w:ind w:left="1275.5905511811022" w:firstLine="0"/>
        <w:rPr/>
      </w:pPr>
      <w:r w:rsidDel="00000000" w:rsidR="00000000" w:rsidRPr="00000000">
        <w:rPr>
          <w:rtl w:val="0"/>
        </w:rPr>
        <w:t xml:space="preserve">Montageschrauben sind mit 2 Stück pro Platte (1200 × 1200 mm) einzuschrauben. </w:t>
      </w:r>
    </w:p>
    <w:p w:rsidR="00000000" w:rsidDel="00000000" w:rsidP="00000000" w:rsidRDefault="00000000" w:rsidRPr="00000000" w14:paraId="00000011">
      <w:pPr>
        <w:spacing w:after="0" w:lineRule="auto"/>
        <w:ind w:left="1275.5905511811022" w:firstLine="0"/>
        <w:rPr/>
      </w:pPr>
      <w:r w:rsidDel="00000000" w:rsidR="00000000" w:rsidRPr="00000000">
        <w:rPr>
          <w:rtl w:val="0"/>
        </w:rPr>
      </w:r>
    </w:p>
    <w:p w:rsidR="00000000" w:rsidDel="00000000" w:rsidP="00000000" w:rsidRDefault="00000000" w:rsidRPr="00000000" w14:paraId="00000012">
      <w:pPr>
        <w:spacing w:after="0" w:lineRule="auto"/>
        <w:ind w:left="1275.5905511811022" w:firstLine="0"/>
        <w:rPr/>
      </w:pPr>
      <w:r w:rsidDel="00000000" w:rsidR="00000000" w:rsidRPr="00000000">
        <w:rPr>
          <w:rtl w:val="0"/>
        </w:rPr>
        <w:t xml:space="preserve">Die Schrauben sind diagonal in jedem Eckbereich, jeweils etwa ¼ innerhalb der Plattenkante, einzuschrauben, sodass eine Verankerung sowohl in der oberen als auch in der unteren Dämmschicht erfolgt, wenn die Dämmung im Verband verlegt wird. </w:t>
      </w:r>
    </w:p>
    <w:p w:rsidR="00000000" w:rsidDel="00000000" w:rsidP="00000000" w:rsidRDefault="00000000" w:rsidRPr="00000000" w14:paraId="00000013">
      <w:pPr>
        <w:spacing w:after="0" w:lineRule="auto"/>
        <w:ind w:left="1275.5905511811022" w:firstLine="0"/>
        <w:rPr/>
      </w:pPr>
      <w:r w:rsidDel="00000000" w:rsidR="00000000" w:rsidRPr="00000000">
        <w:rPr>
          <w:rtl w:val="0"/>
        </w:rPr>
      </w:r>
    </w:p>
    <w:p w:rsidR="00000000" w:rsidDel="00000000" w:rsidP="00000000" w:rsidRDefault="00000000" w:rsidRPr="00000000" w14:paraId="00000014">
      <w:pPr>
        <w:spacing w:after="0" w:lineRule="auto"/>
        <w:ind w:left="1275.5905511811022" w:firstLine="0"/>
        <w:rPr/>
      </w:pPr>
      <w:r w:rsidDel="00000000" w:rsidR="00000000" w:rsidRPr="00000000">
        <w:rPr>
          <w:rtl w:val="0"/>
        </w:rPr>
        <w:t xml:space="preserve">Entlang aller Kanten sind Schrauben so zu setzen, dass jede Platte mindestens 2 Montageschrauben zur Sicherstellung der Befestigung aufweist. </w:t>
      </w:r>
    </w:p>
    <w:p w:rsidR="00000000" w:rsidDel="00000000" w:rsidP="00000000" w:rsidRDefault="00000000" w:rsidRPr="00000000" w14:paraId="00000015">
      <w:pPr>
        <w:spacing w:after="0" w:lineRule="auto"/>
        <w:ind w:firstLine="1275.5905511811022"/>
        <w:rPr/>
      </w:pPr>
      <w:r w:rsidDel="00000000" w:rsidR="00000000" w:rsidRPr="00000000">
        <w:rPr>
          <w:rtl w:val="0"/>
        </w:rPr>
      </w:r>
    </w:p>
    <w:p w:rsidR="00000000" w:rsidDel="00000000" w:rsidP="00000000" w:rsidRDefault="00000000" w:rsidRPr="00000000" w14:paraId="00000016">
      <w:pPr>
        <w:spacing w:after="0" w:lineRule="auto"/>
        <w:ind w:left="1304" w:firstLine="0"/>
        <w:rPr/>
      </w:pPr>
      <w:r w:rsidDel="00000000" w:rsidR="00000000" w:rsidRPr="00000000">
        <w:rPr>
          <w:rtl w:val="0"/>
        </w:rPr>
        <w:t xml:space="preserve">Die Montageschrauben sind bis zur Oberkante der EPS-Dämmung einzuschrauben. Ein Überdrehen ist nicht zulässig, da dadurch das Dämmmaterial beschädigt wird und die Verankerung verloren geht. </w:t>
        <w:br w:type="textWrapping"/>
      </w:r>
    </w:p>
    <w:p w:rsidR="00000000" w:rsidDel="00000000" w:rsidP="00000000" w:rsidRDefault="00000000" w:rsidRPr="00000000" w14:paraId="00000017">
      <w:pPr>
        <w:spacing w:after="0" w:lineRule="auto"/>
        <w:ind w:left="1304" w:firstLine="0"/>
        <w:rPr/>
      </w:pPr>
      <w:r w:rsidDel="00000000" w:rsidR="00000000" w:rsidRPr="00000000">
        <w:rPr>
          <w:rtl w:val="0"/>
        </w:rPr>
        <w:t xml:space="preserve">Montageschrauben werden typischerweise bei Dämmstärken von 300 bis 400 mm unter Fußböden eingesetzt. Es ist darauf zu achten, dass das Gewinde nicht vollständig durch die Dämmplatte geschraubt wird, da dies zum Verlust der Verankerung führt (bei zu geringer Dämmstärke).</w:t>
      </w:r>
    </w:p>
    <w:p w:rsidR="00000000" w:rsidDel="00000000" w:rsidP="00000000" w:rsidRDefault="00000000" w:rsidRPr="00000000" w14:paraId="00000018">
      <w:pPr>
        <w:spacing w:after="0" w:lineRule="auto"/>
        <w:ind w:left="1304" w:firstLine="0"/>
        <w:rPr/>
      </w:pPr>
      <w:r w:rsidDel="00000000" w:rsidR="00000000" w:rsidRPr="00000000">
        <w:rPr>
          <w:rtl w:val="0"/>
        </w:rPr>
        <w:t xml:space="preserve">Die Schrauben sind diagonal in jedem Eckbereich, jeweils etwa ¼ innerhalb der Plattenkante, einzuschrauben, sodass die Schrauben sowohl im oberen als auch im unteren Dämm­lagen verankert sind, wenn die Dämmung im Verband verlegt ist.</w:t>
      </w:r>
    </w:p>
    <w:p w:rsidR="00000000" w:rsidDel="00000000" w:rsidP="00000000" w:rsidRDefault="00000000" w:rsidRPr="00000000" w14:paraId="00000019">
      <w:pPr>
        <w:spacing w:after="0" w:lineRule="auto"/>
        <w:ind w:left="1304" w:firstLine="0"/>
        <w:rPr/>
      </w:pPr>
      <w:r w:rsidDel="00000000" w:rsidR="00000000" w:rsidRPr="00000000">
        <w:rPr>
          <w:rtl w:val="0"/>
        </w:rPr>
        <w:t xml:space="preserve">Entlang aller Kanten sind Schrauben zu setzen, sodass jede Platte mindestens 2 Montageschrauben zur dauerhaften Fixierung aufweist.</w:t>
      </w:r>
    </w:p>
    <w:p w:rsidR="00000000" w:rsidDel="00000000" w:rsidP="00000000" w:rsidRDefault="00000000" w:rsidRPr="00000000" w14:paraId="0000001A">
      <w:pPr>
        <w:spacing w:after="0" w:lineRule="auto"/>
        <w:ind w:left="1304" w:firstLine="0"/>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dhab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lineRule="auto"/>
      <w:jc w:val="center"/>
      <w:rPr>
        <w:color w:val="ff0000"/>
      </w:rPr>
    </w:pPr>
    <w:r w:rsidDel="00000000" w:rsidR="00000000" w:rsidRPr="00000000">
      <w:rPr>
        <w:color w:val="ff0000"/>
        <w:rtl w:val="0"/>
      </w:rPr>
      <w:t xml:space="preserve">Farum Gydevej 67-69   DK - 3520 Farum    CVR-nummer: 40966331     Tlf: +45 22 72 22 00</w:t>
    </w:r>
  </w:p>
  <w:p w:rsidR="00000000" w:rsidDel="00000000" w:rsidP="00000000" w:rsidRDefault="00000000" w:rsidRPr="00000000" w14:paraId="00000020">
    <w:pPr>
      <w:jc w:val="center"/>
      <w:rPr>
        <w:color w:val="ff0000"/>
      </w:rPr>
    </w:pPr>
    <w:r w:rsidDel="00000000" w:rsidR="00000000" w:rsidRPr="00000000">
      <w:rPr>
        <w:color w:val="ff0000"/>
        <w:rtl w:val="0"/>
      </w:rPr>
      <w:t xml:space="preserve">Email: </w:t>
    </w:r>
    <w:hyperlink r:id="rId1">
      <w:r w:rsidDel="00000000" w:rsidR="00000000" w:rsidRPr="00000000">
        <w:rPr>
          <w:color w:val="ff0000"/>
          <w:u w:val="single"/>
          <w:rtl w:val="0"/>
        </w:rPr>
        <w:t xml:space="preserve">info@dbk-aps.dk</w:t>
      </w:r>
    </w:hyperlink>
    <w:r w:rsidDel="00000000" w:rsidR="00000000" w:rsidRPr="00000000">
      <w:rPr>
        <w:color w:val="ff0000"/>
        <w:rtl w:val="0"/>
      </w:rPr>
      <w:t xml:space="preserve">    Hjemmeside: </w:t>
    </w:r>
    <w:hyperlink r:id="rId2">
      <w:r w:rsidDel="00000000" w:rsidR="00000000" w:rsidRPr="00000000">
        <w:rPr>
          <w:color w:val="ff0000"/>
          <w:u w:val="single"/>
          <w:rtl w:val="0"/>
        </w:rPr>
        <w:t xml:space="preserve">www.dbk-aps.dk</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rFonts w:ascii="Aldhabi" w:cs="Aldhabi" w:eastAsia="Aldhabi" w:hAnsi="Aldhabi"/>
        <w:b w:val="1"/>
        <w:bCs w:val="1"/>
        <w:color w:val="ff0000"/>
        <w:sz w:val="44"/>
        <w:szCs w:val="44"/>
      </w:rPr>
    </w:pPr>
    <w:r w:rsidDel="00000000" w:rsidR="00000000" w:rsidRPr="00000000">
      <w:rPr/>
      <w:drawing>
        <wp:inline distB="0" distT="0" distL="0" distR="0">
          <wp:extent cx="1924050" cy="36195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361950"/>
                  </a:xfrm>
                  <a:prstGeom prst="rect"/>
                  <a:ln/>
                </pic:spPr>
              </pic:pic>
            </a:graphicData>
          </a:graphic>
        </wp:inline>
      </w:drawing>
    </w:r>
    <w:r w:rsidDel="00000000" w:rsidR="00000000" w:rsidRPr="00000000">
      <w:rPr>
        <w:rFonts w:ascii="Aldhabi" w:cs="Aldhabi" w:eastAsia="Aldhabi" w:hAnsi="Aldhabi"/>
        <w:b w:val="1"/>
        <w:bCs w:val="1"/>
        <w:color w:val="ff0000"/>
        <w:sz w:val="44"/>
        <w:szCs w:val="44"/>
        <w:rtl w:val="0"/>
      </w:rPr>
      <w:t xml:space="preserve">           </w:t>
    </w:r>
  </w:p>
  <w:p w:rsidR="00000000" w:rsidDel="00000000" w:rsidP="00000000" w:rsidRDefault="00000000" w:rsidRPr="00000000" w14:paraId="0000001E">
    <w:pPr>
      <w:rPr>
        <w:sz w:val="64"/>
        <w:szCs w:val="64"/>
      </w:rPr>
    </w:pPr>
    <w:r w:rsidDel="00000000" w:rsidR="00000000" w:rsidRPr="00000000">
      <w:rPr>
        <w:rFonts w:ascii="Aldhabi" w:cs="Aldhabi" w:eastAsia="Aldhabi" w:hAnsi="Aldhabi"/>
        <w:color w:val="ff0000"/>
        <w:sz w:val="72"/>
        <w:szCs w:val="72"/>
        <w:rtl w:val="0"/>
      </w:rPr>
      <w:t xml:space="preserve">Dansk Byggekomponent ApS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7521C4"/>
    <w:rPr>
      <w:color w:val="0563c1"/>
      <w:u w:val="single"/>
    </w:rPr>
  </w:style>
  <w:style w:type="paragraph" w:styleId="Sidehoved">
    <w:name w:val="header"/>
    <w:basedOn w:val="Normal"/>
    <w:link w:val="SidehovedTegn"/>
    <w:uiPriority w:val="99"/>
    <w:unhideWhenUsed w:val="1"/>
    <w:rsid w:val="007521C4"/>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521C4"/>
  </w:style>
  <w:style w:type="paragraph" w:styleId="Sidefod">
    <w:name w:val="footer"/>
    <w:basedOn w:val="Normal"/>
    <w:link w:val="SidefodTegn"/>
    <w:uiPriority w:val="99"/>
    <w:unhideWhenUsed w:val="1"/>
    <w:rsid w:val="007521C4"/>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521C4"/>
  </w:style>
  <w:style w:type="character" w:styleId="Ulstomtale">
    <w:name w:val="Unresolved Mention"/>
    <w:basedOn w:val="Standardskrifttypeiafsnit"/>
    <w:uiPriority w:val="99"/>
    <w:semiHidden w:val="1"/>
    <w:unhideWhenUsed w:val="1"/>
    <w:rsid w:val="007521C4"/>
    <w:rPr>
      <w:color w:val="605e5c"/>
      <w:shd w:color="auto" w:fill="e1dfdd" w:val="clear"/>
    </w:rPr>
  </w:style>
  <w:style w:type="paragraph" w:styleId="Listeafsnit">
    <w:name w:val="List Paragraph"/>
    <w:basedOn w:val="Normal"/>
    <w:uiPriority w:val="34"/>
    <w:qFormat w:val="1"/>
    <w:rsid w:val="0077503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bk-aps.dk" TargetMode="External"/><Relationship Id="rId2" Type="http://schemas.openxmlformats.org/officeDocument/2006/relationships/hyperlink" Target="http://www.dbk-a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eCC5QNqSPHcqw5PkIGKFe/lkg==">CgMxLjA4AHIhMUdsRXFrUmcxQk9CNXJvbWNyNHpId2hmRVBEVnNTZGIw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2023-01-09T11:06:00Z</dcterms:created>
  <dc:creator>Kunde Kunde</dc:creator>
</cp:coreProperties>
</file>