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A6659">
      <w:pPr>
        <w:spacing w:after="0" w:line="240" w:lineRule="auto"/>
        <w:rPr>
          <w:rFonts w:eastAsiaTheme="minorEastAsia"/>
        </w:rPr>
      </w:pPr>
    </w:p>
    <w:p w14:paraId="350F3AEF">
      <w:pPr>
        <w:spacing w:after="0" w:line="240" w:lineRule="auto"/>
        <w:jc w:val="center"/>
        <w:textAlignment w:val="baseline"/>
        <w:outlineLvl w:val="0"/>
        <w:rPr>
          <w:rFonts w:eastAsiaTheme="minorEastAsia"/>
          <w:b/>
          <w:bCs/>
        </w:rPr>
      </w:pPr>
      <w:r>
        <w:rPr>
          <w:rFonts w:eastAsiaTheme="minorEastAsia"/>
          <w:b/>
          <w:bCs/>
        </w:rPr>
        <w:t>POLITIQUE DE CONFIDENTIALITÉ ET D'IA DE PAUWELS SOLUTIONS GROUP NV</w:t>
      </w:r>
    </w:p>
    <w:p w14:paraId="163E185A">
      <w:pPr>
        <w:spacing w:after="0" w:line="240" w:lineRule="auto"/>
        <w:jc w:val="center"/>
        <w:outlineLvl w:val="0"/>
        <w:rPr>
          <w:rFonts w:eastAsiaTheme="minorEastAsia"/>
          <w:b/>
          <w:bCs/>
        </w:rPr>
      </w:pPr>
      <w:r>
        <w:rPr>
          <w:rFonts w:eastAsiaTheme="minorEastAsia"/>
          <w:b/>
          <w:bCs/>
        </w:rPr>
        <w:t>(Version 2.4 septembre 2025)</w:t>
      </w:r>
    </w:p>
    <w:p w14:paraId="5DAB6C7B">
      <w:pPr>
        <w:spacing w:after="0" w:line="240" w:lineRule="auto"/>
        <w:jc w:val="both"/>
        <w:textAlignment w:val="baseline"/>
        <w:outlineLvl w:val="0"/>
        <w:rPr>
          <w:rFonts w:eastAsiaTheme="minorEastAsia"/>
          <w:b/>
          <w:bCs/>
        </w:rPr>
      </w:pPr>
    </w:p>
    <w:p w14:paraId="563F7B17">
      <w:pPr>
        <w:spacing w:after="0" w:line="240" w:lineRule="auto"/>
        <w:jc w:val="both"/>
        <w:outlineLvl w:val="0"/>
        <w:rPr>
          <w:rFonts w:eastAsiaTheme="minorEastAsia"/>
          <w:b/>
          <w:bCs/>
        </w:rPr>
      </w:pPr>
    </w:p>
    <w:p w14:paraId="772ACEA0">
      <w:pPr>
        <w:spacing w:after="0" w:line="240" w:lineRule="auto"/>
        <w:jc w:val="both"/>
        <w:outlineLvl w:val="0"/>
        <w:rPr>
          <w:rFonts w:eastAsiaTheme="minorEastAsia"/>
          <w:b/>
          <w:bCs/>
        </w:rPr>
      </w:pPr>
    </w:p>
    <w:p w14:paraId="7FC947BB">
      <w:pPr>
        <w:pStyle w:val="20"/>
        <w:numPr>
          <w:ilvl w:val="0"/>
          <w:numId w:val="2"/>
        </w:numPr>
        <w:spacing w:after="0" w:line="240" w:lineRule="auto"/>
        <w:jc w:val="both"/>
        <w:outlineLvl w:val="0"/>
        <w:rPr>
          <w:rFonts w:eastAsiaTheme="minorEastAsia"/>
          <w:b/>
          <w:bCs/>
        </w:rPr>
      </w:pPr>
      <w:r>
        <w:rPr>
          <w:rFonts w:eastAsiaTheme="minorEastAsia"/>
          <w:b/>
          <w:bCs/>
          <w:sz w:val="22"/>
          <w:szCs w:val="22"/>
        </w:rPr>
        <w:t>Identité du responsable du traitement</w:t>
      </w:r>
    </w:p>
    <w:p w14:paraId="02EB378F">
      <w:pPr>
        <w:spacing w:after="0" w:line="240" w:lineRule="auto"/>
        <w:jc w:val="both"/>
        <w:textAlignment w:val="baseline"/>
        <w:outlineLvl w:val="0"/>
        <w:rPr>
          <w:rFonts w:eastAsiaTheme="minorEastAsia"/>
          <w:color w:val="555555"/>
          <w:shd w:val="clear" w:color="auto" w:fill="FFFFFF"/>
        </w:rPr>
      </w:pPr>
    </w:p>
    <w:p w14:paraId="2C9C73F7">
      <w:pPr>
        <w:spacing w:after="0" w:line="240" w:lineRule="auto"/>
        <w:jc w:val="both"/>
        <w:textAlignment w:val="baseline"/>
        <w:outlineLvl w:val="0"/>
        <w:rPr>
          <w:rFonts w:eastAsiaTheme="minorEastAsia"/>
          <w:color w:val="000000" w:themeColor="text1"/>
          <w14:textFill>
            <w14:solidFill>
              <w14:schemeClr w14:val="tx1"/>
            </w14:solidFill>
          </w14:textFill>
        </w:rPr>
      </w:pPr>
      <w:r>
        <w:br w:type="textWrapping"/>
      </w:r>
      <w:r>
        <w:rPr>
          <w:rFonts w:eastAsiaTheme="minorEastAsia"/>
          <w:color w:val="000000" w:themeColor="text1"/>
          <w:shd w:val="clear" w:color="auto" w:fill="FFFFFF"/>
          <w14:textFill>
            <w14:solidFill>
              <w14:schemeClr w14:val="tx1"/>
            </w14:solidFill>
          </w14:textFill>
        </w:rPr>
        <w:t xml:space="preserve">La présente politique s'applique à compter du 15 septembre 2025 et concerne l'ensemble </w:t>
      </w:r>
      <w:r>
        <w:rPr>
          <w:rFonts w:eastAsiaTheme="minorEastAsia"/>
          <w:b/>
          <w:bCs/>
          <w:color w:val="000000" w:themeColor="text1"/>
          <w:shd w:val="clear" w:color="auto" w:fill="FFFFFF"/>
          <w14:textFill>
            <w14:solidFill>
              <w14:schemeClr w14:val="tx1"/>
            </w14:solidFill>
          </w14:textFill>
        </w:rPr>
        <w:t>du groupe Pauwels Solutions</w:t>
      </w:r>
      <w:r>
        <w:rPr>
          <w:rFonts w:eastAsiaTheme="minorEastAsia"/>
          <w:color w:val="000000" w:themeColor="text1"/>
          <w:shd w:val="clear" w:color="auto" w:fill="FFFFFF"/>
          <w14:textFill>
            <w14:solidFill>
              <w14:schemeClr w14:val="tx1"/>
            </w14:solidFill>
          </w14:textFill>
        </w:rPr>
        <w:t>, à savoir Phoenix Holding BV (CBE</w:t>
      </w:r>
      <w:r>
        <w:rPr>
          <w:rFonts w:eastAsiaTheme="minorEastAsia"/>
          <w:color w:val="000000" w:themeColor="text1"/>
          <w14:textFill>
            <w14:solidFill>
              <w14:schemeClr w14:val="tx1"/>
            </w14:solidFill>
          </w14:textFill>
        </w:rPr>
        <w:t xml:space="preserve"> 0802.117.645) et ses filiales, notamment Pyramid NV (CBE 0471.614.394), Pauwels Solutions Group NV (BIE 0466.878.816) et Pauwels Solutions Group France SARL (BODACC 811 883 255 RCS Lille Métropole). (Ci-après dénommés conjointement </w:t>
      </w:r>
      <w:r>
        <w:rPr>
          <w:rFonts w:eastAsiaTheme="minorEastAsia"/>
          <w:b/>
          <w:bCs/>
          <w:color w:val="000000" w:themeColor="text1"/>
          <w14:textFill>
            <w14:solidFill>
              <w14:schemeClr w14:val="tx1"/>
            </w14:solidFill>
          </w14:textFill>
        </w:rPr>
        <w:t>Pauwels Solutions Group - PSG)</w:t>
      </w:r>
    </w:p>
    <w:p w14:paraId="72472E82">
      <w:pPr>
        <w:spacing w:after="0" w:line="240" w:lineRule="auto"/>
        <w:jc w:val="both"/>
        <w:outlineLvl w:val="0"/>
        <w:rPr>
          <w:rFonts w:eastAsiaTheme="minorEastAsia"/>
          <w:color w:val="000000" w:themeColor="text1"/>
          <w14:textFill>
            <w14:solidFill>
              <w14:schemeClr w14:val="tx1"/>
            </w14:solidFill>
          </w14:textFill>
        </w:rPr>
      </w:pPr>
    </w:p>
    <w:p w14:paraId="717748E4">
      <w:pPr>
        <w:spacing w:after="0" w:line="240" w:lineRule="auto"/>
        <w:jc w:val="both"/>
        <w:outlineLvl w:val="0"/>
        <w:rPr>
          <w:rFonts w:eastAsiaTheme="minorEastAsia"/>
        </w:rPr>
      </w:pPr>
      <w:r>
        <w:rPr>
          <w:rFonts w:eastAsiaTheme="minorEastAsia"/>
          <w:color w:val="000000" w:themeColor="text1"/>
          <w14:textFill>
            <w14:solidFill>
              <w14:schemeClr w14:val="tx1"/>
            </w14:solidFill>
          </w14:textFill>
        </w:rPr>
        <w:t xml:space="preserve">Notre équipe interne chargée de la protection de la vie privée et notre DPD externe sont joignables à l'adresse suivante </w:t>
      </w:r>
      <w:r>
        <w:fldChar w:fldCharType="begin"/>
      </w:r>
      <w:r>
        <w:instrText xml:space="preserve"> HYPERLINK "mailto:gdpr@pauwelsconsulting.com" \h </w:instrText>
      </w:r>
      <w:r>
        <w:fldChar w:fldCharType="separate"/>
      </w:r>
      <w:r>
        <w:rPr>
          <w:rStyle w:val="14"/>
          <w:rFonts w:eastAsiaTheme="minorEastAsia"/>
          <w:lang w:val="nl-NL"/>
        </w:rPr>
        <w:t>gdpr@pauwelsconsulting.com</w:t>
      </w:r>
      <w:r>
        <w:rPr>
          <w:rStyle w:val="14"/>
          <w:rFonts w:eastAsiaTheme="minorEastAsia"/>
          <w:lang w:val="nl-NL"/>
        </w:rPr>
        <w:fldChar w:fldCharType="end"/>
      </w:r>
    </w:p>
    <w:p w14:paraId="6FE91E8B">
      <w:pPr>
        <w:spacing w:after="0" w:line="240" w:lineRule="auto"/>
        <w:jc w:val="both"/>
        <w:outlineLvl w:val="0"/>
        <w:rPr>
          <w:rFonts w:eastAsiaTheme="minorEastAsia"/>
          <w:color w:val="000000" w:themeColor="text1"/>
          <w14:textFill>
            <w14:solidFill>
              <w14:schemeClr w14:val="tx1"/>
            </w14:solidFill>
          </w14:textFill>
        </w:rPr>
      </w:pPr>
    </w:p>
    <w:p w14:paraId="4E67C492">
      <w:pPr>
        <w:spacing w:after="0" w:line="240" w:lineRule="auto"/>
        <w:jc w:val="both"/>
        <w:textAlignment w:val="baseline"/>
        <w:outlineLvl w:val="0"/>
        <w:rPr>
          <w:rFonts w:eastAsiaTheme="minorEastAsia"/>
          <w:color w:val="000000" w:themeColor="text1"/>
          <w:shd w:val="clear" w:color="auto" w:fill="FFFFFF"/>
          <w14:textFill>
            <w14:solidFill>
              <w14:schemeClr w14:val="tx1"/>
            </w14:solidFill>
          </w14:textFill>
        </w:rPr>
      </w:pPr>
      <w:r>
        <w:rPr>
          <w:rFonts w:eastAsiaTheme="minorEastAsia"/>
          <w:color w:val="000000" w:themeColor="text1"/>
          <w:shd w:val="clear" w:color="auto" w:fill="FFFFFF"/>
          <w14:textFill>
            <w14:solidFill>
              <w14:schemeClr w14:val="tx1"/>
            </w14:solidFill>
          </w14:textFill>
        </w:rPr>
        <w:t xml:space="preserve">Pauwels Solutions Group accorde une grande importance à la protection de vos données à caractère personnel. </w:t>
      </w:r>
      <w:r>
        <w:br w:type="textWrapping"/>
      </w:r>
      <w:r>
        <w:br w:type="textWrapping"/>
      </w:r>
      <w:r>
        <w:rPr>
          <w:rFonts w:eastAsiaTheme="minorEastAsia"/>
          <w:color w:val="000000" w:themeColor="text1"/>
          <w:shd w:val="clear" w:color="auto" w:fill="FFFFFF"/>
          <w14:textFill>
            <w14:solidFill>
              <w14:schemeClr w14:val="tx1"/>
            </w14:solidFill>
          </w14:textFill>
        </w:rPr>
        <w:t>Lors de vos contacts avec Pauwels Solutions Group, il se peut que vous nous communiquiez des données à caractère personnel afin que nous puissions vous identifier en tant qu'individu, collaborateur d'une entreprise, etc.  (Par exemple, votre nom complet, votre adresse e-mail, votre adresse postale et votre numéro de téléphone). Il s'agit de vos « données à caractère personnel ».</w:t>
      </w:r>
    </w:p>
    <w:p w14:paraId="41C8F396">
      <w:pPr>
        <w:spacing w:after="0" w:line="240" w:lineRule="auto"/>
        <w:jc w:val="both"/>
        <w:textAlignment w:val="baseline"/>
        <w:outlineLvl w:val="0"/>
        <w:rPr>
          <w:rFonts w:eastAsiaTheme="minorEastAsia"/>
          <w:color w:val="000000" w:themeColor="text1"/>
          <w14:textFill>
            <w14:solidFill>
              <w14:schemeClr w14:val="tx1"/>
            </w14:solidFill>
          </w14:textFill>
        </w:rPr>
      </w:pPr>
    </w:p>
    <w:p w14:paraId="72A3D3EC">
      <w:pPr>
        <w:spacing w:after="0" w:line="240" w:lineRule="auto"/>
        <w:jc w:val="both"/>
        <w:textAlignment w:val="baseline"/>
        <w:outlineLvl w:val="0"/>
        <w:rPr>
          <w:rFonts w:eastAsiaTheme="minorEastAsia"/>
        </w:rPr>
      </w:pPr>
    </w:p>
    <w:p w14:paraId="4DE54E19">
      <w:pPr>
        <w:pStyle w:val="20"/>
        <w:numPr>
          <w:ilvl w:val="0"/>
          <w:numId w:val="2"/>
        </w:numPr>
        <w:spacing w:after="0" w:line="240" w:lineRule="auto"/>
        <w:jc w:val="both"/>
        <w:textAlignment w:val="baseline"/>
        <w:outlineLvl w:val="0"/>
        <w:rPr>
          <w:rFonts w:eastAsiaTheme="minorEastAsia"/>
          <w:b/>
          <w:bCs/>
        </w:rPr>
      </w:pPr>
      <w:r>
        <w:rPr>
          <w:rFonts w:eastAsiaTheme="minorEastAsia"/>
          <w:b/>
          <w:bCs/>
          <w:sz w:val="22"/>
          <w:szCs w:val="22"/>
        </w:rPr>
        <w:t xml:space="preserve">Quelles données à caractère personnel traitons-nous et à quelles fins ? </w:t>
      </w:r>
    </w:p>
    <w:p w14:paraId="0D0B940D">
      <w:pPr>
        <w:spacing w:after="0" w:line="240" w:lineRule="auto"/>
        <w:jc w:val="both"/>
        <w:textAlignment w:val="baseline"/>
        <w:outlineLvl w:val="0"/>
        <w:rPr>
          <w:rFonts w:eastAsiaTheme="minorEastAsia"/>
          <w:u w:val="single"/>
        </w:rPr>
      </w:pPr>
    </w:p>
    <w:p w14:paraId="7380F21D">
      <w:pPr>
        <w:spacing w:after="0" w:line="240" w:lineRule="auto"/>
        <w:jc w:val="both"/>
        <w:outlineLvl w:val="0"/>
        <w:rPr>
          <w:rFonts w:eastAsiaTheme="minorEastAsia"/>
        </w:rPr>
      </w:pPr>
    </w:p>
    <w:p w14:paraId="46FCEDF1">
      <w:pPr>
        <w:spacing w:after="0" w:line="240" w:lineRule="auto"/>
        <w:jc w:val="both"/>
        <w:outlineLvl w:val="0"/>
        <w:rPr>
          <w:rFonts w:eastAsiaTheme="minorEastAsia"/>
        </w:rPr>
      </w:pPr>
      <w:r>
        <w:rPr>
          <w:rFonts w:eastAsiaTheme="minorEastAsia"/>
        </w:rPr>
        <w:t xml:space="preserve">Pauwels Solutions Group collecte, enregistre et traite les données à caractère personnel de ses clients, candidats, collaborateurs, indépendants ou autres personnes avec lesquelles notre entreprise est en contact. Les données sont par exemple communiquées par les personnes elles-mêmes lors d'une prise de contact. </w:t>
      </w:r>
    </w:p>
    <w:p w14:paraId="0E27B00A">
      <w:pPr>
        <w:spacing w:after="0" w:line="240" w:lineRule="auto"/>
        <w:jc w:val="both"/>
        <w:textAlignment w:val="baseline"/>
        <w:outlineLvl w:val="0"/>
        <w:rPr>
          <w:rFonts w:eastAsiaTheme="minorEastAsia"/>
        </w:rPr>
      </w:pPr>
    </w:p>
    <w:p w14:paraId="48ADED84">
      <w:pPr>
        <w:spacing w:after="0" w:line="240" w:lineRule="auto"/>
        <w:jc w:val="both"/>
        <w:textAlignment w:val="baseline"/>
        <w:outlineLvl w:val="0"/>
        <w:rPr>
          <w:rFonts w:eastAsiaTheme="minorEastAsia"/>
        </w:rPr>
      </w:pPr>
      <w:r>
        <w:rPr>
          <w:rFonts w:eastAsiaTheme="minorEastAsia"/>
        </w:rPr>
        <w:t xml:space="preserve">Les données à caractère personnel sont toujours traitées dans le respect des principes de la législation sur la protection de la vie privée et du Règlement général sur la protection des données, à savoir le Règlement européen 2016/679 du 27 avril 2016 relatif à la protection des données à caractère personnel. </w:t>
      </w:r>
    </w:p>
    <w:p w14:paraId="069353C2">
      <w:pPr>
        <w:spacing w:after="0" w:line="240" w:lineRule="auto"/>
        <w:jc w:val="both"/>
        <w:textAlignment w:val="baseline"/>
        <w:outlineLvl w:val="0"/>
        <w:rPr>
          <w:rFonts w:eastAsiaTheme="minorEastAsia"/>
        </w:rPr>
      </w:pPr>
    </w:p>
    <w:p w14:paraId="49AA35DA">
      <w:pPr>
        <w:spacing w:after="0" w:line="240" w:lineRule="auto"/>
        <w:jc w:val="both"/>
        <w:textAlignment w:val="baseline"/>
        <w:outlineLvl w:val="0"/>
        <w:rPr>
          <w:rFonts w:eastAsiaTheme="minorEastAsia"/>
        </w:rPr>
      </w:pPr>
      <w:r>
        <w:rPr>
          <w:rFonts w:eastAsiaTheme="minorEastAsia"/>
        </w:rPr>
        <w:t xml:space="preserve">Les données à caractère personnel sont traitées de manière licite, loyale et transparente, et ce pour une finalité déterminée et explicite.  Grâce à des mises à jour régulières de notre base de données, Pauwels Solutions Group veille également à la minimisation des données. </w:t>
      </w:r>
    </w:p>
    <w:p w14:paraId="2EC4B770">
      <w:pPr>
        <w:spacing w:after="0" w:line="240" w:lineRule="auto"/>
        <w:jc w:val="both"/>
        <w:textAlignment w:val="baseline"/>
        <w:outlineLvl w:val="0"/>
        <w:rPr>
          <w:rFonts w:eastAsiaTheme="minorEastAsia"/>
        </w:rPr>
      </w:pPr>
    </w:p>
    <w:p w14:paraId="3D3A15EE">
      <w:pPr>
        <w:spacing w:after="0" w:line="240" w:lineRule="auto"/>
        <w:jc w:val="both"/>
        <w:textAlignment w:val="baseline"/>
        <w:outlineLvl w:val="0"/>
        <w:rPr>
          <w:rFonts w:eastAsiaTheme="minorEastAsia"/>
        </w:rPr>
      </w:pPr>
      <w:r>
        <w:rPr>
          <w:rFonts w:eastAsiaTheme="minorEastAsia"/>
        </w:rPr>
        <w:t>Pauwels Solutions Group traite vos données à caractère personnel, entre autres, aux fins suivantes :</w:t>
      </w:r>
    </w:p>
    <w:p w14:paraId="60061E4C">
      <w:pPr>
        <w:spacing w:after="0" w:line="240" w:lineRule="auto"/>
        <w:jc w:val="both"/>
        <w:textAlignment w:val="baseline"/>
        <w:outlineLvl w:val="0"/>
        <w:rPr>
          <w:rFonts w:eastAsiaTheme="minorEastAsia"/>
        </w:rPr>
      </w:pPr>
    </w:p>
    <w:p w14:paraId="0EEF798A">
      <w:pPr>
        <w:pStyle w:val="20"/>
        <w:numPr>
          <w:ilvl w:val="0"/>
          <w:numId w:val="3"/>
        </w:numPr>
        <w:spacing w:after="0" w:line="240" w:lineRule="auto"/>
        <w:jc w:val="left"/>
        <w:textAlignment w:val="baseline"/>
        <w:outlineLvl w:val="0"/>
        <w:rPr>
          <w:rFonts w:eastAsiaTheme="minorEastAsia"/>
          <w:color w:val="auto"/>
          <w:sz w:val="22"/>
          <w:szCs w:val="22"/>
        </w:rPr>
      </w:pPr>
      <w:r>
        <w:rPr>
          <w:rFonts w:eastAsiaTheme="minorEastAsia"/>
          <w:color w:val="auto"/>
          <w:sz w:val="22"/>
          <w:szCs w:val="22"/>
        </w:rPr>
        <w:t xml:space="preserve">Gestion de la clientèle - collecte de prospects, de personnes de contact, de données d'entreprise, de données d'identification, de données financières, d'informations et d'échanges d'informations sur les projets ; </w:t>
      </w:r>
      <w:r>
        <w:br w:type="textWrapping"/>
      </w:r>
    </w:p>
    <w:p w14:paraId="6D6AAAA7">
      <w:pPr>
        <w:pStyle w:val="20"/>
        <w:numPr>
          <w:ilvl w:val="0"/>
          <w:numId w:val="3"/>
        </w:numPr>
        <w:spacing w:after="0" w:line="240" w:lineRule="auto"/>
        <w:jc w:val="left"/>
        <w:outlineLvl w:val="0"/>
        <w:rPr>
          <w:rFonts w:eastAsiaTheme="minorEastAsia"/>
          <w:color w:val="auto"/>
          <w:sz w:val="22"/>
          <w:szCs w:val="22"/>
        </w:rPr>
      </w:pPr>
      <w:r>
        <w:rPr>
          <w:rFonts w:eastAsiaTheme="minorEastAsia"/>
          <w:color w:val="auto"/>
          <w:sz w:val="22"/>
          <w:szCs w:val="22"/>
        </w:rPr>
        <w:t xml:space="preserve">Recrutement de nouveaux collaborateurs – coordonnées professionnelles, fonction, expérience professionnelle, données liées à la description de fonction d'un client ; les données des nouveaux collaborateurs et freelances sont enregistrées dans nos systèmes afin de trouver la meilleure adéquation entre, entre autres, l'expérience et les spécialisations d'un candidat et les missions disponibles. Lors de la conclusion d'une nouvelle mission dans le cadre d'un contrat client, il peut arriver que des données à caractère personnel soient partagées de maniè e sur les personnes concernées par le contrat. Ainsi, pour des raisons de sécurité, les clients peuvent avoir certaines exigences auxquelles Pauwels Solutions Group doit se conformer. Les personnes concernées en sont toujours informées. </w:t>
      </w:r>
      <w:r>
        <w:br w:type="textWrapping"/>
      </w:r>
    </w:p>
    <w:p w14:paraId="31D62477">
      <w:pPr>
        <w:pStyle w:val="20"/>
        <w:numPr>
          <w:ilvl w:val="0"/>
          <w:numId w:val="3"/>
        </w:numPr>
        <w:spacing w:after="0" w:line="240" w:lineRule="auto"/>
        <w:jc w:val="left"/>
        <w:textAlignment w:val="baseline"/>
        <w:outlineLvl w:val="0"/>
        <w:rPr>
          <w:rFonts w:eastAsiaTheme="minorEastAsia"/>
          <w:color w:val="auto"/>
          <w:sz w:val="22"/>
          <w:szCs w:val="22"/>
        </w:rPr>
      </w:pPr>
      <w:r>
        <w:rPr>
          <w:rFonts w:eastAsiaTheme="minorEastAsia"/>
          <w:color w:val="auto"/>
          <w:sz w:val="22"/>
          <w:szCs w:val="22"/>
        </w:rPr>
        <w:t>Informations sur nos activités professionnelles et sociales, ou tout autre sujet susceptible de vous intéresser via nos canaux de communication (par exemple, newsletter, site web) ;</w:t>
      </w:r>
      <w:r>
        <w:br w:type="textWrapping"/>
      </w:r>
    </w:p>
    <w:p w14:paraId="3A8BAFFF">
      <w:pPr>
        <w:pStyle w:val="20"/>
        <w:numPr>
          <w:ilvl w:val="0"/>
          <w:numId w:val="3"/>
        </w:numPr>
        <w:spacing w:after="0" w:line="240" w:lineRule="auto"/>
        <w:jc w:val="left"/>
        <w:outlineLvl w:val="0"/>
        <w:rPr>
          <w:rFonts w:eastAsiaTheme="minorEastAsia"/>
          <w:color w:val="auto"/>
          <w:sz w:val="22"/>
          <w:szCs w:val="22"/>
        </w:rPr>
      </w:pPr>
      <w:bookmarkStart w:id="0" w:name="_GoBack"/>
      <w:r>
        <w:rPr>
          <w:rFonts w:eastAsiaTheme="minorEastAsia"/>
          <w:color w:val="auto"/>
          <w:sz w:val="22"/>
          <w:szCs w:val="22"/>
        </w:rPr>
        <w:t xml:space="preserve">Lorsque vous contactez notre entreprise via les réseaux sociaux ou que votre profil est accessible sur ces plateformes, des données à caractère personnel peuvent être partagées avec Pauwels Solutions Group dans le cadre de cette plateforme. Nous recommandons aux utilisateurs des réseaux sociaux de vérifier les conditions de confidentialité en tant qu'utilisateurs de ces plateformes. </w:t>
      </w:r>
      <w:bookmarkEnd w:id="0"/>
      <w:r>
        <w:br w:type="textWrapping"/>
      </w:r>
    </w:p>
    <w:p w14:paraId="19B78E3B">
      <w:pPr>
        <w:pStyle w:val="20"/>
        <w:numPr>
          <w:ilvl w:val="0"/>
          <w:numId w:val="3"/>
        </w:numPr>
        <w:spacing w:after="0" w:line="240" w:lineRule="auto"/>
        <w:textAlignment w:val="baseline"/>
        <w:outlineLvl w:val="0"/>
        <w:rPr>
          <w:rFonts w:eastAsiaTheme="minorEastAsia"/>
          <w:color w:val="auto"/>
          <w:sz w:val="22"/>
          <w:szCs w:val="22"/>
        </w:rPr>
      </w:pPr>
      <w:r>
        <w:rPr>
          <w:rFonts w:eastAsiaTheme="minorEastAsia"/>
          <w:color w:val="auto"/>
          <w:sz w:val="22"/>
          <w:szCs w:val="22"/>
        </w:rPr>
        <w:t xml:space="preserve">Pour la poursuite de l'exécution des contrats conclus ; </w:t>
      </w:r>
      <w:r>
        <w:br w:type="textWrapping"/>
      </w:r>
    </w:p>
    <w:p w14:paraId="7D1C0A7A">
      <w:pPr>
        <w:pStyle w:val="20"/>
        <w:numPr>
          <w:ilvl w:val="0"/>
          <w:numId w:val="3"/>
        </w:numPr>
        <w:spacing w:after="0" w:line="240" w:lineRule="auto"/>
        <w:textAlignment w:val="baseline"/>
        <w:outlineLvl w:val="0"/>
        <w:rPr>
          <w:rFonts w:eastAsiaTheme="minorEastAsia"/>
          <w:color w:val="auto"/>
          <w:sz w:val="22"/>
          <w:szCs w:val="22"/>
        </w:rPr>
      </w:pPr>
      <w:r>
        <w:rPr>
          <w:rFonts w:eastAsiaTheme="minorEastAsia"/>
          <w:color w:val="auto"/>
          <w:sz w:val="22"/>
          <w:szCs w:val="22"/>
        </w:rPr>
        <w:t>Le traitement des engagements financiers ;</w:t>
      </w:r>
      <w:r>
        <w:br w:type="textWrapping"/>
      </w:r>
    </w:p>
    <w:p w14:paraId="35719100">
      <w:pPr>
        <w:pStyle w:val="20"/>
        <w:numPr>
          <w:ilvl w:val="0"/>
          <w:numId w:val="3"/>
        </w:numPr>
        <w:spacing w:after="0" w:line="240" w:lineRule="auto"/>
        <w:textAlignment w:val="baseline"/>
        <w:outlineLvl w:val="0"/>
        <w:rPr>
          <w:rFonts w:eastAsiaTheme="minorEastAsia"/>
          <w:color w:val="auto"/>
          <w:sz w:val="22"/>
          <w:szCs w:val="22"/>
        </w:rPr>
      </w:pPr>
      <w:r>
        <w:rPr>
          <w:rFonts w:eastAsiaTheme="minorEastAsia"/>
          <w:color w:val="auto"/>
          <w:sz w:val="22"/>
          <w:szCs w:val="22"/>
        </w:rPr>
        <w:t xml:space="preserve">Analyse des données afin d'améliorer l'efficacité et la performance de nos services, pour laquelle des modèles d'IA peuvent être utilisés ; </w:t>
      </w:r>
      <w:r>
        <w:rPr>
          <w:rFonts w:eastAsiaTheme="minorEastAsia"/>
          <w:color w:val="auto"/>
          <w:sz w:val="22"/>
          <w:szCs w:val="22"/>
        </w:rPr>
        <w:br w:type="textWrapping"/>
      </w:r>
    </w:p>
    <w:p w14:paraId="250EE6AF">
      <w:pPr>
        <w:pStyle w:val="20"/>
        <w:numPr>
          <w:ilvl w:val="0"/>
          <w:numId w:val="3"/>
        </w:numPr>
        <w:spacing w:after="0" w:line="240" w:lineRule="auto"/>
        <w:jc w:val="both"/>
        <w:textAlignment w:val="baseline"/>
        <w:outlineLvl w:val="0"/>
        <w:rPr>
          <w:rFonts w:eastAsiaTheme="minorEastAsia"/>
          <w:color w:val="auto"/>
          <w:sz w:val="22"/>
          <w:szCs w:val="22"/>
        </w:rPr>
      </w:pPr>
      <w:r>
        <w:rPr>
          <w:rFonts w:eastAsiaTheme="minorEastAsia"/>
          <w:color w:val="auto"/>
          <w:sz w:val="22"/>
          <w:szCs w:val="22"/>
        </w:rPr>
        <w:t>Pauwels Solutions Group utilise  des outils d'IA pour travailler de manière plus intelligente et plus ciblée et mieux soutenir les candidats, les employés et les employeurs.  L'utilisation de ces outils vise à soutenir les activités de PSG et ne sera utilisée qu'à ces fins. L'utilisation d'un outil d'IA  nécessite toujours une intervention humaine.  Les ensembles de données sont soumis à différents tests afin d'éviter les biais et les hallucinations et d'évaluer leur précision. Pauwels Solutions Group dresse l'inventaire de ces outils et leur associe des mesures en fonction de la qualification des risques de l'outil d'IA et des fournisseurs, ainsi que de l'objectif pour lequel ils sont utilisés.  Ces outils sont également soumis à des mesures techniques et organisationnelles visant à protéger les données (à caractère personnel) de Pauwels Solutions Group.  Si vous souhaitez obtenir plus d'informations, veuillez contacter notre équipe chargée des données et de la confidentialité à l'adresse</w:t>
      </w:r>
      <w:r>
        <w:rPr>
          <w:rFonts w:hint="default" w:eastAsiaTheme="minorEastAsia"/>
          <w:color w:val="auto"/>
          <w:sz w:val="22"/>
          <w:szCs w:val="22"/>
          <w:lang w:val="nl-BE"/>
        </w:rPr>
        <w:t xml:space="preserve"> </w:t>
      </w:r>
      <w:r>
        <w:fldChar w:fldCharType="begin"/>
      </w:r>
      <w:r>
        <w:instrText xml:space="preserve"> HYPERLINK "mailto:gdpr@pauwelsconsulting.com" </w:instrText>
      </w:r>
      <w:r>
        <w:fldChar w:fldCharType="separate"/>
      </w:r>
      <w:r>
        <w:rPr>
          <w:rStyle w:val="14"/>
          <w:rFonts w:eastAsiaTheme="minorEastAsia"/>
          <w:sz w:val="22"/>
          <w:szCs w:val="22"/>
        </w:rPr>
        <w:t>gdpr@pauwelsconsulting.com</w:t>
      </w:r>
      <w:r>
        <w:rPr>
          <w:rStyle w:val="14"/>
          <w:rFonts w:eastAsiaTheme="minorEastAsia"/>
          <w:sz w:val="22"/>
          <w:szCs w:val="22"/>
        </w:rPr>
        <w:fldChar w:fldCharType="end"/>
      </w:r>
      <w:r>
        <w:rPr>
          <w:rFonts w:eastAsiaTheme="minorEastAsia"/>
          <w:color w:val="auto"/>
          <w:sz w:val="22"/>
          <w:szCs w:val="22"/>
        </w:rPr>
        <w:t xml:space="preserve"> . </w:t>
      </w:r>
    </w:p>
    <w:p w14:paraId="77311638">
      <w:pPr>
        <w:pStyle w:val="20"/>
        <w:spacing w:after="0" w:line="240" w:lineRule="auto"/>
        <w:jc w:val="both"/>
        <w:textAlignment w:val="baseline"/>
        <w:outlineLvl w:val="0"/>
        <w:rPr>
          <w:rFonts w:eastAsiaTheme="minorEastAsia"/>
          <w:color w:val="auto"/>
          <w:sz w:val="22"/>
          <w:szCs w:val="22"/>
        </w:rPr>
      </w:pPr>
    </w:p>
    <w:p w14:paraId="130EF1FE">
      <w:pPr>
        <w:pStyle w:val="20"/>
        <w:numPr>
          <w:ilvl w:val="0"/>
          <w:numId w:val="3"/>
        </w:numPr>
        <w:spacing w:after="0" w:line="240" w:lineRule="auto"/>
        <w:jc w:val="both"/>
        <w:textAlignment w:val="baseline"/>
        <w:outlineLvl w:val="0"/>
        <w:rPr>
          <w:rFonts w:eastAsiaTheme="minorEastAsia"/>
          <w:color w:val="auto"/>
          <w:sz w:val="22"/>
          <w:szCs w:val="22"/>
        </w:rPr>
      </w:pPr>
      <w:r>
        <w:rPr>
          <w:rFonts w:eastAsiaTheme="minorEastAsia"/>
          <w:color w:val="auto"/>
          <w:sz w:val="22"/>
          <w:szCs w:val="22"/>
        </w:rPr>
        <w:t xml:space="preserve">Dans de nombreux cas, des IA à usage général  (LLM) sont également utilisées pour assister nos collaborateurs sous licence (notamment Co-pilot). Elles sont soumises à des règles particulières de la loi sur l'IA applicables à ces modèles. Si vous souhaitez obtenir plus d'informations techniques sur ces modèles, vous serez donc peut-être redirigé vers ces grandes entreprises technologiques (Microsoft, Alphabet, Adobe, Open AI). Compte tenu du stade précoce de la mise en œuvre de ces outils d'IA, des modifications peuvent être apportées à cette clause. </w:t>
      </w:r>
    </w:p>
    <w:p w14:paraId="593992DC">
      <w:pPr>
        <w:pStyle w:val="20"/>
        <w:spacing w:after="0" w:line="240" w:lineRule="auto"/>
        <w:jc w:val="both"/>
        <w:textAlignment w:val="baseline"/>
        <w:outlineLvl w:val="0"/>
        <w:rPr>
          <w:rFonts w:eastAsiaTheme="minorEastAsia"/>
          <w:color w:val="auto"/>
          <w:sz w:val="22"/>
          <w:szCs w:val="22"/>
        </w:rPr>
      </w:pPr>
    </w:p>
    <w:p w14:paraId="57EE69D2">
      <w:pPr>
        <w:pStyle w:val="20"/>
        <w:numPr>
          <w:ilvl w:val="0"/>
          <w:numId w:val="3"/>
        </w:numPr>
        <w:spacing w:after="0" w:line="240" w:lineRule="auto"/>
        <w:textAlignment w:val="baseline"/>
        <w:outlineLvl w:val="0"/>
        <w:rPr>
          <w:rFonts w:eastAsiaTheme="minorEastAsia"/>
          <w:color w:val="auto"/>
          <w:sz w:val="22"/>
          <w:szCs w:val="22"/>
        </w:rPr>
      </w:pPr>
      <w:r>
        <w:rPr>
          <w:rFonts w:eastAsiaTheme="minorEastAsia"/>
          <w:color w:val="auto"/>
          <w:sz w:val="22"/>
          <w:szCs w:val="22"/>
        </w:rPr>
        <w:t xml:space="preserve">Pour respecter les obligations légales ; </w:t>
      </w:r>
      <w:r>
        <w:br w:type="textWrapping"/>
      </w:r>
    </w:p>
    <w:p w14:paraId="7E8D4A77">
      <w:pPr>
        <w:pStyle w:val="20"/>
        <w:numPr>
          <w:ilvl w:val="0"/>
          <w:numId w:val="3"/>
        </w:numPr>
        <w:spacing w:after="0" w:line="240" w:lineRule="auto"/>
        <w:textAlignment w:val="baseline"/>
        <w:outlineLvl w:val="0"/>
        <w:rPr>
          <w:rFonts w:eastAsiaTheme="minorEastAsia"/>
          <w:color w:val="auto"/>
          <w:sz w:val="22"/>
          <w:szCs w:val="22"/>
        </w:rPr>
      </w:pPr>
      <w:r>
        <w:rPr>
          <w:rFonts w:eastAsiaTheme="minorEastAsia"/>
          <w:color w:val="auto"/>
          <w:sz w:val="22"/>
          <w:szCs w:val="22"/>
        </w:rPr>
        <w:t>Lorsque l'intérêt légitime de l'entreprise l'exige, mais que cela est toujours clairement indiqué à la personne concernée, par exemple pour des raisons de sécurité.</w:t>
      </w:r>
    </w:p>
    <w:p w14:paraId="44EAFD9C">
      <w:pPr>
        <w:spacing w:after="0" w:line="240" w:lineRule="auto"/>
        <w:jc w:val="both"/>
        <w:textAlignment w:val="baseline"/>
        <w:outlineLvl w:val="0"/>
        <w:rPr>
          <w:rFonts w:eastAsiaTheme="minorEastAsia"/>
        </w:rPr>
      </w:pPr>
    </w:p>
    <w:p w14:paraId="31E42B06">
      <w:pPr>
        <w:spacing w:after="0" w:line="240" w:lineRule="auto"/>
        <w:jc w:val="both"/>
        <w:textAlignment w:val="baseline"/>
        <w:outlineLvl w:val="0"/>
        <w:rPr>
          <w:rFonts w:eastAsiaTheme="minorEastAsia"/>
        </w:rPr>
      </w:pPr>
      <w:r>
        <w:rPr>
          <w:rFonts w:eastAsiaTheme="minorEastAsia"/>
        </w:rPr>
        <w:t xml:space="preserve">D'autres données sont collectées de manière automatisée par des « cookies » et d'autres systèmes/applications qui collectent des informations. </w:t>
      </w:r>
    </w:p>
    <w:p w14:paraId="42657E3B">
      <w:pPr>
        <w:spacing w:after="0" w:line="240" w:lineRule="auto"/>
        <w:jc w:val="both"/>
        <w:rPr>
          <w:rFonts w:eastAsiaTheme="minorEastAsia"/>
        </w:rPr>
      </w:pPr>
    </w:p>
    <w:p w14:paraId="3DEEC669">
      <w:pPr>
        <w:spacing w:after="0" w:line="240" w:lineRule="auto"/>
        <w:jc w:val="both"/>
        <w:rPr>
          <w:rFonts w:eastAsiaTheme="minorEastAsia"/>
        </w:rPr>
      </w:pPr>
      <w:r>
        <w:rPr>
          <w:rFonts w:eastAsiaTheme="minorEastAsia"/>
        </w:rPr>
        <w:t xml:space="preserve">Les données à caractère personnel sont protégées de manière appropriée par des mesures techniques et organisationnelles adéquates que nous préférons ne pas divulguer. Si vous avez d'autres questions à ce sujet, vous pouvez vous adresser à notre délégué à la protection des données (DPO) ou à votre personne de contact au sein de Pauwels Solutions Group ; </w:t>
      </w:r>
    </w:p>
    <w:p w14:paraId="17EE738B">
      <w:r>
        <w:br w:type="page"/>
      </w:r>
    </w:p>
    <w:p w14:paraId="3656B9AB">
      <w:pPr>
        <w:spacing w:after="0" w:line="240" w:lineRule="auto"/>
        <w:jc w:val="both"/>
        <w:textAlignment w:val="baseline"/>
        <w:outlineLvl w:val="0"/>
        <w:rPr>
          <w:rFonts w:eastAsiaTheme="minorEastAsia"/>
        </w:rPr>
      </w:pPr>
    </w:p>
    <w:p w14:paraId="328A083A">
      <w:pPr>
        <w:spacing w:after="0" w:line="240" w:lineRule="auto"/>
        <w:jc w:val="both"/>
        <w:textAlignment w:val="baseline"/>
        <w:outlineLvl w:val="0"/>
        <w:rPr>
          <w:rFonts w:eastAsiaTheme="minorEastAsia"/>
          <w:u w:val="single"/>
        </w:rPr>
      </w:pPr>
      <w:r>
        <w:rPr>
          <w:rFonts w:eastAsiaTheme="minorEastAsia"/>
          <w:u w:val="single"/>
        </w:rPr>
        <w:t>Pauwels Solutions Group en tant que sous-traitant</w:t>
      </w:r>
    </w:p>
    <w:p w14:paraId="45FB0818">
      <w:pPr>
        <w:spacing w:after="0" w:line="240" w:lineRule="auto"/>
        <w:jc w:val="both"/>
        <w:textAlignment w:val="baseline"/>
        <w:outlineLvl w:val="0"/>
        <w:rPr>
          <w:rFonts w:eastAsiaTheme="minorEastAsia"/>
        </w:rPr>
      </w:pPr>
    </w:p>
    <w:p w14:paraId="6483AE32">
      <w:pPr>
        <w:spacing w:after="0" w:line="240" w:lineRule="auto"/>
        <w:jc w:val="both"/>
        <w:textAlignment w:val="baseline"/>
        <w:outlineLvl w:val="0"/>
        <w:rPr>
          <w:rFonts w:eastAsiaTheme="minorEastAsia"/>
        </w:rPr>
      </w:pPr>
      <w:r>
        <w:rPr>
          <w:rFonts w:eastAsiaTheme="minorEastAsia"/>
        </w:rPr>
        <w:t xml:space="preserve">Dans le cadre des services fournis par Pauwels Solutions Group à la demande du client, Pauwels Solutions Group a parfois accès aux données à caractère personnel du client. Dans de telles situations, le client assumera le rôle de « responsable du traitement » et Pauwels Solutions Group celui de « sous-traitant », comme décrit dans le RGPD.  Dans ces cas, vous serez redirigé vers le responsable du traitement de vos données à caractère personnel. </w:t>
      </w:r>
    </w:p>
    <w:p w14:paraId="053E1676">
      <w:pPr>
        <w:spacing w:after="0" w:line="240" w:lineRule="auto"/>
        <w:jc w:val="both"/>
        <w:textAlignment w:val="baseline"/>
        <w:outlineLvl w:val="0"/>
        <w:rPr>
          <w:rFonts w:eastAsiaTheme="minorEastAsia"/>
        </w:rPr>
      </w:pPr>
    </w:p>
    <w:p w14:paraId="3C085E4F">
      <w:pPr>
        <w:spacing w:after="0" w:line="240" w:lineRule="auto"/>
        <w:jc w:val="both"/>
        <w:outlineLvl w:val="0"/>
        <w:rPr>
          <w:rFonts w:eastAsiaTheme="minorEastAsia"/>
        </w:rPr>
      </w:pPr>
    </w:p>
    <w:p w14:paraId="147A7153">
      <w:pPr>
        <w:pStyle w:val="20"/>
        <w:numPr>
          <w:ilvl w:val="0"/>
          <w:numId w:val="2"/>
        </w:numPr>
        <w:spacing w:after="0" w:line="240" w:lineRule="auto"/>
        <w:jc w:val="both"/>
        <w:outlineLvl w:val="0"/>
        <w:rPr>
          <w:rFonts w:eastAsiaTheme="minorEastAsia"/>
        </w:rPr>
      </w:pPr>
      <w:r>
        <w:rPr>
          <w:rFonts w:eastAsiaTheme="minorEastAsia"/>
          <w:b/>
          <w:bCs/>
          <w:sz w:val="22"/>
          <w:szCs w:val="22"/>
        </w:rPr>
        <w:t>Avec qui partageons-nous vos données à caractère personnel ?</w:t>
      </w:r>
    </w:p>
    <w:p w14:paraId="7B30E7E6">
      <w:pPr>
        <w:spacing w:after="0" w:line="240" w:lineRule="auto"/>
        <w:jc w:val="both"/>
        <w:outlineLvl w:val="0"/>
        <w:rPr>
          <w:rFonts w:eastAsiaTheme="minorEastAsia"/>
          <w:b/>
          <w:bCs/>
        </w:rPr>
      </w:pPr>
    </w:p>
    <w:p w14:paraId="0910D452">
      <w:pPr>
        <w:spacing w:after="0" w:line="240" w:lineRule="auto"/>
        <w:jc w:val="both"/>
        <w:rPr>
          <w:rFonts w:eastAsiaTheme="minorEastAsia"/>
          <w:color w:val="282830"/>
        </w:rPr>
      </w:pPr>
      <w:r>
        <w:rPr>
          <w:rFonts w:eastAsiaTheme="minorEastAsia"/>
          <w:color w:val="282830"/>
        </w:rPr>
        <w:t xml:space="preserve">Pauwels Solutions Group choisit des partenaires qui peuvent garantir un niveau similaire de protection de vos données à caractère personnel. Les données à caractère personnel ne seront pas transférées en dehors de l'Espace économique européen (EEE), sauf si des garanties suffisantes sont fournies conformément au règlement général sur la protection des données ou au cadre de protection des données UE-États-Unis.  </w:t>
      </w:r>
    </w:p>
    <w:p w14:paraId="24707731">
      <w:pPr>
        <w:spacing w:after="0" w:line="240" w:lineRule="auto"/>
        <w:jc w:val="both"/>
        <w:rPr>
          <w:rFonts w:eastAsiaTheme="minorEastAsia"/>
          <w:color w:val="282830"/>
        </w:rPr>
      </w:pPr>
    </w:p>
    <w:p w14:paraId="2DFBB887">
      <w:pPr>
        <w:spacing w:after="0" w:line="240" w:lineRule="auto"/>
        <w:jc w:val="both"/>
        <w:rPr>
          <w:rFonts w:eastAsiaTheme="minorEastAsia"/>
          <w:color w:val="282830"/>
        </w:rPr>
      </w:pPr>
      <w:r>
        <w:rPr>
          <w:rFonts w:eastAsiaTheme="minorEastAsia"/>
          <w:color w:val="282830"/>
        </w:rPr>
        <w:t xml:space="preserve">Il peut arriver que vos données à caractère personnel soient partagées avec des partenaires commerciaux externes lorsque cela est nécessaire pour le traitement. Il peut s'agir, par exemple, de fournisseurs dans le domaine de l'infrastructure informatique, des obligations administratives ou comptables, mais aussi  de sous-traitants ou de sous-traitants secondaires.  </w:t>
      </w:r>
    </w:p>
    <w:p w14:paraId="41EE82D1">
      <w:pPr>
        <w:spacing w:after="0" w:line="240" w:lineRule="auto"/>
        <w:jc w:val="both"/>
      </w:pPr>
    </w:p>
    <w:p w14:paraId="2C001CF8">
      <w:pPr>
        <w:spacing w:after="0" w:line="240" w:lineRule="auto"/>
        <w:jc w:val="both"/>
        <w:rPr>
          <w:rFonts w:eastAsiaTheme="minorEastAsia"/>
          <w:color w:val="282830"/>
        </w:rPr>
      </w:pPr>
      <w:r>
        <w:rPr>
          <w:rFonts w:eastAsiaTheme="minorEastAsia"/>
          <w:color w:val="282830"/>
        </w:rPr>
        <w:t xml:space="preserve">En ce qui concerne nos clients, Pauwels Solutions Group agit dans la plupart des cas en tant que sous-traitant. À ce titre, il peut arriver que des données professionnelles, susceptibles de contenir des données à caractère personnel, soient partagées. Vous en serez informé lors de votre entrée en service ou lors du lancement d'un nouveau projet. Dans tous les cas, vous pouvez toujours obtenir plus d'informations auprès de notre DPD. </w:t>
      </w:r>
    </w:p>
    <w:p w14:paraId="3071373E">
      <w:pPr>
        <w:spacing w:after="0" w:line="240" w:lineRule="auto"/>
        <w:jc w:val="both"/>
        <w:rPr>
          <w:rFonts w:eastAsiaTheme="minorEastAsia"/>
          <w:color w:val="282830"/>
          <w:sz w:val="24"/>
          <w:szCs w:val="24"/>
        </w:rPr>
      </w:pPr>
    </w:p>
    <w:p w14:paraId="4D0DFA41">
      <w:pPr>
        <w:spacing w:after="0" w:line="240" w:lineRule="auto"/>
        <w:jc w:val="both"/>
        <w:outlineLvl w:val="0"/>
        <w:rPr>
          <w:rFonts w:eastAsiaTheme="minorEastAsia"/>
          <w:b/>
          <w:bCs/>
        </w:rPr>
      </w:pPr>
    </w:p>
    <w:p w14:paraId="1DE17A4E">
      <w:pPr>
        <w:pStyle w:val="20"/>
        <w:numPr>
          <w:ilvl w:val="0"/>
          <w:numId w:val="2"/>
        </w:numPr>
        <w:spacing w:after="0" w:line="240" w:lineRule="auto"/>
        <w:jc w:val="both"/>
        <w:outlineLvl w:val="0"/>
        <w:rPr>
          <w:rFonts w:eastAsiaTheme="minorEastAsia"/>
          <w:b/>
          <w:bCs/>
        </w:rPr>
      </w:pPr>
      <w:r>
        <w:rPr>
          <w:rFonts w:eastAsiaTheme="minorEastAsia"/>
          <w:b/>
          <w:bCs/>
          <w:sz w:val="22"/>
          <w:szCs w:val="22"/>
        </w:rPr>
        <w:t>Combien de temps conservons-nous les données à caractère personnel ?</w:t>
      </w:r>
    </w:p>
    <w:p w14:paraId="2054DEDD">
      <w:pPr>
        <w:spacing w:after="0" w:line="240" w:lineRule="auto"/>
        <w:jc w:val="both"/>
        <w:outlineLvl w:val="0"/>
        <w:rPr>
          <w:rFonts w:eastAsiaTheme="minorEastAsia"/>
          <w:b/>
          <w:bCs/>
        </w:rPr>
      </w:pPr>
    </w:p>
    <w:p w14:paraId="57C700A9">
      <w:pPr>
        <w:spacing w:after="0" w:line="240" w:lineRule="auto"/>
        <w:jc w:val="both"/>
        <w:rPr>
          <w:rFonts w:eastAsiaTheme="minorEastAsia"/>
        </w:rPr>
      </w:pPr>
      <w:r>
        <w:t xml:space="preserve">Pauwels Solutions Group vise la qualité et l'excellence et connaît une croissance année après année. À cet égard, il peut arriver que des données à caractère personnel soient partagées au sein de notre groupe et dans le cadre des finalités du traitement (Phoenix Holding BV et entités associées).  Nous mettons régulièrement à jour notre base de données et, si vous y figurez, nous vous demandons si vous le souhaitez toujours. </w:t>
      </w:r>
    </w:p>
    <w:p w14:paraId="20E61E24">
      <w:pPr>
        <w:spacing w:after="0" w:line="240" w:lineRule="auto"/>
        <w:jc w:val="both"/>
        <w:outlineLvl w:val="0"/>
        <w:rPr>
          <w:rFonts w:eastAsiaTheme="minorEastAsia"/>
        </w:rPr>
      </w:pPr>
    </w:p>
    <w:p w14:paraId="42B3F8A8">
      <w:pPr>
        <w:spacing w:after="0" w:line="240" w:lineRule="auto"/>
        <w:jc w:val="both"/>
        <w:outlineLvl w:val="0"/>
        <w:rPr>
          <w:rFonts w:eastAsiaTheme="minorEastAsia"/>
        </w:rPr>
      </w:pPr>
      <w:r>
        <w:rPr>
          <w:rFonts w:eastAsiaTheme="minorEastAsia"/>
        </w:rPr>
        <w:t xml:space="preserve">En ce qui concerne les candidats, les délais suivants ont été convenus : </w:t>
      </w:r>
    </w:p>
    <w:p w14:paraId="7BEE195D">
      <w:pPr>
        <w:spacing w:after="0" w:line="240" w:lineRule="auto"/>
        <w:jc w:val="both"/>
        <w:outlineLvl w:val="0"/>
        <w:rPr>
          <w:rFonts w:eastAsiaTheme="minorEastAsia"/>
        </w:rPr>
      </w:pPr>
    </w:p>
    <w:p w14:paraId="0E138740">
      <w:pPr>
        <w:pStyle w:val="20"/>
        <w:numPr>
          <w:ilvl w:val="0"/>
          <w:numId w:val="4"/>
        </w:numPr>
        <w:spacing w:after="0" w:line="240" w:lineRule="auto"/>
        <w:jc w:val="both"/>
        <w:outlineLvl w:val="0"/>
        <w:rPr>
          <w:rFonts w:eastAsiaTheme="minorEastAsia"/>
          <w:color w:val="000000" w:themeColor="text1"/>
          <w:sz w:val="22"/>
          <w:szCs w:val="22"/>
          <w14:textFill>
            <w14:solidFill>
              <w14:schemeClr w14:val="tx1"/>
            </w14:solidFill>
          </w14:textFill>
        </w:rPr>
      </w:pPr>
      <w:r>
        <w:rPr>
          <w:rFonts w:eastAsiaTheme="minorEastAsia"/>
          <w:color w:val="000000" w:themeColor="text1"/>
          <w:sz w:val="22"/>
          <w:szCs w:val="22"/>
          <w14:textFill>
            <w14:solidFill>
              <w14:schemeClr w14:val="tx1"/>
            </w14:solidFill>
          </w14:textFill>
        </w:rPr>
        <w:t>Candidats non retenus : 2 ans sans consentement, 5 ans avec consentement</w:t>
      </w:r>
    </w:p>
    <w:p w14:paraId="6684CB2E">
      <w:pPr>
        <w:spacing w:after="0" w:line="240" w:lineRule="auto"/>
        <w:jc w:val="both"/>
        <w:outlineLvl w:val="0"/>
        <w:rPr>
          <w:rFonts w:eastAsiaTheme="minorEastAsia"/>
          <w:color w:val="404040" w:themeColor="text1" w:themeTint="BF"/>
          <w14:textFill>
            <w14:solidFill>
              <w14:schemeClr w14:val="tx1">
                <w14:lumMod w14:val="75000"/>
                <w14:lumOff w14:val="25000"/>
              </w14:schemeClr>
            </w14:solidFill>
          </w14:textFill>
        </w:rPr>
      </w:pPr>
    </w:p>
    <w:p w14:paraId="21E0EF62">
      <w:pPr>
        <w:spacing w:after="0" w:line="240" w:lineRule="auto"/>
        <w:jc w:val="both"/>
        <w:outlineLvl w:val="0"/>
        <w:rPr>
          <w:rFonts w:eastAsiaTheme="minorEastAsia"/>
          <w:color w:val="404040" w:themeColor="text1" w:themeTint="BF"/>
          <w14:textFill>
            <w14:solidFill>
              <w14:schemeClr w14:val="tx1">
                <w14:lumMod w14:val="75000"/>
                <w14:lumOff w14:val="25000"/>
              </w14:schemeClr>
            </w14:solidFill>
          </w14:textFill>
        </w:rPr>
      </w:pPr>
      <w:r>
        <w:rPr>
          <w:rFonts w:eastAsiaTheme="minorEastAsia"/>
          <w:color w:val="404040" w:themeColor="text1" w:themeTint="BF"/>
          <w14:textFill>
            <w14:solidFill>
              <w14:schemeClr w14:val="tx1">
                <w14:lumMod w14:val="75000"/>
                <w14:lumOff w14:val="25000"/>
              </w14:schemeClr>
            </w14:solidFill>
          </w14:textFill>
        </w:rPr>
        <w:t xml:space="preserve">En ce qui concerne les personnes qui avaient une relation contractuelle avec Pauwels Solutions Group : </w:t>
      </w:r>
    </w:p>
    <w:p w14:paraId="36ED4662">
      <w:pPr>
        <w:spacing w:after="0" w:line="240" w:lineRule="auto"/>
        <w:jc w:val="both"/>
        <w:outlineLvl w:val="0"/>
        <w:rPr>
          <w:rFonts w:eastAsiaTheme="minorEastAsia"/>
          <w:color w:val="404040" w:themeColor="text1" w:themeTint="BF"/>
          <w14:textFill>
            <w14:solidFill>
              <w14:schemeClr w14:val="tx1">
                <w14:lumMod w14:val="75000"/>
                <w14:lumOff w14:val="25000"/>
              </w14:schemeClr>
            </w14:solidFill>
          </w14:textFill>
        </w:rPr>
      </w:pPr>
    </w:p>
    <w:p w14:paraId="7D2B845A">
      <w:pPr>
        <w:pStyle w:val="20"/>
        <w:numPr>
          <w:ilvl w:val="0"/>
          <w:numId w:val="4"/>
        </w:numPr>
        <w:spacing w:after="0" w:line="240" w:lineRule="auto"/>
        <w:jc w:val="both"/>
        <w:outlineLvl w:val="0"/>
        <w:rPr>
          <w:color w:val="2D0C1B"/>
          <w:sz w:val="22"/>
          <w:szCs w:val="22"/>
        </w:rPr>
      </w:pPr>
      <w:r>
        <w:rPr>
          <w:color w:val="2D0C1B"/>
          <w:sz w:val="22"/>
          <w:szCs w:val="22"/>
        </w:rPr>
        <w:t xml:space="preserve">Les données à caractère personnel sont conservées jusqu'à 10 ans après la fin du dernier contrat avec la personne, en raison d'éventuelles créances commerciales et d'accidents du travail. Toutefois, il est possible de déroger à ce délai dans des cas exceptionnels, tels qu'un litige de longue durée. </w:t>
      </w:r>
    </w:p>
    <w:p w14:paraId="099FE171">
      <w:pPr>
        <w:spacing w:after="0" w:line="240" w:lineRule="auto"/>
        <w:jc w:val="both"/>
        <w:outlineLvl w:val="0"/>
        <w:rPr>
          <w:rFonts w:eastAsiaTheme="minorEastAsia"/>
        </w:rPr>
      </w:pPr>
    </w:p>
    <w:p w14:paraId="717D51EF">
      <w:pPr>
        <w:spacing w:after="0" w:line="240" w:lineRule="auto"/>
        <w:jc w:val="both"/>
        <w:outlineLvl w:val="0"/>
      </w:pPr>
      <w:r>
        <w:rPr>
          <w:rFonts w:eastAsiaTheme="minorEastAsia"/>
        </w:rPr>
        <w:t xml:space="preserve">Les données d'identification électroniques, telles que l'adresse IP, sont automatiquement supprimées conformément à la durée de conservation des données indiquée dans la politique en matière de cookies. Vous pouvez consulter la durée de conservation sur le site web dans la fenêtre contextuelle des cookies. Vous y trouverez des informations détaillées sur l'utilisation des cookies sur le site web. </w:t>
      </w:r>
      <w:r>
        <w:br w:type="page"/>
      </w:r>
    </w:p>
    <w:p w14:paraId="53128261">
      <w:pPr>
        <w:spacing w:after="0" w:line="240" w:lineRule="auto"/>
        <w:jc w:val="both"/>
        <w:textAlignment w:val="baseline"/>
        <w:outlineLvl w:val="0"/>
        <w:rPr>
          <w:rFonts w:eastAsiaTheme="minorEastAsia"/>
        </w:rPr>
      </w:pPr>
    </w:p>
    <w:p w14:paraId="20A50C2E">
      <w:pPr>
        <w:pStyle w:val="20"/>
        <w:numPr>
          <w:ilvl w:val="0"/>
          <w:numId w:val="2"/>
        </w:numPr>
        <w:spacing w:after="0" w:line="240" w:lineRule="auto"/>
        <w:jc w:val="both"/>
        <w:textAlignment w:val="baseline"/>
        <w:outlineLvl w:val="0"/>
        <w:rPr>
          <w:rFonts w:eastAsiaTheme="minorEastAsia"/>
          <w:b/>
          <w:bCs/>
        </w:rPr>
      </w:pPr>
      <w:r>
        <w:rPr>
          <w:rFonts w:eastAsiaTheme="minorEastAsia"/>
          <w:b/>
          <w:bCs/>
          <w:sz w:val="22"/>
          <w:szCs w:val="22"/>
        </w:rPr>
        <w:t>Droits de la personne concernée</w:t>
      </w:r>
    </w:p>
    <w:p w14:paraId="4101652C">
      <w:pPr>
        <w:spacing w:after="0" w:line="240" w:lineRule="auto"/>
        <w:jc w:val="both"/>
        <w:textAlignment w:val="baseline"/>
        <w:outlineLvl w:val="0"/>
        <w:rPr>
          <w:rFonts w:eastAsiaTheme="minorEastAsia"/>
          <w:color w:val="000000" w:themeColor="text1"/>
          <w:shd w:val="clear" w:color="auto" w:fill="FFFFFF"/>
          <w14:textFill>
            <w14:solidFill>
              <w14:schemeClr w14:val="tx1"/>
            </w14:solidFill>
          </w14:textFill>
        </w:rPr>
      </w:pPr>
    </w:p>
    <w:p w14:paraId="2F0E5739">
      <w:pPr>
        <w:spacing w:after="0"/>
        <w:jc w:val="both"/>
        <w:rPr>
          <w:rFonts w:eastAsiaTheme="minorEastAsia"/>
          <w:lang w:val="nl"/>
        </w:rPr>
      </w:pPr>
      <w:r>
        <w:rPr>
          <w:rFonts w:eastAsiaTheme="minorEastAsia"/>
          <w:lang w:val="nl"/>
        </w:rPr>
        <w:t>Vous disposez de divers droits concernant les données que nous traitons à votre sujet. Si vous souhaitez exercer l'un des droits suivants, veuillez nous contacter ou contacter notre DPD externe aux coordonnées indiquées dans le premier titre de la présente déclaration de confidentialité.</w:t>
      </w:r>
    </w:p>
    <w:p w14:paraId="775DCD3E">
      <w:pPr>
        <w:spacing w:before="1"/>
        <w:jc w:val="both"/>
        <w:rPr>
          <w:rFonts w:eastAsiaTheme="minorEastAsia"/>
          <w:lang w:val="nl"/>
        </w:rPr>
      </w:pPr>
    </w:p>
    <w:p w14:paraId="2BB7977E">
      <w:pPr>
        <w:ind w:left="708"/>
        <w:jc w:val="both"/>
        <w:rPr>
          <w:rFonts w:eastAsiaTheme="minorEastAsia"/>
          <w:b/>
          <w:bCs/>
          <w:lang w:val="nl"/>
        </w:rPr>
      </w:pPr>
      <w:r>
        <w:rPr>
          <w:rFonts w:eastAsiaTheme="minorEastAsia"/>
          <w:b/>
          <w:bCs/>
          <w:lang w:val="nl"/>
        </w:rPr>
        <w:t>Droit d'accès et de copie</w:t>
      </w:r>
    </w:p>
    <w:p w14:paraId="44D3E334">
      <w:pPr>
        <w:ind w:left="708"/>
        <w:jc w:val="both"/>
        <w:rPr>
          <w:rFonts w:eastAsiaTheme="minorEastAsia"/>
          <w:lang w:val="nl"/>
        </w:rPr>
      </w:pPr>
      <w:r>
        <w:rPr>
          <w:rFonts w:eastAsiaTheme="minorEastAsia"/>
          <w:lang w:val="nl"/>
        </w:rPr>
        <w:t>Vous avez le droit de consulter vos données et d'en obtenir une copie. Ce droit comprend également la possibilité de demander des informations complémentaires sur le traitement de vos données,</w:t>
      </w:r>
    </w:p>
    <w:p w14:paraId="42B6970D">
      <w:pPr>
        <w:spacing w:before="34" w:after="0"/>
        <w:ind w:left="708"/>
        <w:jc w:val="both"/>
        <w:rPr>
          <w:rFonts w:eastAsiaTheme="minorEastAsia"/>
          <w:lang w:val="nl"/>
        </w:rPr>
      </w:pPr>
      <w:r>
        <w:rPr>
          <w:rFonts w:eastAsiaTheme="minorEastAsia"/>
          <w:lang w:val="nl"/>
        </w:rPr>
        <w:t>notamment en ce qui concerne les catégories de données qui sont traitées et les finalités de ce traitement.</w:t>
      </w:r>
    </w:p>
    <w:p w14:paraId="7552492D">
      <w:pPr>
        <w:spacing w:before="1"/>
        <w:jc w:val="both"/>
        <w:rPr>
          <w:rFonts w:eastAsiaTheme="minorEastAsia"/>
          <w:lang w:val="nl"/>
        </w:rPr>
      </w:pPr>
    </w:p>
    <w:p w14:paraId="6FF064DE">
      <w:pPr>
        <w:ind w:left="708"/>
        <w:jc w:val="both"/>
        <w:rPr>
          <w:rFonts w:eastAsiaTheme="minorEastAsia"/>
          <w:b/>
          <w:bCs/>
          <w:lang w:val="nl"/>
        </w:rPr>
      </w:pPr>
      <w:r>
        <w:rPr>
          <w:rFonts w:eastAsiaTheme="minorEastAsia"/>
          <w:b/>
          <w:bCs/>
          <w:lang w:val="nl"/>
        </w:rPr>
        <w:t>Droit de modification ou de rectification</w:t>
      </w:r>
    </w:p>
    <w:p w14:paraId="1C51833D">
      <w:pPr>
        <w:spacing w:before="1" w:after="0"/>
        <w:ind w:left="708"/>
        <w:jc w:val="both"/>
        <w:rPr>
          <w:rFonts w:eastAsiaTheme="minorEastAsia"/>
          <w:lang w:val="nl"/>
        </w:rPr>
      </w:pPr>
      <w:r>
        <w:rPr>
          <w:rFonts w:eastAsiaTheme="minorEastAsia"/>
          <w:lang w:val="nl"/>
        </w:rPr>
        <w:t>Vous avez le droit de faire modifier vos données si vous estimez que nous disposons d'informations erronées.</w:t>
      </w:r>
    </w:p>
    <w:p w14:paraId="7171E312">
      <w:pPr>
        <w:ind w:left="708"/>
        <w:jc w:val="both"/>
        <w:rPr>
          <w:rFonts w:eastAsiaTheme="minorEastAsia"/>
          <w:b/>
          <w:bCs/>
          <w:lang w:val="nl"/>
        </w:rPr>
      </w:pPr>
    </w:p>
    <w:p w14:paraId="1D3421AC">
      <w:pPr>
        <w:ind w:left="708"/>
        <w:jc w:val="both"/>
        <w:rPr>
          <w:rFonts w:eastAsiaTheme="minorEastAsia"/>
          <w:b/>
          <w:bCs/>
          <w:lang w:val="nl"/>
        </w:rPr>
      </w:pPr>
      <w:r>
        <w:rPr>
          <w:rFonts w:eastAsiaTheme="minorEastAsia"/>
          <w:b/>
          <w:bCs/>
          <w:lang w:val="nl"/>
        </w:rPr>
        <w:t>Droit à l'effacement des données (droit à l'oubli)</w:t>
      </w:r>
    </w:p>
    <w:p w14:paraId="1D3485CA">
      <w:pPr>
        <w:spacing w:before="20" w:after="0"/>
        <w:ind w:left="708"/>
        <w:jc w:val="both"/>
        <w:rPr>
          <w:rFonts w:eastAsiaTheme="minorEastAsia"/>
          <w:lang w:val="nl"/>
        </w:rPr>
      </w:pPr>
      <w:r>
        <w:rPr>
          <w:rFonts w:eastAsiaTheme="minorEastAsia"/>
          <w:lang w:val="nl"/>
        </w:rPr>
        <w:t>Vous avez le droit de demander que nous effacions vos données sans délai injustifié. Cependant, nous ne serons pas toujours en mesure d'accéder à une telle demande, notamment lorsque nous avons encore besoin des données dans le cadre d'une adhésion ou d'un dossier en cours, ou lorsque la conservation de certaines de vos données pendant une durée spécifique est requise par la loi.</w:t>
      </w:r>
    </w:p>
    <w:p w14:paraId="01BEA842">
      <w:pPr>
        <w:spacing w:before="2"/>
        <w:ind w:left="708"/>
        <w:jc w:val="both"/>
        <w:rPr>
          <w:rFonts w:eastAsiaTheme="minorEastAsia"/>
          <w:b/>
          <w:bCs/>
          <w:lang w:val="nl"/>
        </w:rPr>
      </w:pPr>
    </w:p>
    <w:p w14:paraId="42333B52">
      <w:pPr>
        <w:spacing w:before="2"/>
        <w:ind w:left="708"/>
        <w:jc w:val="both"/>
        <w:rPr>
          <w:rFonts w:eastAsiaTheme="minorEastAsia"/>
          <w:b/>
          <w:bCs/>
          <w:lang w:val="nl"/>
        </w:rPr>
      </w:pPr>
      <w:r>
        <w:rPr>
          <w:rFonts w:eastAsiaTheme="minorEastAsia"/>
          <w:b/>
          <w:bCs/>
          <w:lang w:val="nl"/>
        </w:rPr>
        <w:t>Droit à la limitation du traitement</w:t>
      </w:r>
    </w:p>
    <w:p w14:paraId="31EC5316">
      <w:pPr>
        <w:spacing w:before="19" w:after="0"/>
        <w:ind w:left="708"/>
        <w:jc w:val="both"/>
        <w:rPr>
          <w:rFonts w:eastAsiaTheme="minorEastAsia"/>
          <w:lang w:val="nl"/>
        </w:rPr>
      </w:pPr>
      <w:r>
        <w:rPr>
          <w:rFonts w:eastAsiaTheme="minorEastAsia"/>
          <w:lang w:val="nl"/>
        </w:rPr>
        <w:t>Vous avez le droit de limiter le traitement de vos données. De cette manière, le traitement est temporairement suspendu jusqu'à ce que, par exemple, son exactitude soit confirmée.</w:t>
      </w:r>
    </w:p>
    <w:p w14:paraId="559D512C">
      <w:pPr>
        <w:ind w:left="708"/>
        <w:jc w:val="both"/>
        <w:rPr>
          <w:rFonts w:eastAsiaTheme="minorEastAsia"/>
          <w:lang w:val="nl"/>
        </w:rPr>
      </w:pPr>
    </w:p>
    <w:p w14:paraId="61D1A2A1">
      <w:pPr>
        <w:spacing w:before="1" w:after="0"/>
        <w:ind w:left="708"/>
        <w:jc w:val="both"/>
        <w:rPr>
          <w:rFonts w:eastAsiaTheme="minorEastAsia"/>
          <w:b/>
          <w:bCs/>
          <w:lang w:val="nl"/>
        </w:rPr>
      </w:pPr>
      <w:r>
        <w:rPr>
          <w:rFonts w:eastAsiaTheme="minorEastAsia"/>
          <w:b/>
          <w:bCs/>
          <w:lang w:val="nl"/>
        </w:rPr>
        <w:t>Droit de retirer votre consentement</w:t>
      </w:r>
    </w:p>
    <w:p w14:paraId="38DF8F73">
      <w:pPr>
        <w:spacing w:before="21" w:after="0"/>
        <w:ind w:left="708"/>
        <w:jc w:val="both"/>
        <w:rPr>
          <w:rFonts w:eastAsiaTheme="minorEastAsia"/>
          <w:lang w:val="nl"/>
        </w:rPr>
      </w:pPr>
      <w:r>
        <w:rPr>
          <w:rFonts w:eastAsiaTheme="minorEastAsia"/>
          <w:lang w:val="nl"/>
        </w:rPr>
        <w:t>Lorsque le traitement est basé sur votre consentement, vous avez le droit de retirer ce consentement à tout moment en nous contactant.</w:t>
      </w:r>
    </w:p>
    <w:p w14:paraId="26F2DE4D">
      <w:pPr>
        <w:spacing w:before="1"/>
        <w:ind w:left="708"/>
        <w:jc w:val="both"/>
        <w:rPr>
          <w:rFonts w:eastAsiaTheme="minorEastAsia"/>
          <w:lang w:val="nl"/>
        </w:rPr>
      </w:pPr>
    </w:p>
    <w:p w14:paraId="30362709">
      <w:pPr>
        <w:ind w:left="708"/>
        <w:jc w:val="both"/>
        <w:rPr>
          <w:rFonts w:eastAsiaTheme="minorEastAsia"/>
          <w:b/>
          <w:bCs/>
          <w:lang w:val="nl"/>
        </w:rPr>
      </w:pPr>
      <w:r>
        <w:rPr>
          <w:rFonts w:eastAsiaTheme="minorEastAsia"/>
          <w:b/>
          <w:bCs/>
          <w:lang w:val="nl"/>
        </w:rPr>
        <w:t>Droit d'opposition</w:t>
      </w:r>
    </w:p>
    <w:p w14:paraId="026D0296">
      <w:pPr>
        <w:spacing w:before="20" w:after="0"/>
        <w:ind w:left="708"/>
        <w:jc w:val="both"/>
        <w:rPr>
          <w:rFonts w:eastAsiaTheme="minorEastAsia"/>
          <w:lang w:val="nl"/>
        </w:rPr>
      </w:pPr>
      <w:r>
        <w:rPr>
          <w:rFonts w:eastAsiaTheme="minorEastAsia"/>
          <w:lang w:val="nl"/>
        </w:rPr>
        <w:t>Vous avez le droit de vous opposer au traitement de vos données fondé sur nos intérêts légitimes ou l'intérêt général. Cela doit se faire pour des raisons spécifiques liées à votre situation. Dans ce cas, nous devons cesser le traitement, sauf si nous invoquons des motifs légitimes et impérieux pour poursuivre le traitement.</w:t>
      </w:r>
    </w:p>
    <w:p w14:paraId="203D1BC6">
      <w:pPr>
        <w:spacing w:before="2"/>
        <w:ind w:left="708"/>
        <w:jc w:val="both"/>
        <w:rPr>
          <w:rFonts w:eastAsiaTheme="minorEastAsia"/>
          <w:lang w:val="nl"/>
        </w:rPr>
      </w:pPr>
    </w:p>
    <w:p w14:paraId="22A7ACAF">
      <w:pPr>
        <w:spacing w:before="2"/>
        <w:ind w:left="708"/>
        <w:jc w:val="both"/>
        <w:rPr>
          <w:rFonts w:eastAsiaTheme="minorEastAsia"/>
          <w:lang w:val="nl"/>
        </w:rPr>
      </w:pPr>
      <w:r>
        <w:rPr>
          <w:rFonts w:eastAsiaTheme="minorEastAsia"/>
          <w:lang w:val="nl"/>
        </w:rPr>
        <w:t xml:space="preserve">Vous pouvez toutefois vous opposer à tout moment à l'utilisation de vos données à des fins de marketing direct, auquel cas nous sommes tenus de cesser le traitement à ces fins. Pour les messages promotionnels que vous recevez par e-mail de notre part, vous pouvez facilement exercer ce droit d'opposition en cliquant sur le bouton « se désabonner » prévu à cet effet. </w:t>
      </w:r>
    </w:p>
    <w:p w14:paraId="7B8C6FE4">
      <w:pPr>
        <w:spacing w:before="11"/>
        <w:ind w:left="708"/>
        <w:jc w:val="both"/>
        <w:rPr>
          <w:rFonts w:eastAsiaTheme="minorEastAsia"/>
          <w:lang w:val="nl"/>
        </w:rPr>
      </w:pPr>
    </w:p>
    <w:p w14:paraId="07499250">
      <w:pPr>
        <w:ind w:left="708"/>
        <w:jc w:val="both"/>
        <w:rPr>
          <w:rFonts w:eastAsiaTheme="minorEastAsia"/>
          <w:b/>
          <w:bCs/>
          <w:lang w:val="nl"/>
        </w:rPr>
      </w:pPr>
      <w:r>
        <w:rPr>
          <w:rFonts w:eastAsiaTheme="minorEastAsia"/>
          <w:b/>
          <w:bCs/>
          <w:lang w:val="nl"/>
        </w:rPr>
        <w:t>Droit à la portabilité</w:t>
      </w:r>
    </w:p>
    <w:p w14:paraId="7509FAE4">
      <w:pPr>
        <w:spacing w:before="22" w:after="0"/>
        <w:ind w:left="708"/>
        <w:jc w:val="both"/>
        <w:rPr>
          <w:rFonts w:eastAsiaTheme="minorEastAsia"/>
          <w:lang w:val="nl"/>
        </w:rPr>
      </w:pPr>
      <w:r>
        <w:rPr>
          <w:rFonts w:eastAsiaTheme="minorEastAsia"/>
          <w:lang w:val="nl"/>
        </w:rPr>
        <w:t xml:space="preserve">Vous avez le droit d'obtenir vos données que vous nous avez fournies avec votre consentement ou dans le cadre de l'exécution d'un contrat, sous forme électronique. Elles peuvent ainsi être facilement transférées à une autre organisation. </w:t>
      </w:r>
    </w:p>
    <w:p w14:paraId="0C86FA5E">
      <w:pPr>
        <w:spacing w:before="22" w:after="0"/>
        <w:ind w:left="708"/>
        <w:jc w:val="both"/>
        <w:rPr>
          <w:rFonts w:eastAsiaTheme="minorEastAsia"/>
          <w:lang w:val="nl"/>
        </w:rPr>
      </w:pPr>
    </w:p>
    <w:p w14:paraId="14D7D907">
      <w:pPr>
        <w:ind w:left="708"/>
        <w:jc w:val="both"/>
        <w:rPr>
          <w:rFonts w:eastAsiaTheme="minorEastAsia"/>
          <w:b/>
          <w:bCs/>
          <w:lang w:val="nl"/>
        </w:rPr>
      </w:pPr>
      <w:r>
        <w:rPr>
          <w:rFonts w:eastAsiaTheme="minorEastAsia"/>
          <w:b/>
          <w:bCs/>
          <w:lang w:val="nl"/>
        </w:rPr>
        <w:t>Droit de déposer une plainte auprès de votre autorité de contrôle</w:t>
      </w:r>
    </w:p>
    <w:p w14:paraId="4DAAF0F8">
      <w:pPr>
        <w:spacing w:before="22" w:after="0"/>
        <w:ind w:left="708"/>
        <w:jc w:val="both"/>
        <w:rPr>
          <w:rFonts w:eastAsiaTheme="minorEastAsia"/>
          <w:lang w:val="nl"/>
        </w:rPr>
      </w:pPr>
      <w:r>
        <w:rPr>
          <w:rFonts w:eastAsiaTheme="minorEastAsia"/>
          <w:lang w:val="nl"/>
        </w:rPr>
        <w:t>Si vous estimez que nous traitons vos données de manière incorrecte, vous avez toujours le droit de déposer une plainte auprès de votre autorité de contrôle en matière de protection des données. Vous pouvez le faire auprès de l'autorité de contrôle de l'État membre de l'EEE dans lequel vous résidez habituellement, dans lequel vous travaillez ou dans lequel la violation présumée a été commise. En tant qu'entreprise belge, nous vous renvoyons ci-dessous aux coordonnées de l'Autorité belge de protection des données.</w:t>
      </w:r>
    </w:p>
    <w:p w14:paraId="6BBE1ADD">
      <w:pPr>
        <w:spacing w:before="34" w:after="0"/>
        <w:ind w:left="708"/>
        <w:jc w:val="both"/>
        <w:rPr>
          <w:rFonts w:eastAsiaTheme="minorEastAsia"/>
          <w:lang w:val="nl"/>
        </w:rPr>
      </w:pPr>
      <w:r>
        <w:br w:type="textWrapping"/>
      </w:r>
      <w:r>
        <w:tab/>
      </w:r>
      <w:r>
        <w:rPr>
          <w:rFonts w:eastAsiaTheme="minorEastAsia"/>
          <w:u w:val="single"/>
          <w:lang w:val="nl"/>
        </w:rPr>
        <w:t xml:space="preserve">Autorité belge de protection des données (APD) </w:t>
      </w:r>
      <w:r>
        <w:rPr>
          <w:rFonts w:eastAsiaTheme="minorEastAsia"/>
          <w:lang w:val="nl"/>
        </w:rPr>
        <w:t>Rue de la Presse 35</w:t>
      </w:r>
    </w:p>
    <w:p w14:paraId="7067CF7D">
      <w:pPr>
        <w:spacing w:before="1" w:after="0"/>
        <w:ind w:left="1416"/>
        <w:jc w:val="both"/>
        <w:rPr>
          <w:rFonts w:eastAsiaTheme="minorEastAsia"/>
          <w:lang w:val="nl"/>
        </w:rPr>
      </w:pPr>
      <w:r>
        <w:rPr>
          <w:rFonts w:eastAsiaTheme="minorEastAsia"/>
          <w:lang w:val="nl"/>
        </w:rPr>
        <w:t>1000 Bruxelles</w:t>
      </w:r>
    </w:p>
    <w:p w14:paraId="1B6F89BA">
      <w:pPr>
        <w:ind w:left="1416"/>
        <w:jc w:val="both"/>
        <w:rPr>
          <w:rFonts w:eastAsiaTheme="minorEastAsia"/>
          <w:lang w:val="nl"/>
        </w:rPr>
      </w:pPr>
      <w:r>
        <w:rPr>
          <w:rFonts w:eastAsiaTheme="minorEastAsia"/>
          <w:lang w:val="nl"/>
        </w:rPr>
        <w:t>+32 (0)2 274 48 00</w:t>
      </w:r>
    </w:p>
    <w:p w14:paraId="5B1E9D18">
      <w:pPr>
        <w:spacing w:before="1" w:after="0"/>
        <w:ind w:left="1416"/>
        <w:jc w:val="both"/>
        <w:rPr>
          <w:rFonts w:eastAsiaTheme="minorEastAsia"/>
          <w:lang w:val="nl"/>
        </w:rPr>
      </w:pPr>
      <w:r>
        <w:fldChar w:fldCharType="begin"/>
      </w:r>
      <w:r>
        <w:instrText xml:space="preserve"> HYPERLINK "mailto:contact@apd-gba.be" </w:instrText>
      </w:r>
      <w:r>
        <w:fldChar w:fldCharType="separate"/>
      </w:r>
      <w:r>
        <w:rPr>
          <w:rStyle w:val="14"/>
          <w:rFonts w:eastAsiaTheme="minorEastAsia"/>
          <w:lang w:val="nl"/>
        </w:rPr>
        <w:t>contact@apd-gba.be</w:t>
      </w:r>
      <w:r>
        <w:rPr>
          <w:rStyle w:val="14"/>
          <w:rFonts w:eastAsiaTheme="minorEastAsia"/>
          <w:lang w:val="nl"/>
        </w:rPr>
        <w:fldChar w:fldCharType="end"/>
      </w:r>
    </w:p>
    <w:p w14:paraId="67038912">
      <w:pPr>
        <w:spacing w:before="1" w:after="0"/>
        <w:ind w:left="708"/>
        <w:jc w:val="both"/>
        <w:rPr>
          <w:rFonts w:eastAsiaTheme="minorEastAsia"/>
          <w:lang w:val="nl"/>
        </w:rPr>
      </w:pPr>
    </w:p>
    <w:p w14:paraId="16E8E893">
      <w:pPr>
        <w:spacing w:before="56" w:after="0"/>
        <w:ind w:left="708"/>
        <w:jc w:val="both"/>
        <w:rPr>
          <w:rFonts w:eastAsiaTheme="minorEastAsia"/>
        </w:rPr>
      </w:pPr>
      <w:r>
        <w:rPr>
          <w:rFonts w:eastAsiaTheme="minorEastAsia"/>
        </w:rPr>
        <w:t xml:space="preserve">Pour plus d'informations et pour obtenir les coordonnées de l'autorité de contrôle de chaque État membre de l'EEE, veuillez consulter </w:t>
      </w:r>
      <w:r>
        <w:fldChar w:fldCharType="begin"/>
      </w:r>
      <w:r>
        <w:instrText xml:space="preserve"> HYPERLINK "https://edpb.europa.eu/about-edpb/board/members_nl" \h </w:instrText>
      </w:r>
      <w:r>
        <w:fldChar w:fldCharType="separate"/>
      </w:r>
      <w:r>
        <w:rPr>
          <w:rStyle w:val="14"/>
          <w:rFonts w:eastAsiaTheme="minorEastAsia"/>
          <w:color w:val="0462C1"/>
        </w:rPr>
        <w:t>cette page web du Comité européen de la protection des données</w:t>
      </w:r>
      <w:r>
        <w:rPr>
          <w:rStyle w:val="14"/>
          <w:rFonts w:eastAsiaTheme="minorEastAsia"/>
          <w:color w:val="0462C1"/>
        </w:rPr>
        <w:fldChar w:fldCharType="end"/>
      </w:r>
      <w:r>
        <w:rPr>
          <w:rFonts w:eastAsiaTheme="minorEastAsia"/>
        </w:rPr>
        <w:t>, qui contient toutes les coordonnées utiles. .</w:t>
      </w:r>
    </w:p>
    <w:p w14:paraId="1A6D7538">
      <w:pPr>
        <w:spacing w:before="7" w:after="0" w:line="240" w:lineRule="auto"/>
        <w:ind w:left="708"/>
        <w:jc w:val="both"/>
        <w:textAlignment w:val="baseline"/>
        <w:rPr>
          <w:rFonts w:eastAsiaTheme="minorEastAsia"/>
          <w:b/>
          <w:bCs/>
          <w:color w:val="000000" w:themeColor="text1"/>
          <w14:textFill>
            <w14:solidFill>
              <w14:schemeClr w14:val="tx1"/>
            </w14:solidFill>
          </w14:textFill>
        </w:rPr>
      </w:pPr>
    </w:p>
    <w:p w14:paraId="08D4CEEA">
      <w:pPr>
        <w:spacing w:before="7" w:after="0" w:line="240" w:lineRule="auto"/>
        <w:jc w:val="both"/>
        <w:textAlignment w:val="baseline"/>
        <w:rPr>
          <w:rFonts w:eastAsiaTheme="minorEastAsia"/>
          <w:b/>
          <w:bCs/>
          <w:color w:val="000000" w:themeColor="text1"/>
          <w:shd w:val="clear" w:color="auto" w:fill="FFFFFF"/>
          <w14:textFill>
            <w14:solidFill>
              <w14:schemeClr w14:val="tx1"/>
            </w14:solidFill>
          </w14:textFill>
        </w:rPr>
      </w:pPr>
      <w:r>
        <w:rPr>
          <w:rFonts w:eastAsiaTheme="minorEastAsia"/>
          <w:b/>
          <w:bCs/>
          <w:color w:val="000000" w:themeColor="text1"/>
          <w:shd w:val="clear" w:color="auto" w:fill="FFFFFF"/>
          <w14:textFill>
            <w14:solidFill>
              <w14:schemeClr w14:val="tx1"/>
            </w14:solidFill>
          </w14:textFill>
        </w:rPr>
        <w:t>Sécurité et confidentialité</w:t>
      </w:r>
    </w:p>
    <w:p w14:paraId="560568CE">
      <w:pPr>
        <w:spacing w:after="0" w:line="240" w:lineRule="auto"/>
        <w:jc w:val="both"/>
        <w:outlineLvl w:val="0"/>
        <w:rPr>
          <w:rFonts w:eastAsiaTheme="minorEastAsia"/>
        </w:rPr>
      </w:pPr>
    </w:p>
    <w:p w14:paraId="543522A7">
      <w:pPr>
        <w:spacing w:after="0" w:line="240" w:lineRule="auto"/>
        <w:jc w:val="both"/>
        <w:outlineLvl w:val="0"/>
        <w:rPr>
          <w:rFonts w:eastAsiaTheme="minorEastAsia"/>
        </w:rPr>
      </w:pPr>
      <w:r>
        <w:rPr>
          <w:rFonts w:eastAsiaTheme="minorEastAsia"/>
        </w:rPr>
        <w:t xml:space="preserve">Pauwels Solutions Group a mis en place des mesures de sécurité adaptées sur le plan technique et organisationnel afin d'éviter la destruction, la perte, la falsification, la modification, l'accès non autorisé ou la communication accidentelle à des tiers des données à caractère personnel collectées sur le site web, ainsi que tout autre traitement non autorisé de ces données. </w:t>
      </w:r>
    </w:p>
    <w:p w14:paraId="19C8BCBC">
      <w:pPr>
        <w:spacing w:after="0" w:line="240" w:lineRule="auto"/>
        <w:jc w:val="both"/>
        <w:outlineLvl w:val="0"/>
        <w:rPr>
          <w:rFonts w:eastAsiaTheme="minorEastAsia"/>
        </w:rPr>
      </w:pPr>
    </w:p>
    <w:p w14:paraId="68B4EAD5">
      <w:pPr>
        <w:spacing w:after="0" w:line="240" w:lineRule="auto"/>
        <w:jc w:val="both"/>
        <w:outlineLvl w:val="0"/>
        <w:rPr>
          <w:rFonts w:eastAsiaTheme="minorEastAsia"/>
        </w:rPr>
      </w:pPr>
      <w:r>
        <w:rPr>
          <w:rFonts w:eastAsiaTheme="minorEastAsia"/>
        </w:rPr>
        <w:t xml:space="preserve">Notre site web et/ou service n'a pas l'intention de collecter des données sur les visiteurs du site web âgés de moins de 16 ans, sauf s'ils ont l'autorisation de leurs parents ou de leur tuteur. Cependant, nous ne pouvons pas vérifier si un visiteur du site web est âgé de plus de 16 ans. Nous recommandons donc aux parents de s'impliquer dans les activités en ligne de leurs enfants, afin d'éviter que des données sur les enfants ne soient collectées sans le consentement parental. Si vous êtes convaincu que nous avons collecté des données personnelles sur un mineur sans ce consentement, veuillez nous contacter à l'adresse </w:t>
      </w:r>
      <w:r>
        <w:rPr>
          <w:rStyle w:val="14"/>
          <w:rFonts w:eastAsiaTheme="minorEastAsia"/>
        </w:rPr>
        <w:t xml:space="preserve">gdpr@pauwelsconsulting.com, </w:t>
      </w:r>
      <w:r>
        <w:rPr>
          <w:rFonts w:eastAsiaTheme="minorEastAsia"/>
        </w:rPr>
        <w:t>et nous supprimerons ces informations.</w:t>
      </w:r>
    </w:p>
    <w:p w14:paraId="518C184C">
      <w:pPr>
        <w:spacing w:after="0" w:line="240" w:lineRule="auto"/>
        <w:jc w:val="both"/>
        <w:outlineLvl w:val="0"/>
        <w:rPr>
          <w:rFonts w:eastAsiaTheme="minorEastAsia"/>
        </w:rPr>
      </w:pPr>
    </w:p>
    <w:p w14:paraId="28008B0B">
      <w:pPr>
        <w:spacing w:after="0" w:line="240" w:lineRule="auto"/>
        <w:jc w:val="both"/>
        <w:textAlignment w:val="baseline"/>
        <w:outlineLvl w:val="0"/>
        <w:rPr>
          <w:rFonts w:eastAsiaTheme="minorEastAsia"/>
          <w:color w:val="000000" w:themeColor="text1"/>
          <w:shd w:val="clear" w:color="auto" w:fill="FFFFFF"/>
          <w14:textFill>
            <w14:solidFill>
              <w14:schemeClr w14:val="tx1"/>
            </w14:solidFill>
          </w14:textFill>
        </w:rPr>
      </w:pPr>
      <w:r>
        <w:rPr>
          <w:rFonts w:eastAsiaTheme="minorEastAsia"/>
        </w:rPr>
        <w:t>Si vous avez l'impression que vos données ne sont pas correctement sécurisées ou s'il y a des indications d'abus, veuillez nous contacter à l'adresse</w:t>
      </w:r>
      <w:r>
        <w:fldChar w:fldCharType="begin"/>
      </w:r>
      <w:r>
        <w:instrText xml:space="preserve"> HYPERLINK "mailto:gdpr@pauwelsconsulting.com" \h </w:instrText>
      </w:r>
      <w:r>
        <w:fldChar w:fldCharType="separate"/>
      </w:r>
      <w:r>
        <w:rPr>
          <w:rStyle w:val="14"/>
          <w:rFonts w:eastAsiaTheme="minorEastAsia"/>
        </w:rPr>
        <w:t>gdpr@pauwelsconsulting.com</w:t>
      </w:r>
      <w:r>
        <w:rPr>
          <w:rStyle w:val="14"/>
          <w:rFonts w:eastAsiaTheme="minorEastAsia"/>
        </w:rPr>
        <w:fldChar w:fldCharType="end"/>
      </w:r>
      <w:r>
        <w:rPr>
          <w:rFonts w:eastAsiaTheme="minorEastAsia"/>
        </w:rPr>
        <w:t xml:space="preserve"> . </w:t>
      </w:r>
    </w:p>
    <w:p w14:paraId="3CF2D8B6">
      <w:pPr>
        <w:spacing w:after="0" w:line="240" w:lineRule="auto"/>
        <w:jc w:val="both"/>
        <w:textAlignment w:val="baseline"/>
        <w:outlineLvl w:val="0"/>
        <w:rPr>
          <w:rFonts w:eastAsiaTheme="minorEastAsia"/>
          <w:color w:val="000000" w:themeColor="text1"/>
          <w:shd w:val="clear" w:color="auto" w:fill="FFFFFF"/>
          <w14:textFill>
            <w14:solidFill>
              <w14:schemeClr w14:val="tx1"/>
            </w14:solidFill>
          </w14:textFill>
        </w:rPr>
      </w:pPr>
    </w:p>
    <w:p w14:paraId="0FB78278">
      <w:pPr>
        <w:spacing w:after="0" w:line="240" w:lineRule="auto"/>
        <w:jc w:val="both"/>
        <w:textAlignment w:val="baseline"/>
        <w:outlineLvl w:val="0"/>
        <w:rPr>
          <w:rFonts w:eastAsiaTheme="minorEastAsia"/>
          <w:color w:val="000000" w:themeColor="text1"/>
          <w:shd w:val="clear" w:color="auto" w:fill="FFFFFF"/>
          <w14:textFill>
            <w14:solidFill>
              <w14:schemeClr w14:val="tx1"/>
            </w14:solidFill>
          </w14:textFill>
        </w:rPr>
      </w:pPr>
    </w:p>
    <w:p w14:paraId="517A2841">
      <w:pPr>
        <w:spacing w:after="0" w:line="240" w:lineRule="auto"/>
        <w:jc w:val="both"/>
        <w:textAlignment w:val="baseline"/>
        <w:outlineLvl w:val="0"/>
        <w:rPr>
          <w:rFonts w:eastAsiaTheme="minorEastAsia"/>
          <w:b/>
          <w:bCs/>
          <w:color w:val="000000" w:themeColor="text1"/>
          <w14:textFill>
            <w14:solidFill>
              <w14:schemeClr w14:val="tx1"/>
            </w14:solidFill>
          </w14:textFill>
        </w:rPr>
      </w:pPr>
      <w:r>
        <w:rPr>
          <w:rFonts w:eastAsiaTheme="minorEastAsia"/>
          <w:b/>
          <w:bCs/>
          <w:color w:val="000000" w:themeColor="text1"/>
          <w14:textFill>
            <w14:solidFill>
              <w14:schemeClr w14:val="tx1"/>
            </w14:solidFill>
          </w14:textFill>
        </w:rPr>
        <w:t>Exactitude de vos données</w:t>
      </w:r>
    </w:p>
    <w:p w14:paraId="1FC39945">
      <w:pPr>
        <w:spacing w:after="0" w:line="240" w:lineRule="auto"/>
        <w:jc w:val="both"/>
        <w:textAlignment w:val="baseline"/>
        <w:outlineLvl w:val="0"/>
        <w:rPr>
          <w:rFonts w:eastAsiaTheme="minorEastAsia"/>
          <w:color w:val="000000" w:themeColor="text1"/>
          <w14:textFill>
            <w14:solidFill>
              <w14:schemeClr w14:val="tx1"/>
            </w14:solidFill>
          </w14:textFill>
        </w:rPr>
      </w:pPr>
    </w:p>
    <w:p w14:paraId="2DBF0D7D">
      <w:pPr>
        <w:spacing w:after="0" w:line="240" w:lineRule="auto"/>
        <w:jc w:val="both"/>
        <w:textAlignment w:val="baseline"/>
        <w:outlineLvl w:val="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Toute personne qui communique des données à Pauwels Solutions Group garantit que ces données sont exactes et complètes. La communication de données inexactes ou appartenant à des tiers peut entraîner le refus temporaire ou définitif de tout accès, total ou partiel, aux produits et services de Pauwels Solutions Group.</w:t>
      </w:r>
    </w:p>
    <w:p w14:paraId="0C656D66">
      <w:pPr>
        <w:spacing w:after="0" w:line="240" w:lineRule="auto"/>
        <w:jc w:val="both"/>
        <w:outlineLvl w:val="0"/>
        <w:rPr>
          <w:rFonts w:eastAsiaTheme="minorEastAsia"/>
          <w:color w:val="000000" w:themeColor="text1"/>
          <w14:textFill>
            <w14:solidFill>
              <w14:schemeClr w14:val="tx1"/>
            </w14:solidFill>
          </w14:textFill>
        </w:rPr>
      </w:pPr>
    </w:p>
    <w:p w14:paraId="6B62F1B3">
      <w:pPr>
        <w:spacing w:after="0" w:line="240" w:lineRule="auto"/>
        <w:jc w:val="both"/>
        <w:textAlignment w:val="baseline"/>
        <w:outlineLvl w:val="0"/>
        <w:rPr>
          <w:rFonts w:eastAsiaTheme="minorEastAsia"/>
          <w:b/>
          <w:bCs/>
        </w:rPr>
      </w:pPr>
    </w:p>
    <w:p w14:paraId="2F342967">
      <w:pPr>
        <w:spacing w:after="0" w:line="240" w:lineRule="auto"/>
        <w:jc w:val="both"/>
        <w:textAlignment w:val="baseline"/>
        <w:outlineLvl w:val="0"/>
        <w:rPr>
          <w:rFonts w:eastAsiaTheme="minorEastAsia"/>
          <w:b/>
          <w:bCs/>
        </w:rPr>
      </w:pPr>
      <w:r>
        <w:rPr>
          <w:rFonts w:eastAsiaTheme="minorEastAsia"/>
          <w:b/>
          <w:bCs/>
        </w:rPr>
        <w:t xml:space="preserve">Autres dispositions </w:t>
      </w:r>
    </w:p>
    <w:p w14:paraId="02F2C34E">
      <w:pPr>
        <w:spacing w:after="0" w:line="240" w:lineRule="auto"/>
        <w:jc w:val="both"/>
        <w:textAlignment w:val="baseline"/>
        <w:outlineLvl w:val="0"/>
        <w:rPr>
          <w:rFonts w:eastAsiaTheme="minorEastAsia"/>
          <w:b/>
          <w:bCs/>
        </w:rPr>
      </w:pPr>
    </w:p>
    <w:p w14:paraId="130C5377">
      <w:pPr>
        <w:spacing w:after="0" w:line="240" w:lineRule="auto"/>
        <w:jc w:val="both"/>
        <w:textAlignment w:val="baseline"/>
        <w:outlineLvl w:val="0"/>
        <w:rPr>
          <w:rFonts w:eastAsiaTheme="minorEastAsia"/>
        </w:rPr>
      </w:pPr>
      <w:r>
        <w:rPr>
          <w:rFonts w:eastAsiaTheme="minorEastAsia"/>
        </w:rPr>
        <w:t>La présente déclaration de confidentialité</w:t>
      </w:r>
      <w:r>
        <w:rPr>
          <w:rFonts w:hint="default" w:eastAsiaTheme="minorEastAsia"/>
          <w:lang w:val="nl-BE"/>
        </w:rPr>
        <w:t xml:space="preserve"> et d’IA</w:t>
      </w:r>
      <w:r>
        <w:rPr>
          <w:rFonts w:eastAsiaTheme="minorEastAsia"/>
        </w:rPr>
        <w:t xml:space="preserve"> peut être modifiée de temps à autre, notamment pour tenir compte des nouvelles lois et réglementations ou des évolutions en la matière. Les modifications entrent automatiquement en vigueur après leur publication. </w:t>
      </w:r>
      <w:r>
        <w:rPr>
          <w:rFonts w:hint="default" w:eastAsiaTheme="minorEastAsia"/>
        </w:rPr>
        <w:t>La politique a été initialement rédigée en néerlandais. En cas de conflit dans la traduction, la version néerlandaise prévaudra.</w:t>
      </w:r>
    </w:p>
    <w:p w14:paraId="680A4E5D">
      <w:pPr>
        <w:spacing w:after="0" w:line="240" w:lineRule="auto"/>
        <w:jc w:val="both"/>
        <w:textAlignment w:val="baseline"/>
        <w:outlineLvl w:val="0"/>
        <w:rPr>
          <w:rFonts w:eastAsiaTheme="minorEastAsia"/>
        </w:rPr>
      </w:pPr>
    </w:p>
    <w:p w14:paraId="5D388719">
      <w:pPr>
        <w:spacing w:after="0" w:line="240" w:lineRule="auto"/>
        <w:jc w:val="both"/>
        <w:textAlignment w:val="baseline"/>
        <w:outlineLvl w:val="0"/>
        <w:rPr>
          <w:rFonts w:eastAsiaTheme="minorEastAsia"/>
        </w:rPr>
      </w:pPr>
      <w:r>
        <w:rPr>
          <w:rFonts w:eastAsiaTheme="minorEastAsia"/>
        </w:rPr>
        <w:t xml:space="preserve">Si l'une des dispositions précédentes relatives au traitement des données à caractère personnel ou toute autre disposition s'avérait invalide, toutes les parties acceptent qu'elle soit remplacée par une disposition qui se rapproche autant que possible de l'objectif sous-jacent de la disposition initiale.  </w:t>
      </w:r>
    </w:p>
    <w:p w14:paraId="19219836">
      <w:pPr>
        <w:spacing w:after="0" w:line="240" w:lineRule="auto"/>
        <w:jc w:val="both"/>
        <w:textAlignment w:val="baseline"/>
        <w:outlineLvl w:val="0"/>
        <w:rPr>
          <w:rFonts w:eastAsiaTheme="minorEastAsia"/>
        </w:rPr>
      </w:pPr>
    </w:p>
    <w:p w14:paraId="1C539B19">
      <w:pPr>
        <w:spacing w:after="0" w:line="240" w:lineRule="auto"/>
        <w:jc w:val="both"/>
        <w:textAlignment w:val="baseline"/>
        <w:outlineLvl w:val="0"/>
        <w:rPr>
          <w:rFonts w:eastAsiaTheme="minorEastAsia"/>
        </w:rPr>
      </w:pPr>
      <w:r>
        <w:rPr>
          <w:rFonts w:eastAsiaTheme="minorEastAsia"/>
        </w:rPr>
        <w:t xml:space="preserve">La politique de confidentialité de Pauwels Solutions Group est soumise au droit belge. </w:t>
      </w:r>
    </w:p>
    <w:p w14:paraId="296FEF7D">
      <w:pPr>
        <w:spacing w:after="0" w:line="240" w:lineRule="auto"/>
        <w:jc w:val="both"/>
        <w:textAlignment w:val="baseline"/>
        <w:outlineLvl w:val="0"/>
        <w:rPr>
          <w:rFonts w:eastAsiaTheme="minorEastAsia"/>
        </w:rPr>
      </w:pPr>
    </w:p>
    <w:p w14:paraId="1C036113">
      <w:pPr>
        <w:spacing w:after="0" w:line="240" w:lineRule="auto"/>
        <w:jc w:val="both"/>
        <w:textAlignment w:val="baseline"/>
        <w:outlineLvl w:val="0"/>
        <w:rPr>
          <w:rFonts w:eastAsiaTheme="minorEastAsia"/>
        </w:rPr>
      </w:pPr>
      <w:r>
        <w:rPr>
          <w:rFonts w:eastAsiaTheme="minorEastAsia"/>
        </w:rPr>
        <w:t xml:space="preserve">Les autorités belges (par exemple, l'Autorité de protection des données) et les tribunaux compétents pour le siège social sont, à l'exclusion de tous les autres, compétents pour connaître des litiges et des plaintes qui pourraient survenir concernant ce site web ou son utilisation, ou concernant le traitement des données à caractère personnel ou tout autre litige. </w:t>
      </w:r>
    </w:p>
    <w:p w14:paraId="7194DBDC">
      <w:pPr>
        <w:spacing w:after="0" w:line="240" w:lineRule="auto"/>
        <w:jc w:val="both"/>
        <w:textAlignment w:val="baseline"/>
        <w:outlineLvl w:val="0"/>
        <w:rPr>
          <w:rFonts w:eastAsiaTheme="minorEastAsia"/>
        </w:rPr>
      </w:pPr>
    </w:p>
    <w:p w14:paraId="641EACA0">
      <w:pPr>
        <w:pStyle w:val="8"/>
        <w:spacing w:after="0"/>
        <w:jc w:val="left"/>
        <w:rPr>
          <w:szCs w:val="22"/>
        </w:rPr>
      </w:pPr>
      <w:r>
        <w:rPr>
          <w:szCs w:val="22"/>
        </w:rPr>
        <w:t>En ce qui concerne la conformité avec la législation en vigueur, les droits et obligations découlant du Règlement général sur la protection des données ou le suivi d'un éventuel incident de sécurité de l'information, vous pouvez contacter</w:t>
      </w:r>
      <w:r>
        <w:fldChar w:fldCharType="begin"/>
      </w:r>
      <w:r>
        <w:instrText xml:space="preserve"> HYPERLINK "mailto:gdpr@pauwelsconsulting.com" \h </w:instrText>
      </w:r>
      <w:r>
        <w:fldChar w:fldCharType="separate"/>
      </w:r>
      <w:r>
        <w:rPr>
          <w:rStyle w:val="14"/>
          <w:szCs w:val="22"/>
          <w:lang w:val="nl-NL"/>
        </w:rPr>
        <w:t>gdpr@pauwelsconsulting.com</w:t>
      </w:r>
      <w:r>
        <w:rPr>
          <w:rStyle w:val="14"/>
          <w:szCs w:val="22"/>
          <w:lang w:val="nl-NL"/>
        </w:rPr>
        <w:fldChar w:fldCharType="end"/>
      </w:r>
      <w:r>
        <w:rPr>
          <w:rStyle w:val="14"/>
          <w:szCs w:val="22"/>
          <w:lang w:val="nl-NL"/>
        </w:rPr>
        <w:t xml:space="preserve"> . </w:t>
      </w:r>
    </w:p>
    <w:p w14:paraId="769D0D3C">
      <w:pPr>
        <w:spacing w:after="0" w:line="240" w:lineRule="auto"/>
        <w:jc w:val="both"/>
        <w:textAlignment w:val="baseline"/>
        <w:outlineLvl w:val="0"/>
        <w:rPr>
          <w:rFonts w:eastAsiaTheme="minorEastAsia"/>
        </w:rPr>
      </w:pPr>
    </w:p>
    <w:p w14:paraId="54CD245A">
      <w:pPr>
        <w:spacing w:after="0" w:line="240" w:lineRule="auto"/>
        <w:jc w:val="both"/>
        <w:textAlignment w:val="baseline"/>
        <w:outlineLvl w:val="0"/>
        <w:rPr>
          <w:rFonts w:eastAsiaTheme="minorEastAsia"/>
          <w:b/>
          <w:bCs/>
          <w:color w:val="000000" w:themeColor="text1"/>
          <w:shd w:val="clear" w:color="auto" w:fill="FFFFFF"/>
          <w14:textFill>
            <w14:solidFill>
              <w14:schemeClr w14:val="tx1"/>
            </w14:solidFill>
          </w14:textFill>
        </w:rPr>
      </w:pPr>
    </w:p>
    <w:p w14:paraId="3B80B588">
      <w:pPr>
        <w:shd w:val="clear" w:color="auto" w:fill="FFFFFF" w:themeFill="background1"/>
        <w:spacing w:after="0" w:line="240" w:lineRule="auto"/>
        <w:rPr>
          <w:rFonts w:eastAsiaTheme="minorEastAsia"/>
          <w:b/>
          <w:bCs/>
          <w:color w:val="333333"/>
          <w:lang w:eastAsia="nl-BE"/>
        </w:rPr>
      </w:pPr>
    </w:p>
    <w:p w14:paraId="6D6C828C">
      <w:pPr>
        <w:shd w:val="clear" w:color="auto" w:fill="FFFFFF" w:themeFill="background1"/>
        <w:spacing w:after="0" w:line="240" w:lineRule="auto"/>
        <w:rPr>
          <w:rFonts w:eastAsiaTheme="minorEastAsia"/>
          <w:b/>
          <w:bCs/>
          <w:color w:val="333333"/>
          <w:lang w:eastAsia="nl-BE"/>
        </w:rPr>
      </w:pPr>
      <w:r>
        <w:rPr>
          <w:rFonts w:eastAsiaTheme="minorEastAsia"/>
          <w:b/>
          <w:bCs/>
          <w:color w:val="333333"/>
          <w:lang w:eastAsia="nl-BE"/>
        </w:rPr>
        <w:t xml:space="preserve">PAUWELS SOLUTIONS GROUP </w:t>
      </w:r>
    </w:p>
    <w:p w14:paraId="4DCAF74F">
      <w:pPr>
        <w:rPr>
          <w:rFonts w:eastAsiaTheme="minorEastAsia"/>
          <w:b/>
          <w:bCs/>
          <w:color w:val="333333"/>
          <w:lang w:eastAsia="nl-BE"/>
        </w:rPr>
      </w:pPr>
      <w:r>
        <w:rPr>
          <w:rFonts w:eastAsiaTheme="minorEastAsia"/>
          <w:b/>
          <w:bCs/>
          <w:color w:val="333333"/>
          <w:lang w:eastAsia="nl-BE"/>
        </w:rPr>
        <w:br w:type="page"/>
      </w:r>
    </w:p>
    <w:p w14:paraId="55E73CA9">
      <w:pPr>
        <w:shd w:val="clear" w:color="auto" w:fill="FFFFFF" w:themeFill="background1"/>
        <w:spacing w:after="0" w:line="240" w:lineRule="auto"/>
        <w:rPr>
          <w:rFonts w:eastAsiaTheme="minorEastAsia"/>
          <w:color w:val="000000" w:themeColor="text1"/>
          <w:shd w:val="clear" w:color="auto" w:fill="FFFFFF"/>
          <w14:textFill>
            <w14:solidFill>
              <w14:schemeClr w14:val="tx1"/>
            </w14:solidFill>
          </w14:textFill>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Webdings">
    <w:panose1 w:val="05030102010509060703"/>
    <w:charset w:val="02"/>
    <w:family w:val="roman"/>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C6E30"/>
    <w:multiLevelType w:val="multilevel"/>
    <w:tmpl w:val="149C6E30"/>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FDF1AAF"/>
    <w:multiLevelType w:val="multilevel"/>
    <w:tmpl w:val="6FDF1AAF"/>
    <w:lvl w:ilvl="0" w:tentative="0">
      <w:start w:val="0"/>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5121347"/>
    <w:multiLevelType w:val="multilevel"/>
    <w:tmpl w:val="75121347"/>
    <w:lvl w:ilvl="0" w:tentative="0">
      <w:start w:val="1"/>
      <w:numFmt w:val="bullet"/>
      <w:pStyle w:val="15"/>
      <w:lvlText w:val=""/>
      <w:lvlJc w:val="left"/>
      <w:pPr>
        <w:ind w:left="284" w:hanging="284"/>
      </w:pPr>
      <w:rPr>
        <w:rFonts w:hint="default" w:ascii="Webdings" w:hAnsi="Webdings"/>
        <w:color w:val="008FD1"/>
      </w:rPr>
    </w:lvl>
    <w:lvl w:ilvl="1" w:tentative="0">
      <w:start w:val="1"/>
      <w:numFmt w:val="bullet"/>
      <w:lvlText w:val=""/>
      <w:lvlJc w:val="left"/>
      <w:pPr>
        <w:tabs>
          <w:tab w:val="left" w:pos="2632"/>
        </w:tabs>
        <w:ind w:left="568" w:hanging="284"/>
      </w:pPr>
      <w:rPr>
        <w:rFonts w:hint="default" w:ascii="Wingdings" w:hAnsi="Wingdings"/>
        <w:color w:val="008FD1"/>
        <w:sz w:val="16"/>
      </w:rPr>
    </w:lvl>
    <w:lvl w:ilvl="2" w:tentative="0">
      <w:start w:val="1"/>
      <w:numFmt w:val="bullet"/>
      <w:lvlText w:val=""/>
      <w:lvlJc w:val="left"/>
      <w:pPr>
        <w:tabs>
          <w:tab w:val="left" w:pos="2915"/>
        </w:tabs>
        <w:ind w:left="852" w:hanging="284"/>
      </w:pPr>
      <w:rPr>
        <w:rFonts w:hint="default" w:ascii="Wingdings" w:hAnsi="Wingdings"/>
        <w:color w:val="008FD1"/>
        <w:sz w:val="22"/>
      </w:rPr>
    </w:lvl>
    <w:lvl w:ilvl="3" w:tentative="0">
      <w:start w:val="1"/>
      <w:numFmt w:val="bullet"/>
      <w:lvlText w:val=""/>
      <w:lvlJc w:val="left"/>
      <w:pPr>
        <w:tabs>
          <w:tab w:val="left" w:pos="3199"/>
        </w:tabs>
        <w:ind w:left="1136" w:hanging="284"/>
      </w:pPr>
      <w:rPr>
        <w:rFonts w:hint="default" w:ascii="Wingdings" w:hAnsi="Wingdings"/>
        <w:color w:val="008FD1"/>
        <w:sz w:val="22"/>
      </w:rPr>
    </w:lvl>
    <w:lvl w:ilvl="4" w:tentative="0">
      <w:start w:val="1"/>
      <w:numFmt w:val="bullet"/>
      <w:lvlText w:val=""/>
      <w:lvlJc w:val="left"/>
      <w:pPr>
        <w:tabs>
          <w:tab w:val="left" w:pos="3482"/>
        </w:tabs>
        <w:ind w:left="1420" w:hanging="284"/>
      </w:pPr>
      <w:rPr>
        <w:rFonts w:hint="default" w:ascii="Wingdings" w:hAnsi="Wingdings"/>
        <w:color w:val="008FD1"/>
      </w:rPr>
    </w:lvl>
    <w:lvl w:ilvl="5" w:tentative="0">
      <w:start w:val="1"/>
      <w:numFmt w:val="bullet"/>
      <w:lvlText w:val=""/>
      <w:lvlJc w:val="left"/>
      <w:pPr>
        <w:tabs>
          <w:tab w:val="left" w:pos="3766"/>
        </w:tabs>
        <w:ind w:left="1704" w:hanging="284"/>
      </w:pPr>
      <w:rPr>
        <w:rFonts w:hint="default" w:ascii="Wingdings" w:hAnsi="Wingdings"/>
        <w:color w:val="008FD1"/>
      </w:rPr>
    </w:lvl>
    <w:lvl w:ilvl="6" w:tentative="0">
      <w:start w:val="1"/>
      <w:numFmt w:val="bullet"/>
      <w:lvlText w:val=""/>
      <w:lvlJc w:val="left"/>
      <w:pPr>
        <w:tabs>
          <w:tab w:val="left" w:pos="4049"/>
        </w:tabs>
        <w:ind w:left="1988" w:hanging="284"/>
      </w:pPr>
      <w:rPr>
        <w:rFonts w:hint="default" w:ascii="Wingdings 3" w:hAnsi="Wingdings 3"/>
        <w:color w:val="008FD1"/>
        <w:sz w:val="16"/>
      </w:rPr>
    </w:lvl>
    <w:lvl w:ilvl="7" w:tentative="0">
      <w:start w:val="1"/>
      <w:numFmt w:val="bullet"/>
      <w:lvlText w:val=""/>
      <w:lvlJc w:val="left"/>
      <w:pPr>
        <w:tabs>
          <w:tab w:val="left" w:pos="4333"/>
        </w:tabs>
        <w:ind w:left="2272" w:hanging="284"/>
      </w:pPr>
      <w:rPr>
        <w:rFonts w:hint="default" w:ascii="Wingdings" w:hAnsi="Wingdings"/>
        <w:color w:val="008FD1"/>
      </w:rPr>
    </w:lvl>
    <w:lvl w:ilvl="8" w:tentative="0">
      <w:start w:val="1"/>
      <w:numFmt w:val="bullet"/>
      <w:lvlText w:val=""/>
      <w:lvlJc w:val="left"/>
      <w:pPr>
        <w:tabs>
          <w:tab w:val="left" w:pos="4616"/>
        </w:tabs>
        <w:ind w:left="2556" w:hanging="284"/>
      </w:pPr>
      <w:rPr>
        <w:rFonts w:hint="default" w:ascii="Wingdings" w:hAnsi="Wingdings"/>
        <w:color w:val="008FD1"/>
      </w:rPr>
    </w:lvl>
  </w:abstractNum>
  <w:abstractNum w:abstractNumId="3">
    <w:nsid w:val="79D66E0E"/>
    <w:multiLevelType w:val="multilevel"/>
    <w:tmpl w:val="79D66E0E"/>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B7"/>
    <w:rsid w:val="00007CEB"/>
    <w:rsid w:val="000364AF"/>
    <w:rsid w:val="0003F292"/>
    <w:rsid w:val="0007707A"/>
    <w:rsid w:val="0008068E"/>
    <w:rsid w:val="00086D09"/>
    <w:rsid w:val="000C0737"/>
    <w:rsid w:val="000C1617"/>
    <w:rsid w:val="000F281D"/>
    <w:rsid w:val="000F3B0B"/>
    <w:rsid w:val="00113C44"/>
    <w:rsid w:val="001150C3"/>
    <w:rsid w:val="00115A60"/>
    <w:rsid w:val="001202C5"/>
    <w:rsid w:val="0012734B"/>
    <w:rsid w:val="00142DC2"/>
    <w:rsid w:val="001670E0"/>
    <w:rsid w:val="00187826"/>
    <w:rsid w:val="001A197A"/>
    <w:rsid w:val="001B0E6C"/>
    <w:rsid w:val="001D42D7"/>
    <w:rsid w:val="00245E25"/>
    <w:rsid w:val="00246A98"/>
    <w:rsid w:val="0024B242"/>
    <w:rsid w:val="00331915"/>
    <w:rsid w:val="003730D2"/>
    <w:rsid w:val="00392651"/>
    <w:rsid w:val="00394CCE"/>
    <w:rsid w:val="00396302"/>
    <w:rsid w:val="003A0798"/>
    <w:rsid w:val="003F180D"/>
    <w:rsid w:val="00491587"/>
    <w:rsid w:val="004A2227"/>
    <w:rsid w:val="004E6791"/>
    <w:rsid w:val="004F45FF"/>
    <w:rsid w:val="00511DE7"/>
    <w:rsid w:val="00513C9B"/>
    <w:rsid w:val="005209D9"/>
    <w:rsid w:val="005221D7"/>
    <w:rsid w:val="0052359D"/>
    <w:rsid w:val="00541C30"/>
    <w:rsid w:val="00576C64"/>
    <w:rsid w:val="00581C1C"/>
    <w:rsid w:val="00591FB9"/>
    <w:rsid w:val="005A3527"/>
    <w:rsid w:val="005D632C"/>
    <w:rsid w:val="005D7380"/>
    <w:rsid w:val="00601D20"/>
    <w:rsid w:val="00630AE1"/>
    <w:rsid w:val="00696094"/>
    <w:rsid w:val="0070743F"/>
    <w:rsid w:val="007247D5"/>
    <w:rsid w:val="0075669F"/>
    <w:rsid w:val="00761A82"/>
    <w:rsid w:val="0076C87B"/>
    <w:rsid w:val="007A57D4"/>
    <w:rsid w:val="007F18AF"/>
    <w:rsid w:val="007F1B07"/>
    <w:rsid w:val="008167B5"/>
    <w:rsid w:val="008611E5"/>
    <w:rsid w:val="00886246"/>
    <w:rsid w:val="00893FCD"/>
    <w:rsid w:val="008B5DB7"/>
    <w:rsid w:val="008C2BC2"/>
    <w:rsid w:val="008F492F"/>
    <w:rsid w:val="00963938"/>
    <w:rsid w:val="009B0C07"/>
    <w:rsid w:val="009B46B5"/>
    <w:rsid w:val="009C235C"/>
    <w:rsid w:val="00A04029"/>
    <w:rsid w:val="00A04372"/>
    <w:rsid w:val="00A23A00"/>
    <w:rsid w:val="00A55EF1"/>
    <w:rsid w:val="00A72306"/>
    <w:rsid w:val="00A81EA1"/>
    <w:rsid w:val="00AAE11C"/>
    <w:rsid w:val="00AB6CC6"/>
    <w:rsid w:val="00AD7C3B"/>
    <w:rsid w:val="00AF35E8"/>
    <w:rsid w:val="00B06FBD"/>
    <w:rsid w:val="00B11F2C"/>
    <w:rsid w:val="00B156FC"/>
    <w:rsid w:val="00B84770"/>
    <w:rsid w:val="00BE5863"/>
    <w:rsid w:val="00C1066A"/>
    <w:rsid w:val="00C1508C"/>
    <w:rsid w:val="00C17679"/>
    <w:rsid w:val="00C26AC6"/>
    <w:rsid w:val="00C31DB0"/>
    <w:rsid w:val="00C53E8A"/>
    <w:rsid w:val="00C62DE3"/>
    <w:rsid w:val="00C7170C"/>
    <w:rsid w:val="00CA6C89"/>
    <w:rsid w:val="00CE2298"/>
    <w:rsid w:val="00CE6BAE"/>
    <w:rsid w:val="00D419B7"/>
    <w:rsid w:val="00DA10FD"/>
    <w:rsid w:val="00DE68A0"/>
    <w:rsid w:val="00E75914"/>
    <w:rsid w:val="00E76E2A"/>
    <w:rsid w:val="00EC5101"/>
    <w:rsid w:val="00ED4B62"/>
    <w:rsid w:val="00EF73A2"/>
    <w:rsid w:val="00F44FC3"/>
    <w:rsid w:val="00FE3F87"/>
    <w:rsid w:val="00FE5E15"/>
    <w:rsid w:val="0144DD8B"/>
    <w:rsid w:val="018BC357"/>
    <w:rsid w:val="019FC2F3"/>
    <w:rsid w:val="02ADD78A"/>
    <w:rsid w:val="02B62E65"/>
    <w:rsid w:val="02F9574C"/>
    <w:rsid w:val="041C9638"/>
    <w:rsid w:val="043CAE17"/>
    <w:rsid w:val="0551C991"/>
    <w:rsid w:val="05F83E1E"/>
    <w:rsid w:val="0676C1C6"/>
    <w:rsid w:val="06BA9A3B"/>
    <w:rsid w:val="0703BA6C"/>
    <w:rsid w:val="0747C477"/>
    <w:rsid w:val="07A03DE0"/>
    <w:rsid w:val="07BC3FF7"/>
    <w:rsid w:val="08129227"/>
    <w:rsid w:val="08A577CD"/>
    <w:rsid w:val="090634D4"/>
    <w:rsid w:val="09424009"/>
    <w:rsid w:val="09A91951"/>
    <w:rsid w:val="09AA0D8C"/>
    <w:rsid w:val="0A689ABC"/>
    <w:rsid w:val="0AAEFE41"/>
    <w:rsid w:val="0AC04BA2"/>
    <w:rsid w:val="0AC1404A"/>
    <w:rsid w:val="0B052FFB"/>
    <w:rsid w:val="0B2CB7E4"/>
    <w:rsid w:val="0C046B1D"/>
    <w:rsid w:val="0C79E0CB"/>
    <w:rsid w:val="0CB488AC"/>
    <w:rsid w:val="0DA03B7E"/>
    <w:rsid w:val="0DAA04B3"/>
    <w:rsid w:val="0DE82297"/>
    <w:rsid w:val="0E5E1B9F"/>
    <w:rsid w:val="0E7D7EAF"/>
    <w:rsid w:val="0EBD7F08"/>
    <w:rsid w:val="0F15C94F"/>
    <w:rsid w:val="0F55343C"/>
    <w:rsid w:val="1007B4AE"/>
    <w:rsid w:val="100FAFB5"/>
    <w:rsid w:val="1053B75B"/>
    <w:rsid w:val="10D7DC40"/>
    <w:rsid w:val="10DB5D7D"/>
    <w:rsid w:val="113E5BE8"/>
    <w:rsid w:val="11AD07CD"/>
    <w:rsid w:val="122300D5"/>
    <w:rsid w:val="12A0FB4A"/>
    <w:rsid w:val="12EFE9A6"/>
    <w:rsid w:val="13082CEB"/>
    <w:rsid w:val="130A8A88"/>
    <w:rsid w:val="1351B71E"/>
    <w:rsid w:val="1412FE3F"/>
    <w:rsid w:val="142741DA"/>
    <w:rsid w:val="144EB8FB"/>
    <w:rsid w:val="14633D6A"/>
    <w:rsid w:val="14A2BA27"/>
    <w:rsid w:val="156961B4"/>
    <w:rsid w:val="15AECEA0"/>
    <w:rsid w:val="16215937"/>
    <w:rsid w:val="16422B4A"/>
    <w:rsid w:val="168AE4B9"/>
    <w:rsid w:val="1704EE98"/>
    <w:rsid w:val="17471DC4"/>
    <w:rsid w:val="17702E61"/>
    <w:rsid w:val="17BC26BE"/>
    <w:rsid w:val="17DDFBAB"/>
    <w:rsid w:val="18E2EE25"/>
    <w:rsid w:val="191739E0"/>
    <w:rsid w:val="191C84BD"/>
    <w:rsid w:val="19334D23"/>
    <w:rsid w:val="196B0818"/>
    <w:rsid w:val="19776E6F"/>
    <w:rsid w:val="19B21284"/>
    <w:rsid w:val="19B9CEA7"/>
    <w:rsid w:val="19F81789"/>
    <w:rsid w:val="1A45A1AC"/>
    <w:rsid w:val="1AA7CF23"/>
    <w:rsid w:val="1AE8CAED"/>
    <w:rsid w:val="1AFC21BA"/>
    <w:rsid w:val="1B159C6D"/>
    <w:rsid w:val="1B285559"/>
    <w:rsid w:val="1BFEFECA"/>
    <w:rsid w:val="1C1A8EE7"/>
    <w:rsid w:val="1C266AA4"/>
    <w:rsid w:val="1C8161C7"/>
    <w:rsid w:val="1CB16CCE"/>
    <w:rsid w:val="1CC79AA7"/>
    <w:rsid w:val="1D4DCF0B"/>
    <w:rsid w:val="1D4EB219"/>
    <w:rsid w:val="1D5D4BE2"/>
    <w:rsid w:val="1DD6C1AA"/>
    <w:rsid w:val="1DF022F7"/>
    <w:rsid w:val="1E0F04D6"/>
    <w:rsid w:val="1EC3E1BB"/>
    <w:rsid w:val="1F6E3D0F"/>
    <w:rsid w:val="1FB852DD"/>
    <w:rsid w:val="1FE90D90"/>
    <w:rsid w:val="20856FCD"/>
    <w:rsid w:val="2146A598"/>
    <w:rsid w:val="21C55A59"/>
    <w:rsid w:val="21DE4F89"/>
    <w:rsid w:val="21E1C2FD"/>
    <w:rsid w:val="21EB5249"/>
    <w:rsid w:val="221F3C5D"/>
    <w:rsid w:val="223405E1"/>
    <w:rsid w:val="22399B17"/>
    <w:rsid w:val="22607F26"/>
    <w:rsid w:val="2274DB80"/>
    <w:rsid w:val="235A2DC1"/>
    <w:rsid w:val="237A5C10"/>
    <w:rsid w:val="2441AE32"/>
    <w:rsid w:val="24A30400"/>
    <w:rsid w:val="25411A45"/>
    <w:rsid w:val="254E1763"/>
    <w:rsid w:val="2556DD1F"/>
    <w:rsid w:val="25CEC1BE"/>
    <w:rsid w:val="2651174B"/>
    <w:rsid w:val="26F4B151"/>
    <w:rsid w:val="2768B051"/>
    <w:rsid w:val="27B87AAC"/>
    <w:rsid w:val="27BEDB59"/>
    <w:rsid w:val="28D8AD64"/>
    <w:rsid w:val="291D10E9"/>
    <w:rsid w:val="29544B0D"/>
    <w:rsid w:val="29957FBF"/>
    <w:rsid w:val="2A2C5213"/>
    <w:rsid w:val="2AF4DF99"/>
    <w:rsid w:val="2B948100"/>
    <w:rsid w:val="2BBD8285"/>
    <w:rsid w:val="2BE3D211"/>
    <w:rsid w:val="2CCD2081"/>
    <w:rsid w:val="2D2DA6B7"/>
    <w:rsid w:val="2D63F2D5"/>
    <w:rsid w:val="2D7A76CC"/>
    <w:rsid w:val="2D81177E"/>
    <w:rsid w:val="2DF07DFE"/>
    <w:rsid w:val="2EDFE107"/>
    <w:rsid w:val="2EFFC336"/>
    <w:rsid w:val="2F202D75"/>
    <w:rsid w:val="2F3816E1"/>
    <w:rsid w:val="2FEFDF59"/>
    <w:rsid w:val="2FFF315A"/>
    <w:rsid w:val="3119CE8B"/>
    <w:rsid w:val="312C2D68"/>
    <w:rsid w:val="323763F8"/>
    <w:rsid w:val="324CCDAF"/>
    <w:rsid w:val="325C219E"/>
    <w:rsid w:val="331F7ABF"/>
    <w:rsid w:val="334E88B1"/>
    <w:rsid w:val="335DE5E9"/>
    <w:rsid w:val="33A04020"/>
    <w:rsid w:val="34585C0D"/>
    <w:rsid w:val="34BB4B20"/>
    <w:rsid w:val="34EED5AC"/>
    <w:rsid w:val="3502BCD8"/>
    <w:rsid w:val="3550478E"/>
    <w:rsid w:val="35D6AAE6"/>
    <w:rsid w:val="36B764F1"/>
    <w:rsid w:val="36ED6D27"/>
    <w:rsid w:val="36FB8FBD"/>
    <w:rsid w:val="377029CC"/>
    <w:rsid w:val="37A89A95"/>
    <w:rsid w:val="37FBB808"/>
    <w:rsid w:val="388928DF"/>
    <w:rsid w:val="38E022B7"/>
    <w:rsid w:val="3AA2A580"/>
    <w:rsid w:val="3ACF0106"/>
    <w:rsid w:val="3B45DF33"/>
    <w:rsid w:val="3B9D1C27"/>
    <w:rsid w:val="3BDE463E"/>
    <w:rsid w:val="3BED5A3D"/>
    <w:rsid w:val="3C5EAC41"/>
    <w:rsid w:val="3C6B98B3"/>
    <w:rsid w:val="3C7AFCE4"/>
    <w:rsid w:val="3D0A617B"/>
    <w:rsid w:val="3D295E97"/>
    <w:rsid w:val="3D38EC88"/>
    <w:rsid w:val="3D7A169F"/>
    <w:rsid w:val="3D99EAF3"/>
    <w:rsid w:val="3DEE40B7"/>
    <w:rsid w:val="3E06A1C8"/>
    <w:rsid w:val="3EE806E0"/>
    <w:rsid w:val="3F1988E2"/>
    <w:rsid w:val="3F7A70A6"/>
    <w:rsid w:val="4027C9C6"/>
    <w:rsid w:val="4060FF59"/>
    <w:rsid w:val="4074C273"/>
    <w:rsid w:val="40C77F01"/>
    <w:rsid w:val="40D0B239"/>
    <w:rsid w:val="42634F62"/>
    <w:rsid w:val="426B9A40"/>
    <w:rsid w:val="42E19348"/>
    <w:rsid w:val="442D2065"/>
    <w:rsid w:val="446F809D"/>
    <w:rsid w:val="44E475A7"/>
    <w:rsid w:val="45011CB5"/>
    <w:rsid w:val="4548905C"/>
    <w:rsid w:val="4597C8E5"/>
    <w:rsid w:val="45C360DD"/>
    <w:rsid w:val="46495686"/>
    <w:rsid w:val="4678EBBA"/>
    <w:rsid w:val="475F313E"/>
    <w:rsid w:val="47671EC4"/>
    <w:rsid w:val="4804D2E1"/>
    <w:rsid w:val="48205121"/>
    <w:rsid w:val="4883AAAA"/>
    <w:rsid w:val="48881EA4"/>
    <w:rsid w:val="48A3DFAB"/>
    <w:rsid w:val="48CC8072"/>
    <w:rsid w:val="491DC5F6"/>
    <w:rsid w:val="4927D36F"/>
    <w:rsid w:val="492C254D"/>
    <w:rsid w:val="4938E0E4"/>
    <w:rsid w:val="4A0B62DC"/>
    <w:rsid w:val="4A1E3EAB"/>
    <w:rsid w:val="4B46CCF4"/>
    <w:rsid w:val="4BA3B200"/>
    <w:rsid w:val="4C6B0FEC"/>
    <w:rsid w:val="4C8D07C8"/>
    <w:rsid w:val="4D44B578"/>
    <w:rsid w:val="4EF76028"/>
    <w:rsid w:val="505010FF"/>
    <w:rsid w:val="51A275C1"/>
    <w:rsid w:val="51A85F76"/>
    <w:rsid w:val="52CF27B3"/>
    <w:rsid w:val="534633A8"/>
    <w:rsid w:val="53C99B65"/>
    <w:rsid w:val="54101646"/>
    <w:rsid w:val="5445A1CC"/>
    <w:rsid w:val="54920614"/>
    <w:rsid w:val="54EFDE23"/>
    <w:rsid w:val="54F341D2"/>
    <w:rsid w:val="54FED429"/>
    <w:rsid w:val="554D794F"/>
    <w:rsid w:val="55A9D3C9"/>
    <w:rsid w:val="561763EC"/>
    <w:rsid w:val="56618179"/>
    <w:rsid w:val="567DD46A"/>
    <w:rsid w:val="56E949B0"/>
    <w:rsid w:val="57641A31"/>
    <w:rsid w:val="57B3344D"/>
    <w:rsid w:val="586B003B"/>
    <w:rsid w:val="589E426E"/>
    <w:rsid w:val="58AD01D6"/>
    <w:rsid w:val="58BA09D5"/>
    <w:rsid w:val="59B5752C"/>
    <w:rsid w:val="5A7254AE"/>
    <w:rsid w:val="5AF6CD74"/>
    <w:rsid w:val="5B381D30"/>
    <w:rsid w:val="5C9AE7A4"/>
    <w:rsid w:val="5D432D09"/>
    <w:rsid w:val="5D595280"/>
    <w:rsid w:val="5D614006"/>
    <w:rsid w:val="5DD35BB5"/>
    <w:rsid w:val="5E52CBF4"/>
    <w:rsid w:val="5E88E64F"/>
    <w:rsid w:val="5EFD1067"/>
    <w:rsid w:val="5F511D41"/>
    <w:rsid w:val="5F885473"/>
    <w:rsid w:val="5FD64814"/>
    <w:rsid w:val="6098E0C8"/>
    <w:rsid w:val="60D8EB12"/>
    <w:rsid w:val="616B62C0"/>
    <w:rsid w:val="617E9214"/>
    <w:rsid w:val="61C08711"/>
    <w:rsid w:val="62BEF9D9"/>
    <w:rsid w:val="62BFF535"/>
    <w:rsid w:val="635C5772"/>
    <w:rsid w:val="63C89404"/>
    <w:rsid w:val="63D0818A"/>
    <w:rsid w:val="63FDEEBD"/>
    <w:rsid w:val="641DC92E"/>
    <w:rsid w:val="64B717A7"/>
    <w:rsid w:val="64BD887B"/>
    <w:rsid w:val="64C892E2"/>
    <w:rsid w:val="64D576DE"/>
    <w:rsid w:val="656C51EB"/>
    <w:rsid w:val="658998C6"/>
    <w:rsid w:val="65C5890D"/>
    <w:rsid w:val="65E03E9A"/>
    <w:rsid w:val="65F96198"/>
    <w:rsid w:val="66B90830"/>
    <w:rsid w:val="67AC3219"/>
    <w:rsid w:val="67D782C2"/>
    <w:rsid w:val="68222B21"/>
    <w:rsid w:val="69D72E3F"/>
    <w:rsid w:val="69FA58B7"/>
    <w:rsid w:val="6A396261"/>
    <w:rsid w:val="6A3FC30E"/>
    <w:rsid w:val="6A6267B6"/>
    <w:rsid w:val="6A6BB01B"/>
    <w:rsid w:val="6B1377FB"/>
    <w:rsid w:val="6B49EE76"/>
    <w:rsid w:val="6B6895E5"/>
    <w:rsid w:val="6B930F2B"/>
    <w:rsid w:val="6C0607F9"/>
    <w:rsid w:val="6C4DAF1E"/>
    <w:rsid w:val="6C90D66C"/>
    <w:rsid w:val="6CBAE097"/>
    <w:rsid w:val="6CBEDA41"/>
    <w:rsid w:val="6D0339B8"/>
    <w:rsid w:val="6D189D53"/>
    <w:rsid w:val="6D7763D0"/>
    <w:rsid w:val="6DDBD07D"/>
    <w:rsid w:val="6DE40D6A"/>
    <w:rsid w:val="6EE69D32"/>
    <w:rsid w:val="6F041CB0"/>
    <w:rsid w:val="70BE38F7"/>
    <w:rsid w:val="70FC4CB3"/>
    <w:rsid w:val="7185F2D3"/>
    <w:rsid w:val="719A3BEA"/>
    <w:rsid w:val="71E24024"/>
    <w:rsid w:val="724E62A3"/>
    <w:rsid w:val="72B48863"/>
    <w:rsid w:val="73978B38"/>
    <w:rsid w:val="73E22833"/>
    <w:rsid w:val="746A8C2F"/>
    <w:rsid w:val="74AFA9CE"/>
    <w:rsid w:val="74C114D2"/>
    <w:rsid w:val="74E6A432"/>
    <w:rsid w:val="74FB5AEE"/>
    <w:rsid w:val="75335B99"/>
    <w:rsid w:val="75440804"/>
    <w:rsid w:val="763BE05C"/>
    <w:rsid w:val="76AF47DD"/>
    <w:rsid w:val="771E4616"/>
    <w:rsid w:val="77A58D86"/>
    <w:rsid w:val="78278993"/>
    <w:rsid w:val="7869AC78"/>
    <w:rsid w:val="789C4F8B"/>
    <w:rsid w:val="78EFF5E5"/>
    <w:rsid w:val="7A01C2D1"/>
    <w:rsid w:val="7A06CCBC"/>
    <w:rsid w:val="7AA9E90D"/>
    <w:rsid w:val="7B1039E3"/>
    <w:rsid w:val="7B2CD519"/>
    <w:rsid w:val="7BA29D1D"/>
    <w:rsid w:val="7BD42D05"/>
    <w:rsid w:val="7BFB106C"/>
    <w:rsid w:val="7C1A0D3F"/>
    <w:rsid w:val="7C4E49E1"/>
    <w:rsid w:val="7C7CE55D"/>
    <w:rsid w:val="7CD7822E"/>
    <w:rsid w:val="7D5E60CB"/>
    <w:rsid w:val="7D93F4CD"/>
    <w:rsid w:val="7DD617B2"/>
    <w:rsid w:val="7E84D83D"/>
    <w:rsid w:val="7EC338E6"/>
    <w:rsid w:val="7ED58DB9"/>
    <w:rsid w:val="7F102F9E"/>
    <w:rsid w:val="7F3048EA"/>
    <w:rsid w:val="7F9C153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5"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nl-BE" w:eastAsia="en-US" w:bidi="ar-SA"/>
    </w:rPr>
  </w:style>
  <w:style w:type="paragraph" w:styleId="2">
    <w:name w:val="heading 1"/>
    <w:basedOn w:val="1"/>
    <w:next w:val="1"/>
    <w:link w:val="19"/>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link w:val="1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nl-BE"/>
    </w:rPr>
  </w:style>
  <w:style w:type="paragraph" w:styleId="4">
    <w:name w:val="heading 3"/>
    <w:basedOn w:val="1"/>
    <w:next w:val="1"/>
    <w:link w:val="21"/>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semiHidden/>
    <w:unhideWhenUsed/>
    <w:qFormat/>
    <w:uiPriority w:val="99"/>
    <w:pPr>
      <w:spacing w:after="0" w:line="240" w:lineRule="auto"/>
    </w:pPr>
    <w:rPr>
      <w:rFonts w:ascii="Segoe UI" w:hAnsi="Segoe UI" w:cs="Segoe UI"/>
      <w:sz w:val="18"/>
      <w:szCs w:val="18"/>
    </w:rPr>
  </w:style>
  <w:style w:type="paragraph" w:styleId="8">
    <w:name w:val="Body Text"/>
    <w:basedOn w:val="1"/>
    <w:link w:val="24"/>
    <w:unhideWhenUsed/>
    <w:qFormat/>
    <w:uiPriority w:val="0"/>
    <w:pPr>
      <w:tabs>
        <w:tab w:val="left" w:pos="284"/>
        <w:tab w:val="left" w:pos="567"/>
        <w:tab w:val="left" w:pos="851"/>
        <w:tab w:val="left" w:pos="1134"/>
        <w:tab w:val="right" w:pos="9072"/>
      </w:tabs>
      <w:suppressAutoHyphens/>
      <w:spacing w:after="120" w:line="240" w:lineRule="auto"/>
      <w:jc w:val="both"/>
    </w:pPr>
    <w:rPr>
      <w:rFonts w:eastAsiaTheme="minorEastAsia"/>
      <w:kern w:val="24"/>
      <w:szCs w:val="20"/>
      <w:lang w:bidi="en-US"/>
    </w:rPr>
  </w:style>
  <w:style w:type="character" w:styleId="9">
    <w:name w:val="annotation reference"/>
    <w:basedOn w:val="5"/>
    <w:semiHidden/>
    <w:unhideWhenUsed/>
    <w:qFormat/>
    <w:uiPriority w:val="99"/>
    <w:rPr>
      <w:sz w:val="16"/>
      <w:szCs w:val="16"/>
    </w:rPr>
  </w:style>
  <w:style w:type="paragraph" w:styleId="10">
    <w:name w:val="annotation text"/>
    <w:basedOn w:val="1"/>
    <w:link w:val="28"/>
    <w:unhideWhenUsed/>
    <w:qFormat/>
    <w:uiPriority w:val="99"/>
    <w:pPr>
      <w:spacing w:line="240" w:lineRule="auto"/>
    </w:pPr>
    <w:rPr>
      <w:sz w:val="20"/>
      <w:szCs w:val="20"/>
    </w:rPr>
  </w:style>
  <w:style w:type="paragraph" w:styleId="11">
    <w:name w:val="annotation subject"/>
    <w:basedOn w:val="10"/>
    <w:next w:val="10"/>
    <w:link w:val="29"/>
    <w:semiHidden/>
    <w:unhideWhenUsed/>
    <w:qFormat/>
    <w:uiPriority w:val="99"/>
    <w:rPr>
      <w:b/>
      <w:bCs/>
    </w:rPr>
  </w:style>
  <w:style w:type="paragraph" w:styleId="12">
    <w:name w:val="footer"/>
    <w:basedOn w:val="1"/>
    <w:link w:val="27"/>
    <w:unhideWhenUsed/>
    <w:qFormat/>
    <w:uiPriority w:val="99"/>
    <w:pPr>
      <w:tabs>
        <w:tab w:val="center" w:pos="4536"/>
        <w:tab w:val="right" w:pos="9072"/>
      </w:tabs>
      <w:spacing w:after="0" w:line="240" w:lineRule="auto"/>
    </w:pPr>
  </w:style>
  <w:style w:type="paragraph" w:styleId="13">
    <w:name w:val="header"/>
    <w:basedOn w:val="1"/>
    <w:link w:val="26"/>
    <w:unhideWhenUsed/>
    <w:qFormat/>
    <w:uiPriority w:val="99"/>
    <w:pPr>
      <w:tabs>
        <w:tab w:val="center" w:pos="4536"/>
        <w:tab w:val="right" w:pos="9072"/>
      </w:tabs>
      <w:spacing w:after="0" w:line="240" w:lineRule="auto"/>
    </w:pPr>
  </w:style>
  <w:style w:type="character" w:styleId="14">
    <w:name w:val="Hyperlink"/>
    <w:basedOn w:val="5"/>
    <w:unhideWhenUsed/>
    <w:qFormat/>
    <w:uiPriority w:val="99"/>
    <w:rPr>
      <w:color w:val="0563C1" w:themeColor="hyperlink"/>
      <w:u w:val="single"/>
      <w14:textFill>
        <w14:solidFill>
          <w14:schemeClr w14:val="hlink"/>
        </w14:solidFill>
      </w14:textFill>
    </w:rPr>
  </w:style>
  <w:style w:type="paragraph" w:styleId="15">
    <w:name w:val="List Bullet"/>
    <w:basedOn w:val="1"/>
    <w:link w:val="23"/>
    <w:semiHidden/>
    <w:unhideWhenUsed/>
    <w:qFormat/>
    <w:uiPriority w:val="5"/>
    <w:pPr>
      <w:numPr>
        <w:ilvl w:val="0"/>
        <w:numId w:val="1"/>
      </w:numPr>
      <w:tabs>
        <w:tab w:val="left" w:pos="284"/>
        <w:tab w:val="left" w:pos="567"/>
        <w:tab w:val="left" w:pos="851"/>
        <w:tab w:val="right" w:pos="9072"/>
      </w:tabs>
      <w:spacing w:after="120" w:line="240" w:lineRule="auto"/>
      <w:ind w:left="283" w:hanging="340"/>
      <w:contextualSpacing/>
      <w:jc w:val="both"/>
    </w:pPr>
    <w:rPr>
      <w:kern w:val="24"/>
      <w:szCs w:val="20"/>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17">
    <w:name w:val="Strong"/>
    <w:basedOn w:val="5"/>
    <w:qFormat/>
    <w:uiPriority w:val="22"/>
    <w:rPr>
      <w:b/>
      <w:bCs/>
    </w:rPr>
  </w:style>
  <w:style w:type="character" w:customStyle="1" w:styleId="18">
    <w:name w:val="Kop 2 Char"/>
    <w:basedOn w:val="5"/>
    <w:link w:val="3"/>
    <w:qFormat/>
    <w:uiPriority w:val="9"/>
    <w:rPr>
      <w:rFonts w:ascii="Times New Roman" w:hAnsi="Times New Roman" w:eastAsia="Times New Roman" w:cs="Times New Roman"/>
      <w:b/>
      <w:bCs/>
      <w:sz w:val="36"/>
      <w:szCs w:val="36"/>
      <w:lang w:eastAsia="nl-BE"/>
    </w:rPr>
  </w:style>
  <w:style w:type="character" w:customStyle="1" w:styleId="19">
    <w:name w:val="Kop 1 Char"/>
    <w:basedOn w:val="5"/>
    <w:link w:val="2"/>
    <w:qFormat/>
    <w:uiPriority w:val="9"/>
    <w:rPr>
      <w:rFonts w:asciiTheme="majorHAnsi" w:hAnsiTheme="majorHAnsi" w:eastAsiaTheme="majorEastAsia" w:cstheme="majorBidi"/>
      <w:color w:val="2F5597" w:themeColor="accent1" w:themeShade="BF"/>
      <w:sz w:val="32"/>
      <w:szCs w:val="32"/>
    </w:rPr>
  </w:style>
  <w:style w:type="paragraph" w:styleId="20">
    <w:name w:val="List Paragraph"/>
    <w:basedOn w:val="1"/>
    <w:qFormat/>
    <w:uiPriority w:val="34"/>
    <w:pPr>
      <w:spacing w:after="180" w:line="336" w:lineRule="auto"/>
      <w:ind w:left="720"/>
      <w:contextualSpacing/>
    </w:pPr>
    <w:rPr>
      <w:color w:val="404040" w:themeColor="text1" w:themeTint="BF"/>
      <w:sz w:val="20"/>
      <w:szCs w:val="20"/>
      <w:lang w:val="nl-NL" w:eastAsia="nl-BE"/>
      <w14:textFill>
        <w14:solidFill>
          <w14:schemeClr w14:val="tx1">
            <w14:lumMod w14:val="75000"/>
            <w14:lumOff w14:val="25000"/>
          </w14:schemeClr>
        </w14:solidFill>
      </w14:textFill>
    </w:rPr>
  </w:style>
  <w:style w:type="character" w:customStyle="1" w:styleId="21">
    <w:name w:val="Kop 3 Char"/>
    <w:basedOn w:val="5"/>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22">
    <w:name w:val="Ballontekst Char"/>
    <w:basedOn w:val="5"/>
    <w:link w:val="7"/>
    <w:semiHidden/>
    <w:qFormat/>
    <w:uiPriority w:val="99"/>
    <w:rPr>
      <w:rFonts w:ascii="Segoe UI" w:hAnsi="Segoe UI" w:cs="Segoe UI"/>
      <w:sz w:val="18"/>
      <w:szCs w:val="18"/>
    </w:rPr>
  </w:style>
  <w:style w:type="character" w:customStyle="1" w:styleId="23">
    <w:name w:val="Lijst opsom.teken Char"/>
    <w:basedOn w:val="5"/>
    <w:link w:val="15"/>
    <w:semiHidden/>
    <w:qFormat/>
    <w:locked/>
    <w:uiPriority w:val="5"/>
    <w:rPr>
      <w:kern w:val="24"/>
      <w:szCs w:val="20"/>
    </w:rPr>
  </w:style>
  <w:style w:type="character" w:customStyle="1" w:styleId="24">
    <w:name w:val="Platte tekst Char"/>
    <w:basedOn w:val="5"/>
    <w:link w:val="8"/>
    <w:qFormat/>
    <w:uiPriority w:val="0"/>
    <w:rPr>
      <w:rFonts w:eastAsiaTheme="minorEastAsia"/>
      <w:kern w:val="24"/>
      <w:szCs w:val="20"/>
      <w:lang w:bidi="en-US"/>
    </w:rPr>
  </w:style>
  <w:style w:type="character" w:customStyle="1" w:styleId="25">
    <w:name w:val="Unresolved Mention1"/>
    <w:basedOn w:val="5"/>
    <w:semiHidden/>
    <w:unhideWhenUsed/>
    <w:qFormat/>
    <w:uiPriority w:val="99"/>
    <w:rPr>
      <w:color w:val="605E5C"/>
      <w:shd w:val="clear" w:color="auto" w:fill="E1DFDD"/>
    </w:rPr>
  </w:style>
  <w:style w:type="character" w:customStyle="1" w:styleId="26">
    <w:name w:val="Koptekst Char"/>
    <w:basedOn w:val="5"/>
    <w:link w:val="13"/>
    <w:qFormat/>
    <w:uiPriority w:val="99"/>
  </w:style>
  <w:style w:type="character" w:customStyle="1" w:styleId="27">
    <w:name w:val="Voettekst Char"/>
    <w:basedOn w:val="5"/>
    <w:link w:val="12"/>
    <w:qFormat/>
    <w:uiPriority w:val="99"/>
  </w:style>
  <w:style w:type="character" w:customStyle="1" w:styleId="28">
    <w:name w:val="Tekst opmerking Char"/>
    <w:basedOn w:val="5"/>
    <w:link w:val="10"/>
    <w:qFormat/>
    <w:uiPriority w:val="99"/>
    <w:rPr>
      <w:sz w:val="20"/>
      <w:szCs w:val="20"/>
    </w:rPr>
  </w:style>
  <w:style w:type="character" w:customStyle="1" w:styleId="29">
    <w:name w:val="Onderwerp van opmerking Char"/>
    <w:basedOn w:val="28"/>
    <w:link w:val="11"/>
    <w:semiHidden/>
    <w:qFormat/>
    <w:uiPriority w:val="99"/>
    <w:rPr>
      <w:b/>
      <w:bCs/>
      <w:sz w:val="20"/>
      <w:szCs w:val="20"/>
    </w:rPr>
  </w:style>
  <w:style w:type="character" w:customStyle="1" w:styleId="3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cc5e77-c792-4f4f-93e1-e918d9580c52">
      <Terms xmlns="http://schemas.microsoft.com/office/infopath/2007/PartnerControls"/>
    </lcf76f155ced4ddcb4097134ff3c332f>
    <TaxCatchAll xmlns="88196bfb-aa6b-4817-b49a-107f1d6558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86B52BBAC5CE4CA7977900ED1B32EB" ma:contentTypeVersion="16" ma:contentTypeDescription="Een nieuw document maken." ma:contentTypeScope="" ma:versionID="4b969dcca4d94d27a8bd81d9aef317d4">
  <xsd:schema xmlns:xsd="http://www.w3.org/2001/XMLSchema" xmlns:xs="http://www.w3.org/2001/XMLSchema" xmlns:p="http://schemas.microsoft.com/office/2006/metadata/properties" xmlns:ns2="99cc5e77-c792-4f4f-93e1-e918d9580c52" xmlns:ns3="88196bfb-aa6b-4817-b49a-107f1d65584f" targetNamespace="http://schemas.microsoft.com/office/2006/metadata/properties" ma:root="true" ma:fieldsID="67a98d58df0a1ab8e89a52317e5e6432" ns2:_="" ns3:_="">
    <xsd:import namespace="99cc5e77-c792-4f4f-93e1-e918d9580c52"/>
    <xsd:import namespace="88196bfb-aa6b-4817-b49a-107f1d6558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5e77-c792-4f4f-93e1-e918d9580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979fec8-d5bd-4f49-8de6-56f3ba8ec1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96bfb-aa6b-4817-b49a-107f1d65584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ae66dcf-ab64-4565-9d8c-ee1d4d492333}" ma:internalName="TaxCatchAll" ma:showField="CatchAllData" ma:web="88196bfb-aa6b-4817-b49a-107f1d655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80AF8-B222-4B6D-8D2C-7012D867C9BF}">
  <ds:schemaRefs/>
</ds:datastoreItem>
</file>

<file path=customXml/itemProps2.xml><?xml version="1.0" encoding="utf-8"?>
<ds:datastoreItem xmlns:ds="http://schemas.openxmlformats.org/officeDocument/2006/customXml" ds:itemID="{01661448-823F-4363-AA6A-34FEF85459C2}">
  <ds:schemaRefs/>
</ds:datastoreItem>
</file>

<file path=customXml/itemProps3.xml><?xml version="1.0" encoding="utf-8"?>
<ds:datastoreItem xmlns:ds="http://schemas.openxmlformats.org/officeDocument/2006/customXml" ds:itemID="{3D60A573-7584-4E00-8457-228AFD002904}">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2372</Words>
  <Characters>13046</Characters>
  <Lines>108</Lines>
  <Paragraphs>30</Paragraphs>
  <TotalTime>59</TotalTime>
  <ScaleCrop>false</ScaleCrop>
  <LinksUpToDate>false</LinksUpToDate>
  <CharactersWithSpaces>15388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2025-04-08T12:47:00Z</dcterms:created>
  <dc:creator>jents debruyne</dc:creator>
  <cp:keywords>, docId:38AEC10027D1B2A5008F4E925730D59D</cp:keywords>
  <cp:lastModifiedBy>jents</cp:lastModifiedBy>
  <cp:lastPrinted>2018-04-27T09:51:00Z</cp:lastPrinted>
  <dcterms:modified xsi:type="dcterms:W3CDTF">2025-09-29T09:17:12Z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0x010100F386B52BBAC5CE4CA7977900ED1B32EB</vt:lpwstr>
  </property>
  <property fmtid="{D5CDD505-2E9C-101B-9397-08002B2CF9AE}" pid="3" name="Order">
    <vt:r8>132400</vt:r8>
  </property>
  <property fmtid="{D5CDD505-2E9C-101B-9397-08002B2CF9AE}" pid="4" name="MediaServiceImageTags">
    <vt:lpwstr/>
  </property>
  <property fmtid="{D5CDD505-2E9C-101B-9397-08002B2CF9AE}" pid="5" name="KSOProductBuildVer">
    <vt:lpwstr>1033-12.2.0.22549</vt:lpwstr>
  </property>
  <property fmtid="{D5CDD505-2E9C-101B-9397-08002B2CF9AE}" pid="6" name="ICV">
    <vt:lpwstr>C9EB631C6F894A9B8F8E0B6CB1857D32_12</vt:lpwstr>
  </property>
</Properties>
</file>