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40"/>
        <w:gridCol w:w="6"/>
        <w:gridCol w:w="1804"/>
        <w:gridCol w:w="20"/>
        <w:gridCol w:w="11152"/>
        <w:gridCol w:w="2290"/>
        <w:gridCol w:w="917"/>
      </w:tblGrid>
      <w:tr w:rsidR="000063FF" w14:paraId="69EA6F71" w14:textId="77777777" w:rsidTr="000063FF">
        <w:trPr>
          <w:trHeight w:val="20"/>
        </w:trPr>
        <w:tc>
          <w:tcPr>
            <w:tcW w:w="17" w:type="dxa"/>
          </w:tcPr>
          <w:p w14:paraId="373EEE1C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1850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7"/>
            </w:tblGrid>
            <w:tr w:rsidR="00447F7B" w14:paraId="60C95763" w14:textId="77777777">
              <w:tc>
                <w:tcPr>
                  <w:tcW w:w="18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8649" w14:textId="77777777" w:rsidR="00447F7B" w:rsidRDefault="00AA26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32"/>
                    </w:rPr>
                    <w:t>Action Log</w:t>
                  </w:r>
                </w:p>
              </w:tc>
            </w:tr>
          </w:tbl>
          <w:p w14:paraId="272A6C00" w14:textId="77777777" w:rsidR="00447F7B" w:rsidRDefault="00447F7B">
            <w:pPr>
              <w:spacing w:after="0" w:line="240" w:lineRule="auto"/>
            </w:pPr>
          </w:p>
        </w:tc>
        <w:tc>
          <w:tcPr>
            <w:tcW w:w="20" w:type="dxa"/>
          </w:tcPr>
          <w:p w14:paraId="294A6B73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11152" w:type="dxa"/>
          </w:tcPr>
          <w:p w14:paraId="2708F36B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2290" w:type="dxa"/>
          </w:tcPr>
          <w:p w14:paraId="1D6F2524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91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0A4AD" w14:textId="77777777" w:rsidR="00447F7B" w:rsidRDefault="00AA265F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3C53BBD2" wp14:editId="2F149D83">
                  <wp:extent cx="582346" cy="371775"/>
                  <wp:effectExtent l="0" t="0" r="0" b="0"/>
                  <wp:docPr id="548682084" name="img3.png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682084" name="img3.png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346" cy="37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3FF" w14:paraId="4F68A8C9" w14:textId="77777777" w:rsidTr="000063FF">
        <w:trPr>
          <w:trHeight w:val="499"/>
        </w:trPr>
        <w:tc>
          <w:tcPr>
            <w:tcW w:w="17" w:type="dxa"/>
          </w:tcPr>
          <w:p w14:paraId="61C21FC9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1850" w:type="dxa"/>
            <w:gridSpan w:val="3"/>
            <w:vMerge/>
          </w:tcPr>
          <w:p w14:paraId="6F4A44C6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30346EE6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11152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52"/>
            </w:tblGrid>
            <w:tr w:rsidR="00447F7B" w14:paraId="54FB67D6" w14:textId="77777777">
              <w:trPr>
                <w:trHeight w:val="605"/>
              </w:trPr>
              <w:tc>
                <w:tcPr>
                  <w:tcW w:w="111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80"/>
                    <w:gridCol w:w="4972"/>
                  </w:tblGrid>
                  <w:tr w:rsidR="00447F7B" w14:paraId="4FFB9BE1" w14:textId="77777777">
                    <w:trPr>
                      <w:trHeight w:val="545"/>
                    </w:trPr>
                    <w:tc>
                      <w:tcPr>
                        <w:tcW w:w="61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180"/>
                        </w:tblGrid>
                        <w:tr w:rsidR="00447F7B" w14:paraId="1F6859BF" w14:textId="77777777">
                          <w:trPr>
                            <w:trHeight w:val="467"/>
                          </w:trPr>
                          <w:tc>
                            <w:tcPr>
                              <w:tcW w:w="61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F381B" w14:textId="77777777" w:rsidR="00447F7B" w:rsidRDefault="00AA265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696969"/>
                                  <w:sz w:val="28"/>
                                </w:rPr>
                                <w:t>NICE Board - Public</w:t>
                              </w:r>
                            </w:p>
                          </w:tc>
                        </w:tr>
                      </w:tbl>
                      <w:p w14:paraId="0147CA7C" w14:textId="77777777" w:rsidR="00447F7B" w:rsidRDefault="00447F7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972" w:type="dxa"/>
                      </w:tcPr>
                      <w:p w14:paraId="3A2F9F36" w14:textId="77777777" w:rsidR="00447F7B" w:rsidRDefault="00447F7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47F7B" w14:paraId="71D0B0A6" w14:textId="77777777">
                    <w:trPr>
                      <w:trHeight w:val="59"/>
                    </w:trPr>
                    <w:tc>
                      <w:tcPr>
                        <w:tcW w:w="6180" w:type="dxa"/>
                      </w:tcPr>
                      <w:p w14:paraId="0297F410" w14:textId="77777777" w:rsidR="00447F7B" w:rsidRDefault="00447F7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972" w:type="dxa"/>
                      </w:tcPr>
                      <w:p w14:paraId="1A7ABDD1" w14:textId="77777777" w:rsidR="00447F7B" w:rsidRDefault="00447F7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E15CA36" w14:textId="77777777" w:rsidR="00447F7B" w:rsidRDefault="00447F7B">
                  <w:pPr>
                    <w:spacing w:after="0" w:line="240" w:lineRule="auto"/>
                  </w:pPr>
                </w:p>
              </w:tc>
            </w:tr>
          </w:tbl>
          <w:p w14:paraId="4BCB5E13" w14:textId="77777777" w:rsidR="00447F7B" w:rsidRDefault="00447F7B">
            <w:pPr>
              <w:spacing w:after="0" w:line="240" w:lineRule="auto"/>
            </w:pPr>
          </w:p>
        </w:tc>
        <w:tc>
          <w:tcPr>
            <w:tcW w:w="2290" w:type="dxa"/>
          </w:tcPr>
          <w:p w14:paraId="53E4D6DE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917" w:type="dxa"/>
            <w:vMerge/>
          </w:tcPr>
          <w:p w14:paraId="0D13E5EF" w14:textId="77777777" w:rsidR="00447F7B" w:rsidRDefault="00447F7B">
            <w:pPr>
              <w:pStyle w:val="EmptyCellLayoutStyle"/>
              <w:spacing w:after="0" w:line="240" w:lineRule="auto"/>
            </w:pPr>
          </w:p>
        </w:tc>
      </w:tr>
      <w:tr w:rsidR="00447F7B" w14:paraId="1ABAB031" w14:textId="77777777" w:rsidTr="000063FF">
        <w:trPr>
          <w:trHeight w:val="65"/>
        </w:trPr>
        <w:tc>
          <w:tcPr>
            <w:tcW w:w="17" w:type="dxa"/>
          </w:tcPr>
          <w:p w14:paraId="7D20123D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68AB97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48B9C65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1804" w:type="dxa"/>
          </w:tcPr>
          <w:p w14:paraId="4AFB8EAE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2F9D87B2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11152" w:type="dxa"/>
            <w:vMerge/>
          </w:tcPr>
          <w:p w14:paraId="496B9360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2290" w:type="dxa"/>
          </w:tcPr>
          <w:p w14:paraId="3F01B04D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917" w:type="dxa"/>
            <w:vMerge/>
          </w:tcPr>
          <w:p w14:paraId="3ED55F6D" w14:textId="77777777" w:rsidR="00447F7B" w:rsidRDefault="00447F7B">
            <w:pPr>
              <w:pStyle w:val="EmptyCellLayoutStyle"/>
              <w:spacing w:after="0" w:line="240" w:lineRule="auto"/>
            </w:pPr>
          </w:p>
        </w:tc>
      </w:tr>
      <w:tr w:rsidR="00447F7B" w14:paraId="3E8E747D" w14:textId="77777777" w:rsidTr="000063FF">
        <w:trPr>
          <w:trHeight w:val="20"/>
        </w:trPr>
        <w:tc>
          <w:tcPr>
            <w:tcW w:w="17" w:type="dxa"/>
          </w:tcPr>
          <w:p w14:paraId="0706083E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76EE18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698D1B5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1804" w:type="dxa"/>
          </w:tcPr>
          <w:p w14:paraId="4FB1CF11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3618F7F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11152" w:type="dxa"/>
            <w:vMerge/>
          </w:tcPr>
          <w:p w14:paraId="00CAF08E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2290" w:type="dxa"/>
          </w:tcPr>
          <w:p w14:paraId="047B1CFB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917" w:type="dxa"/>
          </w:tcPr>
          <w:p w14:paraId="02136ECE" w14:textId="77777777" w:rsidR="00447F7B" w:rsidRDefault="00447F7B">
            <w:pPr>
              <w:pStyle w:val="EmptyCellLayoutStyle"/>
              <w:spacing w:after="0" w:line="240" w:lineRule="auto"/>
            </w:pPr>
          </w:p>
        </w:tc>
      </w:tr>
      <w:tr w:rsidR="00447F7B" w14:paraId="0925680D" w14:textId="77777777" w:rsidTr="000063FF">
        <w:trPr>
          <w:trHeight w:val="20"/>
        </w:trPr>
        <w:tc>
          <w:tcPr>
            <w:tcW w:w="17" w:type="dxa"/>
          </w:tcPr>
          <w:p w14:paraId="7A17BAF3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6BEBFE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64968E1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1804" w:type="dxa"/>
            <w:tcBorders>
              <w:top w:val="single" w:sz="15" w:space="0" w:color="696969"/>
            </w:tcBorders>
          </w:tcPr>
          <w:p w14:paraId="79497872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tcBorders>
              <w:top w:val="single" w:sz="15" w:space="0" w:color="696969"/>
            </w:tcBorders>
          </w:tcPr>
          <w:p w14:paraId="129E9F3C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11152" w:type="dxa"/>
            <w:vMerge/>
            <w:tcBorders>
              <w:top w:val="single" w:sz="15" w:space="0" w:color="696969"/>
            </w:tcBorders>
          </w:tcPr>
          <w:p w14:paraId="6A4F70F9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2290" w:type="dxa"/>
            <w:tcBorders>
              <w:top w:val="single" w:sz="15" w:space="0" w:color="696969"/>
            </w:tcBorders>
          </w:tcPr>
          <w:p w14:paraId="04ADF8CC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917" w:type="dxa"/>
            <w:tcBorders>
              <w:top w:val="single" w:sz="15" w:space="0" w:color="696969"/>
            </w:tcBorders>
          </w:tcPr>
          <w:p w14:paraId="212E52A6" w14:textId="77777777" w:rsidR="00447F7B" w:rsidRDefault="00447F7B">
            <w:pPr>
              <w:pStyle w:val="EmptyCellLayoutStyle"/>
              <w:spacing w:after="0" w:line="240" w:lineRule="auto"/>
            </w:pPr>
          </w:p>
        </w:tc>
      </w:tr>
      <w:tr w:rsidR="00447F7B" w14:paraId="29D40FAE" w14:textId="77777777" w:rsidTr="000063FF">
        <w:trPr>
          <w:trHeight w:val="360"/>
        </w:trPr>
        <w:tc>
          <w:tcPr>
            <w:tcW w:w="17" w:type="dxa"/>
          </w:tcPr>
          <w:p w14:paraId="7B15619B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4E81EC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4DB3C70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1804" w:type="dxa"/>
          </w:tcPr>
          <w:p w14:paraId="09AA585A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70C28FE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11152" w:type="dxa"/>
          </w:tcPr>
          <w:p w14:paraId="588D903C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2290" w:type="dxa"/>
          </w:tcPr>
          <w:p w14:paraId="49E32038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917" w:type="dxa"/>
          </w:tcPr>
          <w:p w14:paraId="2957D6B1" w14:textId="77777777" w:rsidR="00447F7B" w:rsidRDefault="00447F7B">
            <w:pPr>
              <w:pStyle w:val="EmptyCellLayoutStyle"/>
              <w:spacing w:after="0" w:line="240" w:lineRule="auto"/>
            </w:pPr>
          </w:p>
        </w:tc>
      </w:tr>
      <w:tr w:rsidR="000063FF" w14:paraId="228D3084" w14:textId="77777777" w:rsidTr="000063FF">
        <w:tc>
          <w:tcPr>
            <w:tcW w:w="17" w:type="dxa"/>
          </w:tcPr>
          <w:p w14:paraId="23CA8DBD" w14:textId="77777777" w:rsidR="000063FF" w:rsidRDefault="000063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AC45E2" w14:textId="77777777" w:rsidR="000063FF" w:rsidRDefault="000063FF">
            <w:pPr>
              <w:pStyle w:val="EmptyCellLayoutStyle"/>
              <w:spacing w:after="0" w:line="240" w:lineRule="auto"/>
            </w:pPr>
          </w:p>
        </w:tc>
        <w:tc>
          <w:tcPr>
            <w:tcW w:w="16189" w:type="dxa"/>
            <w:gridSpan w:val="6"/>
          </w:tcPr>
          <w:p w14:paraId="6801A7BF" w14:textId="77777777" w:rsidR="000063FF" w:rsidRDefault="000063FF">
            <w:pPr>
              <w:spacing w:after="0" w:line="240" w:lineRule="auto"/>
              <w:rPr>
                <w:rFonts w:ascii="Arial" w:eastAsia="Arial" w:hAnsi="Arial"/>
                <w:b/>
                <w:color w:val="000000"/>
              </w:rPr>
            </w:pPr>
          </w:p>
        </w:tc>
      </w:tr>
      <w:tr w:rsidR="000063FF" w14:paraId="49F688B2" w14:textId="77777777" w:rsidTr="000063FF">
        <w:tc>
          <w:tcPr>
            <w:tcW w:w="17" w:type="dxa"/>
          </w:tcPr>
          <w:p w14:paraId="476A55B6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66F63E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16189" w:type="dxa"/>
            <w:gridSpan w:val="6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3"/>
              <w:gridCol w:w="1308"/>
              <w:gridCol w:w="1941"/>
              <w:gridCol w:w="3795"/>
              <w:gridCol w:w="1247"/>
              <w:gridCol w:w="1642"/>
              <w:gridCol w:w="3014"/>
              <w:gridCol w:w="1232"/>
              <w:gridCol w:w="1297"/>
            </w:tblGrid>
            <w:tr w:rsidR="00447F7B" w:rsidRPr="000063FF" w14:paraId="7F32E6AA" w14:textId="77777777" w:rsidTr="00E414A1">
              <w:trPr>
                <w:trHeight w:val="517"/>
              </w:trPr>
              <w:tc>
                <w:tcPr>
                  <w:tcW w:w="703" w:type="dxa"/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7B2B" w14:textId="4B445B98" w:rsidR="00447F7B" w:rsidRPr="00F554FA" w:rsidRDefault="0063038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Action ref</w:t>
                  </w:r>
                </w:p>
              </w:tc>
              <w:tc>
                <w:tcPr>
                  <w:tcW w:w="1308" w:type="dxa"/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07DF" w14:textId="77777777" w:rsidR="00447F7B" w:rsidRPr="000063FF" w:rsidRDefault="00AA265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Date raised</w:t>
                  </w:r>
                </w:p>
              </w:tc>
              <w:tc>
                <w:tcPr>
                  <w:tcW w:w="1941" w:type="dxa"/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DB63" w14:textId="77777777" w:rsidR="00447F7B" w:rsidRPr="000063FF" w:rsidRDefault="00AA265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Agenda item / action title</w:t>
                  </w:r>
                </w:p>
              </w:tc>
              <w:tc>
                <w:tcPr>
                  <w:tcW w:w="3795" w:type="dxa"/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5BF4" w14:textId="77777777" w:rsidR="00447F7B" w:rsidRPr="000063FF" w:rsidRDefault="00AA265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Action description</w:t>
                  </w:r>
                </w:p>
              </w:tc>
              <w:tc>
                <w:tcPr>
                  <w:tcW w:w="1247" w:type="dxa"/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6432" w14:textId="77777777" w:rsidR="00447F7B" w:rsidRPr="000063FF" w:rsidRDefault="00AA265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Due Date</w:t>
                  </w:r>
                </w:p>
              </w:tc>
              <w:tc>
                <w:tcPr>
                  <w:tcW w:w="1642" w:type="dxa"/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DA16" w14:textId="77777777" w:rsidR="00447F7B" w:rsidRPr="000063FF" w:rsidRDefault="00AA265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Action owner</w:t>
                  </w:r>
                </w:p>
              </w:tc>
              <w:tc>
                <w:tcPr>
                  <w:tcW w:w="3014" w:type="dxa"/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44A6" w14:textId="77777777" w:rsidR="00447F7B" w:rsidRPr="000063FF" w:rsidRDefault="00AA265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Update comments</w:t>
                  </w:r>
                </w:p>
              </w:tc>
              <w:tc>
                <w:tcPr>
                  <w:tcW w:w="1232" w:type="dxa"/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7928" w14:textId="77777777" w:rsidR="00447F7B" w:rsidRPr="000063FF" w:rsidRDefault="00AA265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Status</w:t>
                  </w:r>
                </w:p>
              </w:tc>
              <w:tc>
                <w:tcPr>
                  <w:tcW w:w="1297" w:type="dxa"/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E041" w14:textId="77777777" w:rsidR="00447F7B" w:rsidRPr="000063FF" w:rsidRDefault="00AA265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Date closed</w:t>
                  </w:r>
                </w:p>
              </w:tc>
            </w:tr>
            <w:tr w:rsidR="00447F7B" w:rsidRPr="000063FF" w14:paraId="2619CFA3" w14:textId="77777777" w:rsidTr="00DB743E">
              <w:trPr>
                <w:trHeight w:val="552"/>
              </w:trPr>
              <w:tc>
                <w:tcPr>
                  <w:tcW w:w="703" w:type="dxa"/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7FC6" w14:textId="5D8E092D" w:rsidR="007E68D1" w:rsidRDefault="007E68D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7E68D1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25/09</w:t>
                  </w:r>
                </w:p>
                <w:p w14:paraId="5EC80BC8" w14:textId="666B1BE8" w:rsidR="00447F7B" w:rsidRPr="000063FF" w:rsidRDefault="00447F7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08" w:type="dxa"/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D398" w14:textId="77777777" w:rsidR="00447F7B" w:rsidRPr="000063FF" w:rsidRDefault="00AA265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20/05/25</w:t>
                  </w:r>
                </w:p>
              </w:tc>
              <w:tc>
                <w:tcPr>
                  <w:tcW w:w="1941" w:type="dxa"/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4330" w14:textId="77777777" w:rsidR="00447F7B" w:rsidRPr="000063FF" w:rsidRDefault="00AA265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Frequency of health inequality considerations</w:t>
                  </w:r>
                </w:p>
              </w:tc>
              <w:tc>
                <w:tcPr>
                  <w:tcW w:w="3795" w:type="dxa"/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6188" w14:textId="77777777" w:rsidR="00447F7B" w:rsidRPr="000063FF" w:rsidRDefault="00AA265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Board to be updated on the monitoring of the frequency of health inequality considerations and how these are handled by the committees.</w:t>
                  </w:r>
                </w:p>
              </w:tc>
              <w:tc>
                <w:tcPr>
                  <w:tcW w:w="1247" w:type="dxa"/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50C2" w14:textId="77777777" w:rsidR="00447F7B" w:rsidRPr="000063FF" w:rsidRDefault="00AA265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16/07/26</w:t>
                  </w:r>
                </w:p>
              </w:tc>
              <w:tc>
                <w:tcPr>
                  <w:tcW w:w="1642" w:type="dxa"/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FEB6" w14:textId="77777777" w:rsidR="00447F7B" w:rsidRPr="000063FF" w:rsidRDefault="00AA265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Helen Knight</w:t>
                  </w:r>
                </w:p>
              </w:tc>
              <w:tc>
                <w:tcPr>
                  <w:tcW w:w="3014" w:type="dxa"/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7CF6" w14:textId="77777777" w:rsidR="00447F7B" w:rsidRPr="000063FF" w:rsidRDefault="00AA265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Paper presented to the July public board meeting.</w:t>
                  </w:r>
                </w:p>
              </w:tc>
              <w:tc>
                <w:tcPr>
                  <w:tcW w:w="1232" w:type="dxa"/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B1FA" w14:textId="77777777" w:rsidR="00447F7B" w:rsidRPr="000063FF" w:rsidRDefault="00AA265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Closed</w:t>
                  </w:r>
                </w:p>
              </w:tc>
              <w:tc>
                <w:tcPr>
                  <w:tcW w:w="1297" w:type="dxa"/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77AC" w14:textId="41EB7906" w:rsidR="00447F7B" w:rsidRPr="000063FF" w:rsidRDefault="00DB743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15/07/2026</w:t>
                  </w:r>
                </w:p>
              </w:tc>
            </w:tr>
            <w:tr w:rsidR="00E414A1" w:rsidRPr="000063FF" w14:paraId="510DA714" w14:textId="77777777" w:rsidTr="00E414A1">
              <w:trPr>
                <w:trHeight w:val="552"/>
              </w:trPr>
              <w:tc>
                <w:tcPr>
                  <w:tcW w:w="70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0DD3" w14:textId="4D513B75" w:rsidR="00E414A1" w:rsidRPr="000063FF" w:rsidRDefault="003559AB" w:rsidP="00E414A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3559AB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25/13</w:t>
                  </w:r>
                </w:p>
              </w:tc>
              <w:tc>
                <w:tcPr>
                  <w:tcW w:w="130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2342" w14:textId="569B3337" w:rsidR="00E414A1" w:rsidRPr="000063FF" w:rsidRDefault="00E414A1" w:rsidP="00E414A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18/09/25</w:t>
                  </w:r>
                </w:p>
              </w:tc>
              <w:tc>
                <w:tcPr>
                  <w:tcW w:w="19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5905" w14:textId="1B08AC62" w:rsidR="00E414A1" w:rsidRPr="000063FF" w:rsidRDefault="00E414A1" w:rsidP="00E414A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NICE Advice activities</w:t>
                  </w:r>
                </w:p>
              </w:tc>
              <w:tc>
                <w:tcPr>
                  <w:tcW w:w="379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D794" w14:textId="36C9F88E" w:rsidR="00E414A1" w:rsidRPr="000063FF" w:rsidRDefault="00E414A1" w:rsidP="00E414A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NICE Advice team to present to a future Board Seminar on their activities, including their success in adopting a more commercial mindset.</w:t>
                  </w:r>
                </w:p>
              </w:tc>
              <w:tc>
                <w:tcPr>
                  <w:tcW w:w="124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1C89" w14:textId="7D5127F7" w:rsidR="00E414A1" w:rsidRPr="000063FF" w:rsidRDefault="00E414A1" w:rsidP="00E414A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30/12/99</w:t>
                  </w:r>
                </w:p>
              </w:tc>
              <w:tc>
                <w:tcPr>
                  <w:tcW w:w="16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9074" w14:textId="2D771A67" w:rsidR="00E414A1" w:rsidRPr="000063FF" w:rsidRDefault="00E414A1" w:rsidP="00E414A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Thomas Slater</w:t>
                  </w:r>
                </w:p>
              </w:tc>
              <w:tc>
                <w:tcPr>
                  <w:tcW w:w="301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A66D" w14:textId="4D3CBC01" w:rsidR="00E414A1" w:rsidRPr="000063FF" w:rsidRDefault="00E414A1" w:rsidP="00E414A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To be covered as part of a wider discussion of the commercial income strategy with the Board in the next financial year. Timing TBC.</w:t>
                  </w:r>
                </w:p>
              </w:tc>
              <w:tc>
                <w:tcPr>
                  <w:tcW w:w="12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A034" w14:textId="2E05635B" w:rsidR="00E414A1" w:rsidRPr="000063FF" w:rsidRDefault="00E414A1" w:rsidP="00E414A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Open</w:t>
                  </w:r>
                </w:p>
              </w:tc>
              <w:tc>
                <w:tcPr>
                  <w:tcW w:w="12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C75B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414A1" w:rsidRPr="000063FF" w14:paraId="5EFFB9FA" w14:textId="77777777" w:rsidTr="00E414A1">
              <w:trPr>
                <w:trHeight w:val="552"/>
              </w:trPr>
              <w:tc>
                <w:tcPr>
                  <w:tcW w:w="70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6500" w14:textId="0DA955C8" w:rsidR="00E414A1" w:rsidRPr="000063FF" w:rsidRDefault="003559AB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559AB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25/26</w:t>
                  </w:r>
                </w:p>
              </w:tc>
              <w:tc>
                <w:tcPr>
                  <w:tcW w:w="130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8119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10/12/25</w:t>
                  </w:r>
                </w:p>
              </w:tc>
              <w:tc>
                <w:tcPr>
                  <w:tcW w:w="19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7C96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Annual equality report</w:t>
                  </w:r>
                </w:p>
              </w:tc>
              <w:tc>
                <w:tcPr>
                  <w:tcW w:w="379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84E5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Next annual equality report to include information on the diversity of the lay members.</w:t>
                  </w:r>
                </w:p>
              </w:tc>
              <w:tc>
                <w:tcPr>
                  <w:tcW w:w="124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2F84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16/09/26</w:t>
                  </w:r>
                </w:p>
              </w:tc>
              <w:tc>
                <w:tcPr>
                  <w:tcW w:w="16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AB33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Clare Morgan</w:t>
                  </w: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br/>
                    <w:t>Helen Williams</w:t>
                  </w:r>
                </w:p>
              </w:tc>
              <w:tc>
                <w:tcPr>
                  <w:tcW w:w="301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B1F9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To be included in the next report.</w:t>
                  </w:r>
                </w:p>
              </w:tc>
              <w:tc>
                <w:tcPr>
                  <w:tcW w:w="12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6D68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Open</w:t>
                  </w:r>
                </w:p>
              </w:tc>
              <w:tc>
                <w:tcPr>
                  <w:tcW w:w="12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015A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414A1" w:rsidRPr="000063FF" w14:paraId="3257ACBC" w14:textId="77777777" w:rsidTr="00E414A1">
              <w:trPr>
                <w:trHeight w:val="552"/>
              </w:trPr>
              <w:tc>
                <w:tcPr>
                  <w:tcW w:w="70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42CB" w14:textId="526D7ADA" w:rsidR="00E414A1" w:rsidRPr="000063FF" w:rsidRDefault="003559AB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559AB">
                    <w:rPr>
                      <w:rFonts w:ascii="Arial" w:hAnsi="Arial" w:cs="Arial"/>
                      <w:sz w:val="18"/>
                      <w:szCs w:val="18"/>
                    </w:rPr>
                    <w:t>26/02</w:t>
                  </w:r>
                </w:p>
              </w:tc>
              <w:tc>
                <w:tcPr>
                  <w:tcW w:w="130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4760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18/03/26</w:t>
                  </w:r>
                </w:p>
              </w:tc>
              <w:tc>
                <w:tcPr>
                  <w:tcW w:w="19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21B7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Innovation scorecard uptake analysis review</w:t>
                  </w:r>
                </w:p>
              </w:tc>
              <w:tc>
                <w:tcPr>
                  <w:tcW w:w="379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3C46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Board to review analysis of factors driving the increase in innovation scorecard medicines showing improved use to identify lessons learnt, and consider analysis of underpinning sub-measures to understand where uptake has increased and any variation</w:t>
                  </w:r>
                </w:p>
              </w:tc>
              <w:tc>
                <w:tcPr>
                  <w:tcW w:w="124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3E9E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28/08/26</w:t>
                  </w:r>
                </w:p>
              </w:tc>
              <w:tc>
                <w:tcPr>
                  <w:tcW w:w="16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1089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Clare Morgan</w:t>
                  </w:r>
                </w:p>
              </w:tc>
              <w:tc>
                <w:tcPr>
                  <w:tcW w:w="301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2925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Annual data is being </w:t>
                  </w:r>
                  <w:proofErr w:type="gramStart"/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analysed</w:t>
                  </w:r>
                  <w:proofErr w:type="gramEnd"/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and a summary will be provided to Board members.</w:t>
                  </w:r>
                </w:p>
              </w:tc>
              <w:tc>
                <w:tcPr>
                  <w:tcW w:w="12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2DF5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Open</w:t>
                  </w:r>
                </w:p>
              </w:tc>
              <w:tc>
                <w:tcPr>
                  <w:tcW w:w="12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EEB6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414A1" w:rsidRPr="000063FF" w14:paraId="5F590D31" w14:textId="77777777" w:rsidTr="00DB743E">
              <w:trPr>
                <w:trHeight w:val="552"/>
              </w:trPr>
              <w:tc>
                <w:tcPr>
                  <w:tcW w:w="703" w:type="dxa"/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825C" w14:textId="075D612E" w:rsidR="00E414A1" w:rsidRPr="000063FF" w:rsidRDefault="00A316C0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316C0">
                    <w:rPr>
                      <w:rFonts w:ascii="Arial" w:hAnsi="Arial" w:cs="Arial"/>
                      <w:sz w:val="18"/>
                      <w:szCs w:val="18"/>
                    </w:rPr>
                    <w:t>26/04</w:t>
                  </w:r>
                </w:p>
              </w:tc>
              <w:tc>
                <w:tcPr>
                  <w:tcW w:w="1308" w:type="dxa"/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EA00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19/05/26</w:t>
                  </w:r>
                </w:p>
              </w:tc>
              <w:tc>
                <w:tcPr>
                  <w:tcW w:w="1941" w:type="dxa"/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CF07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KPI review</w:t>
                  </w:r>
                </w:p>
              </w:tc>
              <w:tc>
                <w:tcPr>
                  <w:tcW w:w="3795" w:type="dxa"/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0EE5" w14:textId="67BA31D4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Time series/run charts showing trends over time to </w:t>
                  </w:r>
                  <w:proofErr w:type="spellStart"/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to</w:t>
                  </w:r>
                  <w:proofErr w:type="spellEnd"/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be provided to include a more representative view of performance over time, especially when the 2026/27 target appears below the 2025/26 out-turn. Definitions to be provided for the KPIs, with the RAG ratings to refer to predicted year-end performance rather than current performance to signal problems earlier.</w:t>
                  </w:r>
                </w:p>
              </w:tc>
              <w:tc>
                <w:tcPr>
                  <w:tcW w:w="1247" w:type="dxa"/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2861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15/07/26</w:t>
                  </w:r>
                </w:p>
              </w:tc>
              <w:tc>
                <w:tcPr>
                  <w:tcW w:w="1642" w:type="dxa"/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EC21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Jonathan Benger</w:t>
                  </w:r>
                </w:p>
              </w:tc>
              <w:tc>
                <w:tcPr>
                  <w:tcW w:w="3014" w:type="dxa"/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6E20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This had been addressed in the integrated performance report to the July Board.</w:t>
                  </w:r>
                </w:p>
              </w:tc>
              <w:tc>
                <w:tcPr>
                  <w:tcW w:w="1232" w:type="dxa"/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AE0C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Closed</w:t>
                  </w:r>
                </w:p>
              </w:tc>
              <w:tc>
                <w:tcPr>
                  <w:tcW w:w="1297" w:type="dxa"/>
                  <w:shd w:val="clear" w:color="auto" w:fill="D9D9D9" w:themeFill="background1" w:themeFillShade="D9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D5D4" w14:textId="644401E0" w:rsidR="00E414A1" w:rsidRPr="000063FF" w:rsidRDefault="00DB743E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15/07/2026</w:t>
                  </w:r>
                </w:p>
              </w:tc>
            </w:tr>
            <w:tr w:rsidR="00E414A1" w:rsidRPr="000063FF" w14:paraId="76CCACAD" w14:textId="77777777" w:rsidTr="00E414A1">
              <w:trPr>
                <w:trHeight w:val="552"/>
              </w:trPr>
              <w:tc>
                <w:tcPr>
                  <w:tcW w:w="70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EF35" w14:textId="3CB2047A" w:rsidR="00E414A1" w:rsidRPr="000063FF" w:rsidRDefault="002578D6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8D6">
                    <w:rPr>
                      <w:rFonts w:ascii="Arial" w:hAnsi="Arial" w:cs="Arial"/>
                      <w:sz w:val="18"/>
                      <w:szCs w:val="18"/>
                    </w:rPr>
                    <w:t>26/05</w:t>
                  </w:r>
                </w:p>
              </w:tc>
              <w:tc>
                <w:tcPr>
                  <w:tcW w:w="130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BF5D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19/05/26</w:t>
                  </w:r>
                </w:p>
              </w:tc>
              <w:tc>
                <w:tcPr>
                  <w:tcW w:w="19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170C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Prioritisation reporting and process review update</w:t>
                  </w:r>
                </w:p>
              </w:tc>
              <w:tc>
                <w:tcPr>
                  <w:tcW w:w="379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ED0B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Future prioritisation reports to include information whether there have been any further instances where potential referral to the technology appraisal programme has been affected by an NHS England commissioning policy </w:t>
                  </w:r>
                  <w:proofErr w:type="gramStart"/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and also</w:t>
                  </w:r>
                  <w:proofErr w:type="gramEnd"/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information on the outcome of the review of the prioritisation process undertaken by Adrian Hayter when he starts as NICE’s Chief Medical Officer.</w:t>
                  </w:r>
                </w:p>
              </w:tc>
              <w:tc>
                <w:tcPr>
                  <w:tcW w:w="124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95FD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16/12/26</w:t>
                  </w:r>
                </w:p>
              </w:tc>
              <w:tc>
                <w:tcPr>
                  <w:tcW w:w="16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E054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Adrian Hayter</w:t>
                  </w:r>
                </w:p>
              </w:tc>
              <w:tc>
                <w:tcPr>
                  <w:tcW w:w="301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D30D" w14:textId="700C4DE8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To be addressed in the next report.</w:t>
                  </w:r>
                </w:p>
              </w:tc>
              <w:tc>
                <w:tcPr>
                  <w:tcW w:w="12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8013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3FF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Open</w:t>
                  </w:r>
                </w:p>
              </w:tc>
              <w:tc>
                <w:tcPr>
                  <w:tcW w:w="12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3764" w14:textId="77777777" w:rsidR="00E414A1" w:rsidRPr="000063FF" w:rsidRDefault="00E414A1" w:rsidP="00E414A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5094F47" w14:textId="77777777" w:rsidR="00447F7B" w:rsidRDefault="00447F7B">
            <w:pPr>
              <w:spacing w:after="0" w:line="240" w:lineRule="auto"/>
            </w:pPr>
          </w:p>
        </w:tc>
      </w:tr>
      <w:tr w:rsidR="00447F7B" w14:paraId="6C3F8B0C" w14:textId="77777777" w:rsidTr="000063FF">
        <w:trPr>
          <w:trHeight w:val="324"/>
        </w:trPr>
        <w:tc>
          <w:tcPr>
            <w:tcW w:w="17" w:type="dxa"/>
          </w:tcPr>
          <w:p w14:paraId="11E6DFD2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2535E2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B90FA96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1804" w:type="dxa"/>
          </w:tcPr>
          <w:p w14:paraId="33EA4461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3D4E08B1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11152" w:type="dxa"/>
          </w:tcPr>
          <w:p w14:paraId="75B044C4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2290" w:type="dxa"/>
          </w:tcPr>
          <w:p w14:paraId="064B0493" w14:textId="77777777" w:rsidR="00447F7B" w:rsidRDefault="00447F7B">
            <w:pPr>
              <w:pStyle w:val="EmptyCellLayoutStyle"/>
              <w:spacing w:after="0" w:line="240" w:lineRule="auto"/>
            </w:pPr>
          </w:p>
        </w:tc>
        <w:tc>
          <w:tcPr>
            <w:tcW w:w="917" w:type="dxa"/>
          </w:tcPr>
          <w:p w14:paraId="06FB2823" w14:textId="77777777" w:rsidR="00447F7B" w:rsidRDefault="00447F7B">
            <w:pPr>
              <w:pStyle w:val="EmptyCellLayoutStyle"/>
              <w:spacing w:after="0" w:line="240" w:lineRule="auto"/>
            </w:pPr>
          </w:p>
        </w:tc>
      </w:tr>
    </w:tbl>
    <w:p w14:paraId="5CC63E5F" w14:textId="77777777" w:rsidR="00447F7B" w:rsidRDefault="00447F7B">
      <w:pPr>
        <w:spacing w:after="0" w:line="240" w:lineRule="auto"/>
      </w:pPr>
    </w:p>
    <w:sectPr w:rsidR="00447F7B">
      <w:footerReference w:type="default" r:id="rId8"/>
      <w:pgSz w:w="16837" w:h="11905" w:orient="landscape"/>
      <w:pgMar w:top="283" w:right="283" w:bottom="533" w:left="283" w:header="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870A0" w14:textId="77777777" w:rsidR="00F93A25" w:rsidRDefault="00F93A25">
      <w:pPr>
        <w:spacing w:after="0" w:line="240" w:lineRule="auto"/>
      </w:pPr>
      <w:r>
        <w:separator/>
      </w:r>
    </w:p>
  </w:endnote>
  <w:endnote w:type="continuationSeparator" w:id="0">
    <w:p w14:paraId="0A8C23D0" w14:textId="77777777" w:rsidR="00F93A25" w:rsidRDefault="00F93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18"/>
      <w:gridCol w:w="6834"/>
      <w:gridCol w:w="4892"/>
    </w:tblGrid>
    <w:tr w:rsidR="00447F7B" w14:paraId="2AA3D487" w14:textId="77777777">
      <w:tc>
        <w:tcPr>
          <w:tcW w:w="451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518"/>
          </w:tblGrid>
          <w:tr w:rsidR="00447F7B" w14:paraId="6EC95F8A" w14:textId="77777777">
            <w:trPr>
              <w:trHeight w:val="285"/>
            </w:trPr>
            <w:tc>
              <w:tcPr>
                <w:tcW w:w="451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bottom"/>
              </w:tcPr>
              <w:p w14:paraId="461D5818" w14:textId="77777777" w:rsidR="00447F7B" w:rsidRDefault="00AA265F">
                <w:pPr>
                  <w:spacing w:after="0" w:line="240" w:lineRule="auto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Produced by: NICE Delivery Unit</w:t>
                </w:r>
              </w:p>
            </w:tc>
          </w:tr>
        </w:tbl>
        <w:p w14:paraId="3E6334A2" w14:textId="77777777" w:rsidR="00447F7B" w:rsidRDefault="00447F7B">
          <w:pPr>
            <w:spacing w:after="0" w:line="240" w:lineRule="auto"/>
          </w:pPr>
        </w:p>
      </w:tc>
      <w:tc>
        <w:tcPr>
          <w:tcW w:w="6834" w:type="dxa"/>
        </w:tcPr>
        <w:p w14:paraId="7EE6FC4C" w14:textId="77777777" w:rsidR="00447F7B" w:rsidRDefault="00447F7B">
          <w:pPr>
            <w:pStyle w:val="EmptyCellLayoutStyle"/>
            <w:spacing w:after="0" w:line="240" w:lineRule="auto"/>
          </w:pPr>
        </w:p>
      </w:tc>
      <w:tc>
        <w:tcPr>
          <w:tcW w:w="489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892"/>
          </w:tblGrid>
          <w:tr w:rsidR="00447F7B" w14:paraId="3DEE953E" w14:textId="77777777">
            <w:trPr>
              <w:trHeight w:val="285"/>
            </w:trPr>
            <w:tc>
              <w:tcPr>
                <w:tcW w:w="489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bottom"/>
              </w:tcPr>
              <w:p w14:paraId="7E69DA74" w14:textId="77777777" w:rsidR="00447F7B" w:rsidRDefault="00AA265F">
                <w:pPr>
                  <w:spacing w:after="0" w:line="240" w:lineRule="auto"/>
                  <w:jc w:val="right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Data refreshed: 07/07/2026 00:08:34</w:t>
                </w:r>
              </w:p>
            </w:tc>
          </w:tr>
        </w:tbl>
        <w:p w14:paraId="04E0442B" w14:textId="77777777" w:rsidR="00447F7B" w:rsidRDefault="00447F7B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59110" w14:textId="77777777" w:rsidR="00F93A25" w:rsidRDefault="00F93A25">
      <w:pPr>
        <w:spacing w:after="0" w:line="240" w:lineRule="auto"/>
      </w:pPr>
      <w:r>
        <w:separator/>
      </w:r>
    </w:p>
  </w:footnote>
  <w:footnote w:type="continuationSeparator" w:id="0">
    <w:p w14:paraId="2E3F47BE" w14:textId="77777777" w:rsidR="00F93A25" w:rsidRDefault="00F93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88023403">
    <w:abstractNumId w:val="0"/>
  </w:num>
  <w:num w:numId="2" w16cid:durableId="37047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7B"/>
    <w:rsid w:val="000063FF"/>
    <w:rsid w:val="002578D6"/>
    <w:rsid w:val="0029406A"/>
    <w:rsid w:val="00333AF3"/>
    <w:rsid w:val="003559AB"/>
    <w:rsid w:val="0040606F"/>
    <w:rsid w:val="00427665"/>
    <w:rsid w:val="00441887"/>
    <w:rsid w:val="00447F7B"/>
    <w:rsid w:val="004A7EB9"/>
    <w:rsid w:val="005616A4"/>
    <w:rsid w:val="00597864"/>
    <w:rsid w:val="005D1482"/>
    <w:rsid w:val="0063038F"/>
    <w:rsid w:val="0065252B"/>
    <w:rsid w:val="006D339D"/>
    <w:rsid w:val="007345C7"/>
    <w:rsid w:val="007E68D1"/>
    <w:rsid w:val="0092739B"/>
    <w:rsid w:val="009C06E9"/>
    <w:rsid w:val="00A11851"/>
    <w:rsid w:val="00A316C0"/>
    <w:rsid w:val="00A9013D"/>
    <w:rsid w:val="00AA265F"/>
    <w:rsid w:val="00B25DBA"/>
    <w:rsid w:val="00B923C3"/>
    <w:rsid w:val="00DB743E"/>
    <w:rsid w:val="00E126E8"/>
    <w:rsid w:val="00E414A1"/>
    <w:rsid w:val="00E52B2D"/>
    <w:rsid w:val="00EF6011"/>
    <w:rsid w:val="00F02D72"/>
    <w:rsid w:val="00F12AF2"/>
    <w:rsid w:val="00F554FA"/>
    <w:rsid w:val="00F9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E4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333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AF3"/>
  </w:style>
  <w:style w:type="paragraph" w:styleId="Footer">
    <w:name w:val="footer"/>
    <w:basedOn w:val="Normal"/>
    <w:link w:val="FooterChar"/>
    <w:uiPriority w:val="99"/>
    <w:unhideWhenUsed/>
    <w:rsid w:val="00333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2124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2026-07-09T08:45:00Z</dcterms:created>
  <dcterms:modified xsi:type="dcterms:W3CDTF">2026-07-09T08:46:00Z</dcterms:modified>
</cp:coreProperties>
</file>