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7E62D" w14:textId="44C41024" w:rsidR="00057044" w:rsidRPr="00E87473" w:rsidRDefault="00057044" w:rsidP="003D3B28">
      <w:pPr>
        <w:pStyle w:val="Title1"/>
      </w:pPr>
      <w:r w:rsidRPr="00E87473">
        <w:t xml:space="preserve">Board meeting </w:t>
      </w:r>
    </w:p>
    <w:p w14:paraId="0A2605BF" w14:textId="6C9C853A" w:rsidR="004B4705" w:rsidRPr="00E87473" w:rsidRDefault="00F53E4B" w:rsidP="003D3B28">
      <w:pPr>
        <w:pStyle w:val="Title20"/>
      </w:pPr>
      <w:r w:rsidRPr="00E87473">
        <w:t>18 March 2026</w:t>
      </w:r>
    </w:p>
    <w:p w14:paraId="0ACCA21B" w14:textId="0BA1393A" w:rsidR="00F53E4B" w:rsidRPr="00E87473" w:rsidRDefault="00F53E4B" w:rsidP="00F53E4B">
      <w:pPr>
        <w:pStyle w:val="Heading1boardreport"/>
        <w:jc w:val="center"/>
        <w:rPr>
          <w:kern w:val="28"/>
          <w:sz w:val="40"/>
        </w:rPr>
      </w:pPr>
      <w:r w:rsidRPr="00E87473">
        <w:rPr>
          <w:kern w:val="28"/>
          <w:sz w:val="40"/>
        </w:rPr>
        <w:t xml:space="preserve">Equality, Diversity and Inclusion </w:t>
      </w:r>
      <w:r w:rsidR="00B92CFF" w:rsidRPr="00E87473">
        <w:rPr>
          <w:kern w:val="28"/>
          <w:sz w:val="40"/>
        </w:rPr>
        <w:t xml:space="preserve">(EDI) </w:t>
      </w:r>
      <w:r w:rsidRPr="00E87473">
        <w:rPr>
          <w:kern w:val="28"/>
          <w:sz w:val="40"/>
        </w:rPr>
        <w:t>spend 2026/2027</w:t>
      </w:r>
    </w:p>
    <w:p w14:paraId="60B0DDE7" w14:textId="67142497" w:rsidR="009B1D56" w:rsidRPr="00E87473" w:rsidRDefault="009B1D56" w:rsidP="003D3B28">
      <w:pPr>
        <w:pStyle w:val="Heading1boardreport"/>
      </w:pPr>
      <w:r w:rsidRPr="00E87473">
        <w:t>Purpose of paper</w:t>
      </w:r>
    </w:p>
    <w:p w14:paraId="7C3DD2BD" w14:textId="57D88B7E" w:rsidR="009B1D56" w:rsidRPr="00E87473" w:rsidRDefault="00F53E4B" w:rsidP="00314463">
      <w:pPr>
        <w:pStyle w:val="NICEnormal"/>
      </w:pPr>
      <w:r w:rsidRPr="00E87473">
        <w:t>For approval</w:t>
      </w:r>
    </w:p>
    <w:p w14:paraId="6ACA851C" w14:textId="77777777" w:rsidR="009B1D56" w:rsidRPr="00E87473" w:rsidRDefault="009B1D56" w:rsidP="003D3B28">
      <w:pPr>
        <w:pStyle w:val="Heading1boardreport"/>
      </w:pPr>
      <w:r w:rsidRPr="00E87473">
        <w:t>Board action required</w:t>
      </w:r>
    </w:p>
    <w:p w14:paraId="5C5C2D30" w14:textId="77777777" w:rsidR="00F53E4B" w:rsidRPr="00E87473" w:rsidRDefault="00F53E4B" w:rsidP="00F53E4B">
      <w:pPr>
        <w:pStyle w:val="Heading1boardreport"/>
        <w:rPr>
          <w:rFonts w:cs="Times New Roman"/>
          <w:b w:val="0"/>
          <w:bCs w:val="0"/>
          <w:kern w:val="0"/>
          <w:sz w:val="24"/>
          <w:szCs w:val="24"/>
        </w:rPr>
      </w:pPr>
      <w:r w:rsidRPr="00E87473">
        <w:rPr>
          <w:rFonts w:cs="Times New Roman"/>
          <w:b w:val="0"/>
          <w:bCs w:val="0"/>
          <w:kern w:val="0"/>
          <w:sz w:val="24"/>
          <w:szCs w:val="24"/>
        </w:rPr>
        <w:t>The Board is asked to:</w:t>
      </w:r>
    </w:p>
    <w:p w14:paraId="573E6F84" w14:textId="092EF46B" w:rsidR="00F53E4B" w:rsidRPr="00E87473" w:rsidRDefault="00F53E4B" w:rsidP="00314463">
      <w:pPr>
        <w:pStyle w:val="Paragraph"/>
        <w:spacing w:before="240" w:after="120" w:line="360" w:lineRule="auto"/>
        <w:ind w:hanging="357"/>
        <w:rPr>
          <w:noProof w:val="0"/>
        </w:rPr>
      </w:pPr>
      <w:r w:rsidRPr="00E87473">
        <w:rPr>
          <w:noProof w:val="0"/>
        </w:rPr>
        <w:t>Note the Department of Health and Social Care spend control framework for external EDI activity.</w:t>
      </w:r>
    </w:p>
    <w:p w14:paraId="1148F612" w14:textId="2570FCA0" w:rsidR="00F53E4B" w:rsidRPr="00E87473" w:rsidRDefault="00F53E4B" w:rsidP="00314463">
      <w:pPr>
        <w:pStyle w:val="Paragraph"/>
        <w:spacing w:before="240" w:after="120" w:line="360" w:lineRule="auto"/>
        <w:ind w:hanging="357"/>
        <w:rPr>
          <w:noProof w:val="0"/>
        </w:rPr>
      </w:pPr>
      <w:r w:rsidRPr="00E87473">
        <w:rPr>
          <w:noProof w:val="0"/>
        </w:rPr>
        <w:t xml:space="preserve">Approve external EDI spend in 2026–27 limited to: </w:t>
      </w:r>
    </w:p>
    <w:p w14:paraId="3714BF38" w14:textId="57147FB5" w:rsidR="00F53E4B" w:rsidRPr="00E87473" w:rsidRDefault="00F53E4B" w:rsidP="00314463">
      <w:pPr>
        <w:pStyle w:val="Paragraph"/>
        <w:numPr>
          <w:ilvl w:val="1"/>
          <w:numId w:val="25"/>
        </w:numPr>
        <w:spacing w:before="240" w:after="120" w:line="360" w:lineRule="auto"/>
        <w:ind w:hanging="357"/>
        <w:rPr>
          <w:noProof w:val="0"/>
        </w:rPr>
      </w:pPr>
      <w:r w:rsidRPr="00E87473">
        <w:rPr>
          <w:noProof w:val="0"/>
        </w:rPr>
        <w:t>Corporate affiliation with LGBT Foundation (annual, reviewable).</w:t>
      </w:r>
    </w:p>
    <w:p w14:paraId="31F8A767" w14:textId="487417DF" w:rsidR="00F53E4B" w:rsidRPr="00E87473" w:rsidRDefault="00F53E4B" w:rsidP="00314463">
      <w:pPr>
        <w:pStyle w:val="Paragraph"/>
        <w:numPr>
          <w:ilvl w:val="1"/>
          <w:numId w:val="25"/>
        </w:numPr>
        <w:spacing w:before="240" w:after="120" w:line="360" w:lineRule="auto"/>
        <w:ind w:hanging="357"/>
        <w:rPr>
          <w:noProof w:val="0"/>
        </w:rPr>
      </w:pPr>
      <w:r w:rsidRPr="00E87473">
        <w:rPr>
          <w:noProof w:val="0"/>
        </w:rPr>
        <w:t>£10,000 to support staff network activity.</w:t>
      </w:r>
    </w:p>
    <w:p w14:paraId="3BC38805" w14:textId="3FFA372F" w:rsidR="00F53E4B" w:rsidRPr="00E87473" w:rsidRDefault="00F53E4B" w:rsidP="00314463">
      <w:pPr>
        <w:pStyle w:val="Paragraph"/>
        <w:spacing w:before="240" w:after="120" w:line="360" w:lineRule="auto"/>
        <w:ind w:hanging="357"/>
        <w:rPr>
          <w:b/>
          <w:bCs/>
          <w:noProof w:val="0"/>
        </w:rPr>
      </w:pPr>
      <w:r w:rsidRPr="00E87473">
        <w:rPr>
          <w:noProof w:val="0"/>
        </w:rPr>
        <w:t xml:space="preserve">Agree that any future external EDI </w:t>
      </w:r>
      <w:proofErr w:type="gramStart"/>
      <w:r w:rsidRPr="00E87473">
        <w:rPr>
          <w:noProof w:val="0"/>
        </w:rPr>
        <w:t>spend</w:t>
      </w:r>
      <w:proofErr w:type="gramEnd"/>
      <w:r w:rsidRPr="00E87473">
        <w:rPr>
          <w:noProof w:val="0"/>
        </w:rPr>
        <w:t xml:space="preserve"> or additional affiliations will require further approval.</w:t>
      </w:r>
    </w:p>
    <w:p w14:paraId="11707FDF" w14:textId="052A1DBD" w:rsidR="009B1D56" w:rsidRPr="00E87473" w:rsidRDefault="009B1D56" w:rsidP="00F53E4B">
      <w:pPr>
        <w:pStyle w:val="Heading1boardreport"/>
      </w:pPr>
      <w:proofErr w:type="gramStart"/>
      <w:r w:rsidRPr="00E87473">
        <w:t>Brief summary</w:t>
      </w:r>
      <w:proofErr w:type="gramEnd"/>
    </w:p>
    <w:p w14:paraId="68F4D237" w14:textId="36AA1E3A" w:rsidR="00F53E4B" w:rsidRPr="00E87473" w:rsidRDefault="00F53E4B" w:rsidP="00F53E4B">
      <w:pPr>
        <w:pStyle w:val="Heading1boardreport"/>
        <w:rPr>
          <w:rFonts w:cs="Times New Roman"/>
          <w:b w:val="0"/>
          <w:bCs w:val="0"/>
          <w:kern w:val="0"/>
          <w:sz w:val="24"/>
          <w:szCs w:val="24"/>
        </w:rPr>
      </w:pPr>
      <w:r w:rsidRPr="00E87473">
        <w:rPr>
          <w:rFonts w:cs="Times New Roman"/>
          <w:b w:val="0"/>
          <w:bCs w:val="0"/>
          <w:kern w:val="0"/>
          <w:sz w:val="24"/>
          <w:szCs w:val="24"/>
        </w:rPr>
        <w:t>This paper seeks Board approval for a focused and proportionate programme of external Equality, Diversity and Inclusion (EDI) spend in 2026–27. The paper recommends proceeding with (1) a one</w:t>
      </w:r>
      <w:r w:rsidRPr="00E87473">
        <w:rPr>
          <w:rFonts w:ascii="Cambria Math" w:hAnsi="Cambria Math" w:cs="Cambria Math"/>
          <w:b w:val="0"/>
          <w:bCs w:val="0"/>
          <w:kern w:val="0"/>
          <w:sz w:val="24"/>
          <w:szCs w:val="24"/>
        </w:rPr>
        <w:t>‑</w:t>
      </w:r>
      <w:r w:rsidRPr="00E87473">
        <w:rPr>
          <w:rFonts w:cs="Times New Roman"/>
          <w:b w:val="0"/>
          <w:bCs w:val="0"/>
          <w:kern w:val="0"/>
          <w:sz w:val="24"/>
          <w:szCs w:val="24"/>
        </w:rPr>
        <w:t xml:space="preserve">year initial, reviewable corporate affiliation with LGBT Foundation and (2) a </w:t>
      </w:r>
      <w:r w:rsidRPr="00E87473">
        <w:rPr>
          <w:b w:val="0"/>
          <w:bCs w:val="0"/>
          <w:kern w:val="0"/>
          <w:sz w:val="24"/>
          <w:szCs w:val="24"/>
        </w:rPr>
        <w:t>£</w:t>
      </w:r>
      <w:r w:rsidRPr="00E87473">
        <w:rPr>
          <w:rFonts w:cs="Times New Roman"/>
          <w:b w:val="0"/>
          <w:bCs w:val="0"/>
          <w:kern w:val="0"/>
          <w:sz w:val="24"/>
          <w:szCs w:val="24"/>
        </w:rPr>
        <w:t>10,000 central budget to support staff networks.</w:t>
      </w:r>
    </w:p>
    <w:p w14:paraId="0A058E85" w14:textId="77777777" w:rsidR="00F53E4B" w:rsidRPr="00E87473" w:rsidRDefault="00F53E4B" w:rsidP="00F53E4B">
      <w:pPr>
        <w:pStyle w:val="Heading1boardreport"/>
        <w:rPr>
          <w:rFonts w:cs="Times New Roman"/>
          <w:b w:val="0"/>
          <w:bCs w:val="0"/>
          <w:kern w:val="0"/>
          <w:sz w:val="24"/>
          <w:szCs w:val="24"/>
        </w:rPr>
      </w:pPr>
      <w:r w:rsidRPr="00E87473">
        <w:rPr>
          <w:rFonts w:cs="Times New Roman"/>
          <w:b w:val="0"/>
          <w:bCs w:val="0"/>
          <w:kern w:val="0"/>
          <w:sz w:val="24"/>
          <w:szCs w:val="24"/>
        </w:rPr>
        <w:t xml:space="preserve">The proposals respond directly to colleague feedback, particularly from LGBTQ+ colleagues, align with NICE’s EDI Roadmap and People Strategy, and sit within the </w:t>
      </w:r>
      <w:r w:rsidRPr="00E87473">
        <w:rPr>
          <w:rFonts w:cs="Times New Roman"/>
          <w:b w:val="0"/>
          <w:bCs w:val="0"/>
          <w:kern w:val="0"/>
          <w:sz w:val="24"/>
          <w:szCs w:val="24"/>
        </w:rPr>
        <w:lastRenderedPageBreak/>
        <w:t xml:space="preserve">Department of Health and Social Care (DHSC) spend control framework. No other external EDI spend is proposed </w:t>
      </w:r>
      <w:proofErr w:type="gramStart"/>
      <w:r w:rsidRPr="00E87473">
        <w:rPr>
          <w:rFonts w:cs="Times New Roman"/>
          <w:b w:val="0"/>
          <w:bCs w:val="0"/>
          <w:kern w:val="0"/>
          <w:sz w:val="24"/>
          <w:szCs w:val="24"/>
        </w:rPr>
        <w:t>at this time</w:t>
      </w:r>
      <w:proofErr w:type="gramEnd"/>
      <w:r w:rsidRPr="00E87473">
        <w:rPr>
          <w:rFonts w:cs="Times New Roman"/>
          <w:b w:val="0"/>
          <w:bCs w:val="0"/>
          <w:kern w:val="0"/>
          <w:sz w:val="24"/>
          <w:szCs w:val="24"/>
        </w:rPr>
        <w:t>.</w:t>
      </w:r>
    </w:p>
    <w:p w14:paraId="56B28451" w14:textId="37566FA3" w:rsidR="009B1D56" w:rsidRPr="00E87473" w:rsidRDefault="009B1D56" w:rsidP="00F53E4B">
      <w:pPr>
        <w:pStyle w:val="Heading1boardreport"/>
      </w:pPr>
      <w:r w:rsidRPr="00E87473">
        <w:t>Board sponsor</w:t>
      </w:r>
    </w:p>
    <w:p w14:paraId="198B0918" w14:textId="523BA98C" w:rsidR="009B1D56" w:rsidRPr="00E87473" w:rsidRDefault="00F53E4B" w:rsidP="003830CE">
      <w:pPr>
        <w:pStyle w:val="NICEnormal"/>
      </w:pPr>
      <w:r w:rsidRPr="00E87473">
        <w:t>Helen Williams, Chief People Officer</w:t>
      </w:r>
    </w:p>
    <w:p w14:paraId="05E8A641" w14:textId="77777777" w:rsidR="004B4705" w:rsidRPr="00E87473" w:rsidRDefault="004B4705" w:rsidP="004511A7">
      <w:pPr>
        <w:pStyle w:val="NICEnormal"/>
      </w:pPr>
      <w:r w:rsidRPr="00E87473">
        <w:br w:type="page"/>
      </w:r>
    </w:p>
    <w:p w14:paraId="5F8587DD" w14:textId="77777777" w:rsidR="00F53E4B" w:rsidRPr="00E87473" w:rsidRDefault="00F53E4B" w:rsidP="00F53E4B">
      <w:pPr>
        <w:pStyle w:val="Heading1boardreport"/>
      </w:pPr>
      <w:r w:rsidRPr="00E87473">
        <w:lastRenderedPageBreak/>
        <w:t>Introduction</w:t>
      </w:r>
    </w:p>
    <w:p w14:paraId="20BA04C6" w14:textId="77777777" w:rsidR="00F53E4B" w:rsidRPr="00E87473" w:rsidRDefault="00F53E4B" w:rsidP="00351CBD">
      <w:pPr>
        <w:pStyle w:val="Paragraph"/>
        <w:numPr>
          <w:ilvl w:val="0"/>
          <w:numId w:val="28"/>
        </w:numPr>
        <w:spacing w:before="240" w:after="120" w:line="360" w:lineRule="auto"/>
        <w:ind w:left="357" w:hanging="357"/>
        <w:rPr>
          <w:noProof w:val="0"/>
        </w:rPr>
      </w:pPr>
      <w:r w:rsidRPr="00E87473">
        <w:rPr>
          <w:noProof w:val="0"/>
        </w:rPr>
        <w:t>NICE remains committed to building an inclusive, high</w:t>
      </w:r>
      <w:r w:rsidRPr="00E87473">
        <w:rPr>
          <w:rFonts w:ascii="Cambria Math" w:hAnsi="Cambria Math" w:cs="Cambria Math"/>
          <w:noProof w:val="0"/>
        </w:rPr>
        <w:t>‑</w:t>
      </w:r>
      <w:r w:rsidRPr="00E87473">
        <w:rPr>
          <w:noProof w:val="0"/>
        </w:rPr>
        <w:t>trust organisational culture and to meeting its responsibilities as a national health body and anchor institution. While progress has been made against the EDI Roadmap, evidence from colleague feedback and inclusion survey data highlights that disparities in experience persist for some groups.</w:t>
      </w:r>
    </w:p>
    <w:p w14:paraId="1B55F174" w14:textId="77777777" w:rsidR="00F53E4B" w:rsidRPr="00E87473" w:rsidRDefault="00F53E4B" w:rsidP="00351CBD">
      <w:pPr>
        <w:pStyle w:val="NICEnormalnumbered"/>
        <w:rPr>
          <w:noProof w:val="0"/>
        </w:rPr>
      </w:pPr>
      <w:r w:rsidRPr="00E87473">
        <w:rPr>
          <w:noProof w:val="0"/>
        </w:rPr>
        <w:t xml:space="preserve">This paper sets out a deliberately narrowed and targeted approach to external EDI spend for 2026–27. It focuses on a small number of interventions where there </w:t>
      </w:r>
      <w:proofErr w:type="gramStart"/>
      <w:r w:rsidRPr="00E87473">
        <w:rPr>
          <w:noProof w:val="0"/>
        </w:rPr>
        <w:t>is</w:t>
      </w:r>
      <w:proofErr w:type="gramEnd"/>
      <w:r w:rsidRPr="00E87473">
        <w:rPr>
          <w:noProof w:val="0"/>
        </w:rPr>
        <w:t xml:space="preserve"> a clear rationale, defined benefit and strong alignment with organisational priorities, alongside clear governance and evaluation.</w:t>
      </w:r>
    </w:p>
    <w:p w14:paraId="4B1CBA98" w14:textId="77777777" w:rsidR="00F53E4B" w:rsidRPr="00E87473" w:rsidRDefault="00F53E4B" w:rsidP="00F53E4B">
      <w:pPr>
        <w:pStyle w:val="Heading1boardreport"/>
      </w:pPr>
      <w:r w:rsidRPr="00E87473">
        <w:t xml:space="preserve">Background </w:t>
      </w:r>
    </w:p>
    <w:p w14:paraId="282F2FB0" w14:textId="77777777" w:rsidR="00F53E4B" w:rsidRPr="00E87473" w:rsidRDefault="00F53E4B" w:rsidP="00314463">
      <w:pPr>
        <w:pStyle w:val="Heading2"/>
      </w:pPr>
      <w:r w:rsidRPr="00E87473">
        <w:t>Why this intervention</w:t>
      </w:r>
    </w:p>
    <w:p w14:paraId="35453DF1" w14:textId="77777777" w:rsidR="00F53E4B" w:rsidRPr="00E87473" w:rsidRDefault="00F53E4B" w:rsidP="00351CBD">
      <w:pPr>
        <w:pStyle w:val="NICEnormalnumbered"/>
        <w:rPr>
          <w:noProof w:val="0"/>
        </w:rPr>
      </w:pPr>
      <w:r w:rsidRPr="00E87473">
        <w:rPr>
          <w:noProof w:val="0"/>
        </w:rPr>
        <w:t>Feedback from LGBTQ+ colleagues and members of the NICE And Proud (NAP) Network following the decision not to renew NICE’s previous external affiliation with Stonewall, highlighted a sense of loss of external validation and trust. This has been described by colleagues as a set of unresolved ‘wounds’ for this community, compounded by wider inclusion survey findings showing lower levels of belonging and psychological safety for LGBTQ+ colleagues compared with the NICE average.</w:t>
      </w:r>
    </w:p>
    <w:p w14:paraId="3C661992" w14:textId="77777777" w:rsidR="00F53E4B" w:rsidRPr="00E87473" w:rsidRDefault="00F53E4B" w:rsidP="00351CBD">
      <w:pPr>
        <w:pStyle w:val="NICEnormalnumbered"/>
        <w:rPr>
          <w:noProof w:val="0"/>
        </w:rPr>
      </w:pPr>
      <w:r w:rsidRPr="00E87473">
        <w:rPr>
          <w:noProof w:val="0"/>
        </w:rPr>
        <w:t>At the same time, exploration on whether a values</w:t>
      </w:r>
      <w:r w:rsidRPr="00E87473">
        <w:rPr>
          <w:rFonts w:ascii="Cambria Math" w:hAnsi="Cambria Math" w:cs="Cambria Math"/>
          <w:noProof w:val="0"/>
        </w:rPr>
        <w:t>‑</w:t>
      </w:r>
      <w:r w:rsidRPr="00E87473">
        <w:rPr>
          <w:noProof w:val="0"/>
        </w:rPr>
        <w:t>aligned partnership could support both colleague experience and NICE</w:t>
      </w:r>
      <w:r w:rsidRPr="00E87473">
        <w:rPr>
          <w:rFonts w:cs="Arial"/>
          <w:noProof w:val="0"/>
        </w:rPr>
        <w:t>’</w:t>
      </w:r>
      <w:r w:rsidRPr="00E87473">
        <w:rPr>
          <w:noProof w:val="0"/>
        </w:rPr>
        <w:t>s wider system role, has taken place with the LGBT Foundation and NICE. On that basis, this proposal is intentionally framed not as a symbolic gesture, but as a targeted, proportionate response to a clearly articulated need, co</w:t>
      </w:r>
      <w:r w:rsidRPr="00E87473">
        <w:rPr>
          <w:rFonts w:ascii="Cambria Math" w:hAnsi="Cambria Math" w:cs="Cambria Math"/>
          <w:noProof w:val="0"/>
        </w:rPr>
        <w:t>‑</w:t>
      </w:r>
      <w:r w:rsidRPr="00E87473">
        <w:rPr>
          <w:noProof w:val="0"/>
        </w:rPr>
        <w:t>shaped with an organisation that understands the health and wellbeing challenges faced by LGBTQ+ communities.</w:t>
      </w:r>
    </w:p>
    <w:p w14:paraId="175DB7DC" w14:textId="77777777" w:rsidR="00B92CFF" w:rsidRPr="00E87473" w:rsidRDefault="00B92CFF" w:rsidP="00B92CFF">
      <w:pPr>
        <w:pStyle w:val="Heading2"/>
      </w:pPr>
      <w:r w:rsidRPr="00E87473">
        <w:t>Alignment with strategy</w:t>
      </w:r>
    </w:p>
    <w:p w14:paraId="016334DD" w14:textId="77777777" w:rsidR="00B92CFF" w:rsidRPr="00E87473" w:rsidRDefault="00B92CFF" w:rsidP="00B92CFF">
      <w:pPr>
        <w:pStyle w:val="NICEnormalnumbered"/>
        <w:rPr>
          <w:noProof w:val="0"/>
        </w:rPr>
      </w:pPr>
      <w:r w:rsidRPr="00E87473">
        <w:rPr>
          <w:noProof w:val="0"/>
        </w:rPr>
        <w:t>EDI Roadmap: The proposed affiliation supports targeted action where disparities in experience persist, particularly around belonging, psychological safety and confidence in fair progression.</w:t>
      </w:r>
    </w:p>
    <w:p w14:paraId="55EFAFC4" w14:textId="77777777" w:rsidR="00B92CFF" w:rsidRPr="00E87473" w:rsidRDefault="00B92CFF" w:rsidP="00B92CFF">
      <w:pPr>
        <w:pStyle w:val="NICEnormalnumbered"/>
        <w:rPr>
          <w:noProof w:val="0"/>
        </w:rPr>
      </w:pPr>
      <w:r w:rsidRPr="00E87473">
        <w:rPr>
          <w:noProof w:val="0"/>
        </w:rPr>
        <w:lastRenderedPageBreak/>
        <w:t>People Strategy and culture: It complements internal action by providing credible, externally validated learning, insight and engagement.</w:t>
      </w:r>
    </w:p>
    <w:p w14:paraId="6736D5DB" w14:textId="77777777" w:rsidR="00B92CFF" w:rsidRPr="00E87473" w:rsidRDefault="00B92CFF" w:rsidP="00B92CFF">
      <w:pPr>
        <w:pStyle w:val="NICEnormalnumbered"/>
        <w:rPr>
          <w:noProof w:val="0"/>
        </w:rPr>
      </w:pPr>
      <w:r w:rsidRPr="00E87473">
        <w:rPr>
          <w:noProof w:val="0"/>
        </w:rPr>
        <w:t>Anchor institution role: As a national health body, NICE has a responsibility to use its influence and partnerships to support equitable outcomes beyond the organisation. Working with a respected health</w:t>
      </w:r>
      <w:r w:rsidRPr="00E87473">
        <w:rPr>
          <w:rFonts w:ascii="Cambria Math" w:hAnsi="Cambria Math" w:cs="Cambria Math"/>
          <w:noProof w:val="0"/>
        </w:rPr>
        <w:t>‑</w:t>
      </w:r>
      <w:r w:rsidRPr="00E87473">
        <w:rPr>
          <w:noProof w:val="0"/>
        </w:rPr>
        <w:t>focused LGBTQ+ charity reinforces this role. Their footprint is primarily Manchester based which supports NICE</w:t>
      </w:r>
      <w:r w:rsidRPr="00E87473">
        <w:rPr>
          <w:rFonts w:cs="Arial"/>
          <w:noProof w:val="0"/>
        </w:rPr>
        <w:t>’</w:t>
      </w:r>
      <w:r w:rsidRPr="00E87473">
        <w:rPr>
          <w:noProof w:val="0"/>
        </w:rPr>
        <w:t xml:space="preserve">s </w:t>
      </w:r>
      <w:proofErr w:type="gramStart"/>
      <w:r w:rsidRPr="00E87473">
        <w:rPr>
          <w:noProof w:val="0"/>
        </w:rPr>
        <w:t>own local footprint to a large extent</w:t>
      </w:r>
      <w:proofErr w:type="gramEnd"/>
      <w:r w:rsidRPr="00E87473">
        <w:rPr>
          <w:noProof w:val="0"/>
        </w:rPr>
        <w:t>.</w:t>
      </w:r>
    </w:p>
    <w:p w14:paraId="18ED3349" w14:textId="73814BCE" w:rsidR="008A7860" w:rsidRPr="00E87473" w:rsidRDefault="008A7860" w:rsidP="00F7460E">
      <w:pPr>
        <w:pStyle w:val="Heading1boardreport"/>
        <w:rPr>
          <w:lang w:eastAsia="en-GB"/>
        </w:rPr>
      </w:pPr>
      <w:r w:rsidRPr="00E87473">
        <w:rPr>
          <w:lang w:eastAsia="en-GB"/>
        </w:rPr>
        <w:t>Evaluation of 2025–26 EDI Spend</w:t>
      </w:r>
    </w:p>
    <w:p w14:paraId="5ED52872" w14:textId="5D6414C3" w:rsidR="008A7860" w:rsidRPr="00E87473" w:rsidRDefault="008A7860" w:rsidP="00B92CFF">
      <w:pPr>
        <w:pStyle w:val="Paragraph"/>
        <w:spacing w:line="360" w:lineRule="auto"/>
        <w:rPr>
          <w:noProof w:val="0"/>
        </w:rPr>
      </w:pPr>
      <w:r w:rsidRPr="00E87473">
        <w:rPr>
          <w:noProof w:val="0"/>
        </w:rPr>
        <w:t>A review of staff network activity and spend in 2025–26 has been undertaken to inform proposals for 2026–27. Each network was allocated a budget of £2,500. Actual spend varied, reflecting differences in network maturity, capacity and planned activity.</w:t>
      </w:r>
    </w:p>
    <w:p w14:paraId="327D8EB5" w14:textId="77777777" w:rsidR="008A7860" w:rsidRPr="00E87473" w:rsidRDefault="008A7860" w:rsidP="008A7860">
      <w:pPr>
        <w:spacing w:before="100" w:beforeAutospacing="1" w:after="100" w:afterAutospacing="1" w:line="300" w:lineRule="atLeast"/>
        <w:outlineLvl w:val="2"/>
        <w:rPr>
          <w:rFonts w:ascii="Arial" w:hAnsi="Arial" w:cs="Arial"/>
          <w:b/>
          <w:bCs/>
          <w:sz w:val="28"/>
          <w:szCs w:val="28"/>
          <w:lang w:eastAsia="en-GB"/>
        </w:rPr>
      </w:pPr>
      <w:r w:rsidRPr="00E87473">
        <w:rPr>
          <w:rFonts w:ascii="Arial" w:hAnsi="Arial" w:cs="Arial"/>
          <w:b/>
          <w:bCs/>
          <w:sz w:val="28"/>
          <w:szCs w:val="28"/>
          <w:lang w:eastAsia="en-GB"/>
        </w:rPr>
        <w:t>Summary of spend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3"/>
        <w:gridCol w:w="1034"/>
        <w:gridCol w:w="1405"/>
        <w:gridCol w:w="5324"/>
      </w:tblGrid>
      <w:tr w:rsidR="008A7860" w:rsidRPr="00E87473" w14:paraId="534CE5E5" w14:textId="77777777" w:rsidTr="00E87125">
        <w:trPr>
          <w:tblCellSpacing w:w="15" w:type="dxa"/>
        </w:trPr>
        <w:tc>
          <w:tcPr>
            <w:tcW w:w="0" w:type="auto"/>
            <w:shd w:val="clear" w:color="auto" w:fill="F5F5F5"/>
            <w:vAlign w:val="center"/>
            <w:hideMark/>
          </w:tcPr>
          <w:p w14:paraId="15D881CF" w14:textId="77777777" w:rsidR="008A7860" w:rsidRPr="00E87473" w:rsidRDefault="008A7860" w:rsidP="008A7860">
            <w:pPr>
              <w:jc w:val="center"/>
              <w:rPr>
                <w:rFonts w:ascii="Arial" w:hAnsi="Arial" w:cs="Arial"/>
                <w:b/>
                <w:bCs/>
                <w:lang w:eastAsia="en-GB"/>
              </w:rPr>
            </w:pPr>
            <w:r w:rsidRPr="00E87473">
              <w:rPr>
                <w:rFonts w:ascii="Arial" w:hAnsi="Arial" w:cs="Arial"/>
                <w:b/>
                <w:bCs/>
                <w:lang w:eastAsia="en-GB"/>
              </w:rPr>
              <w:t>Staff Network</w:t>
            </w:r>
          </w:p>
        </w:tc>
        <w:tc>
          <w:tcPr>
            <w:tcW w:w="0" w:type="auto"/>
            <w:shd w:val="clear" w:color="auto" w:fill="F5F5F5"/>
            <w:vAlign w:val="center"/>
            <w:hideMark/>
          </w:tcPr>
          <w:p w14:paraId="2DF8A3B0" w14:textId="77777777" w:rsidR="008A7860" w:rsidRPr="00E87473" w:rsidRDefault="008A7860" w:rsidP="008A7860">
            <w:pPr>
              <w:jc w:val="center"/>
              <w:rPr>
                <w:rFonts w:ascii="Arial" w:hAnsi="Arial" w:cs="Arial"/>
                <w:b/>
                <w:bCs/>
                <w:lang w:eastAsia="en-GB"/>
              </w:rPr>
            </w:pPr>
            <w:r w:rsidRPr="00E87473">
              <w:rPr>
                <w:rFonts w:ascii="Arial" w:hAnsi="Arial" w:cs="Arial"/>
                <w:b/>
                <w:bCs/>
                <w:lang w:eastAsia="en-GB"/>
              </w:rPr>
              <w:t>Budget (£)</w:t>
            </w:r>
          </w:p>
        </w:tc>
        <w:tc>
          <w:tcPr>
            <w:tcW w:w="0" w:type="auto"/>
            <w:shd w:val="clear" w:color="auto" w:fill="F5F5F5"/>
            <w:vAlign w:val="center"/>
            <w:hideMark/>
          </w:tcPr>
          <w:p w14:paraId="36AC6756" w14:textId="77777777" w:rsidR="008A7860" w:rsidRPr="00E87473" w:rsidRDefault="008A7860" w:rsidP="008A7860">
            <w:pPr>
              <w:jc w:val="center"/>
              <w:rPr>
                <w:rFonts w:ascii="Arial" w:hAnsi="Arial" w:cs="Arial"/>
                <w:b/>
                <w:bCs/>
                <w:lang w:eastAsia="en-GB"/>
              </w:rPr>
            </w:pPr>
            <w:r w:rsidRPr="00E87473">
              <w:rPr>
                <w:rFonts w:ascii="Arial" w:hAnsi="Arial" w:cs="Arial"/>
                <w:b/>
                <w:bCs/>
                <w:lang w:eastAsia="en-GB"/>
              </w:rPr>
              <w:t>Actual Spend (£)</w:t>
            </w:r>
          </w:p>
        </w:tc>
        <w:tc>
          <w:tcPr>
            <w:tcW w:w="0" w:type="auto"/>
            <w:shd w:val="clear" w:color="auto" w:fill="F5F5F5"/>
            <w:vAlign w:val="center"/>
            <w:hideMark/>
          </w:tcPr>
          <w:p w14:paraId="0F052443" w14:textId="77777777" w:rsidR="008A7860" w:rsidRPr="00E87473" w:rsidRDefault="008A7860" w:rsidP="008A7860">
            <w:pPr>
              <w:jc w:val="center"/>
              <w:rPr>
                <w:rFonts w:ascii="Arial" w:hAnsi="Arial" w:cs="Arial"/>
                <w:b/>
                <w:bCs/>
                <w:lang w:eastAsia="en-GB"/>
              </w:rPr>
            </w:pPr>
            <w:r w:rsidRPr="00E87473">
              <w:rPr>
                <w:rFonts w:ascii="Arial" w:hAnsi="Arial" w:cs="Arial"/>
                <w:b/>
                <w:bCs/>
                <w:lang w:eastAsia="en-GB"/>
              </w:rPr>
              <w:t>Activity Supported</w:t>
            </w:r>
          </w:p>
        </w:tc>
      </w:tr>
      <w:tr w:rsidR="008A7860" w:rsidRPr="00E87473" w14:paraId="5DABBA6B" w14:textId="77777777" w:rsidTr="00E87125">
        <w:trPr>
          <w:tblCellSpacing w:w="15" w:type="dxa"/>
        </w:trPr>
        <w:tc>
          <w:tcPr>
            <w:tcW w:w="0" w:type="auto"/>
            <w:vAlign w:val="center"/>
            <w:hideMark/>
          </w:tcPr>
          <w:p w14:paraId="481C6DF0" w14:textId="6C0375D8" w:rsidR="008A7860" w:rsidRPr="00E87473" w:rsidRDefault="008A7860" w:rsidP="008A7860">
            <w:pPr>
              <w:rPr>
                <w:rFonts w:ascii="Arial" w:hAnsi="Arial" w:cs="Arial"/>
                <w:lang w:eastAsia="en-GB"/>
              </w:rPr>
            </w:pPr>
            <w:r w:rsidRPr="00E87473">
              <w:rPr>
                <w:rFonts w:ascii="Arial" w:hAnsi="Arial" w:cs="Arial"/>
                <w:lang w:eastAsia="en-GB"/>
              </w:rPr>
              <w:t xml:space="preserve">REN </w:t>
            </w:r>
          </w:p>
        </w:tc>
        <w:tc>
          <w:tcPr>
            <w:tcW w:w="0" w:type="auto"/>
            <w:vAlign w:val="center"/>
            <w:hideMark/>
          </w:tcPr>
          <w:p w14:paraId="05B271AC" w14:textId="77777777" w:rsidR="008A7860" w:rsidRPr="00E87473" w:rsidRDefault="008A7860" w:rsidP="008A7860">
            <w:pPr>
              <w:rPr>
                <w:rFonts w:ascii="Arial" w:hAnsi="Arial" w:cs="Arial"/>
                <w:lang w:eastAsia="en-GB"/>
              </w:rPr>
            </w:pPr>
            <w:r w:rsidRPr="00E87473">
              <w:rPr>
                <w:rFonts w:ascii="Arial" w:hAnsi="Arial" w:cs="Arial"/>
                <w:lang w:eastAsia="en-GB"/>
              </w:rPr>
              <w:t>2,500</w:t>
            </w:r>
          </w:p>
        </w:tc>
        <w:tc>
          <w:tcPr>
            <w:tcW w:w="0" w:type="auto"/>
            <w:vAlign w:val="center"/>
            <w:hideMark/>
          </w:tcPr>
          <w:p w14:paraId="29BF9306" w14:textId="77777777" w:rsidR="008A7860" w:rsidRPr="00E87473" w:rsidRDefault="008A7860" w:rsidP="008A7860">
            <w:pPr>
              <w:rPr>
                <w:rFonts w:ascii="Arial" w:hAnsi="Arial" w:cs="Arial"/>
                <w:lang w:eastAsia="en-GB"/>
              </w:rPr>
            </w:pPr>
            <w:r w:rsidRPr="00E87473">
              <w:rPr>
                <w:rFonts w:ascii="Arial" w:hAnsi="Arial" w:cs="Arial"/>
                <w:lang w:eastAsia="en-GB"/>
              </w:rPr>
              <w:t>Nil</w:t>
            </w:r>
          </w:p>
        </w:tc>
        <w:tc>
          <w:tcPr>
            <w:tcW w:w="0" w:type="auto"/>
            <w:vAlign w:val="center"/>
            <w:hideMark/>
          </w:tcPr>
          <w:p w14:paraId="35782838" w14:textId="77777777" w:rsidR="008A7860" w:rsidRPr="00E87473" w:rsidRDefault="008A7860" w:rsidP="008A7860">
            <w:pPr>
              <w:rPr>
                <w:rFonts w:ascii="Arial" w:hAnsi="Arial" w:cs="Arial"/>
                <w:lang w:eastAsia="en-GB"/>
              </w:rPr>
            </w:pPr>
            <w:r w:rsidRPr="00E87473">
              <w:rPr>
                <w:rFonts w:ascii="Arial" w:hAnsi="Arial" w:cs="Arial"/>
                <w:lang w:eastAsia="en-GB"/>
              </w:rPr>
              <w:t>No funded activity delivered during the year</w:t>
            </w:r>
          </w:p>
        </w:tc>
      </w:tr>
      <w:tr w:rsidR="008A7860" w:rsidRPr="00E87473" w14:paraId="7727EA34" w14:textId="77777777" w:rsidTr="00E87125">
        <w:trPr>
          <w:tblCellSpacing w:w="15" w:type="dxa"/>
        </w:trPr>
        <w:tc>
          <w:tcPr>
            <w:tcW w:w="0" w:type="auto"/>
            <w:vAlign w:val="center"/>
            <w:hideMark/>
          </w:tcPr>
          <w:p w14:paraId="201B7F0D" w14:textId="55D9116E" w:rsidR="008A7860" w:rsidRPr="00E87473" w:rsidRDefault="008A7860" w:rsidP="008A7860">
            <w:pPr>
              <w:rPr>
                <w:rFonts w:ascii="Arial" w:hAnsi="Arial" w:cs="Arial"/>
                <w:lang w:eastAsia="en-GB"/>
              </w:rPr>
            </w:pPr>
            <w:r w:rsidRPr="00E87473">
              <w:rPr>
                <w:rFonts w:ascii="Arial" w:hAnsi="Arial" w:cs="Arial"/>
                <w:lang w:eastAsia="en-GB"/>
              </w:rPr>
              <w:t xml:space="preserve">DAWN </w:t>
            </w:r>
          </w:p>
        </w:tc>
        <w:tc>
          <w:tcPr>
            <w:tcW w:w="0" w:type="auto"/>
            <w:vAlign w:val="center"/>
            <w:hideMark/>
          </w:tcPr>
          <w:p w14:paraId="59E5E9F1" w14:textId="77777777" w:rsidR="008A7860" w:rsidRPr="00E87473" w:rsidRDefault="008A7860" w:rsidP="008A7860">
            <w:pPr>
              <w:rPr>
                <w:rFonts w:ascii="Arial" w:hAnsi="Arial" w:cs="Arial"/>
                <w:lang w:eastAsia="en-GB"/>
              </w:rPr>
            </w:pPr>
            <w:r w:rsidRPr="00E87473">
              <w:rPr>
                <w:rFonts w:ascii="Arial" w:hAnsi="Arial" w:cs="Arial"/>
                <w:lang w:eastAsia="en-GB"/>
              </w:rPr>
              <w:t>2,500</w:t>
            </w:r>
          </w:p>
        </w:tc>
        <w:tc>
          <w:tcPr>
            <w:tcW w:w="0" w:type="auto"/>
            <w:vAlign w:val="center"/>
            <w:hideMark/>
          </w:tcPr>
          <w:p w14:paraId="644CA2AF" w14:textId="77777777" w:rsidR="008A7860" w:rsidRPr="00E87473" w:rsidRDefault="008A7860" w:rsidP="008A7860">
            <w:pPr>
              <w:rPr>
                <w:rFonts w:ascii="Arial" w:hAnsi="Arial" w:cs="Arial"/>
                <w:lang w:eastAsia="en-GB"/>
              </w:rPr>
            </w:pPr>
            <w:r w:rsidRPr="00E87473">
              <w:rPr>
                <w:rFonts w:ascii="Arial" w:hAnsi="Arial" w:cs="Arial"/>
                <w:lang w:eastAsia="en-GB"/>
              </w:rPr>
              <w:t>693.60</w:t>
            </w:r>
          </w:p>
        </w:tc>
        <w:tc>
          <w:tcPr>
            <w:tcW w:w="0" w:type="auto"/>
            <w:vAlign w:val="center"/>
            <w:hideMark/>
          </w:tcPr>
          <w:p w14:paraId="6B09EF22" w14:textId="77777777" w:rsidR="008A7860" w:rsidRPr="00E87473" w:rsidRDefault="008A7860" w:rsidP="008A7860">
            <w:pPr>
              <w:rPr>
                <w:rFonts w:ascii="Arial" w:hAnsi="Arial" w:cs="Arial"/>
                <w:lang w:eastAsia="en-GB"/>
              </w:rPr>
            </w:pPr>
            <w:r w:rsidRPr="00E87473">
              <w:rPr>
                <w:rFonts w:ascii="Arial" w:hAnsi="Arial" w:cs="Arial"/>
                <w:lang w:eastAsia="en-GB"/>
              </w:rPr>
              <w:t>Attendance at Neurodiversity Conference</w:t>
            </w:r>
          </w:p>
        </w:tc>
      </w:tr>
      <w:tr w:rsidR="008A7860" w:rsidRPr="00E87473" w14:paraId="198DC2B9" w14:textId="77777777" w:rsidTr="00E87125">
        <w:trPr>
          <w:tblCellSpacing w:w="15" w:type="dxa"/>
        </w:trPr>
        <w:tc>
          <w:tcPr>
            <w:tcW w:w="0" w:type="auto"/>
            <w:vAlign w:val="center"/>
            <w:hideMark/>
          </w:tcPr>
          <w:p w14:paraId="5150BAA9" w14:textId="17B84DDA" w:rsidR="008A7860" w:rsidRPr="00E87473" w:rsidRDefault="008A7860" w:rsidP="008A7860">
            <w:pPr>
              <w:rPr>
                <w:rFonts w:ascii="Arial" w:hAnsi="Arial" w:cs="Arial"/>
                <w:lang w:eastAsia="en-GB"/>
              </w:rPr>
            </w:pPr>
            <w:r w:rsidRPr="00E87473">
              <w:rPr>
                <w:rFonts w:ascii="Arial" w:hAnsi="Arial" w:cs="Arial"/>
                <w:lang w:eastAsia="en-GB"/>
              </w:rPr>
              <w:t>WIN</w:t>
            </w:r>
          </w:p>
        </w:tc>
        <w:tc>
          <w:tcPr>
            <w:tcW w:w="0" w:type="auto"/>
            <w:vAlign w:val="center"/>
            <w:hideMark/>
          </w:tcPr>
          <w:p w14:paraId="2115C348" w14:textId="77777777" w:rsidR="008A7860" w:rsidRPr="00E87473" w:rsidRDefault="008A7860" w:rsidP="008A7860">
            <w:pPr>
              <w:rPr>
                <w:rFonts w:ascii="Arial" w:hAnsi="Arial" w:cs="Arial"/>
                <w:lang w:eastAsia="en-GB"/>
              </w:rPr>
            </w:pPr>
            <w:r w:rsidRPr="00E87473">
              <w:rPr>
                <w:rFonts w:ascii="Arial" w:hAnsi="Arial" w:cs="Arial"/>
                <w:lang w:eastAsia="en-GB"/>
              </w:rPr>
              <w:t>2,500</w:t>
            </w:r>
          </w:p>
        </w:tc>
        <w:tc>
          <w:tcPr>
            <w:tcW w:w="0" w:type="auto"/>
            <w:vAlign w:val="center"/>
            <w:hideMark/>
          </w:tcPr>
          <w:p w14:paraId="5AF16B7C" w14:textId="77777777" w:rsidR="008A7860" w:rsidRPr="00E87473" w:rsidRDefault="008A7860" w:rsidP="008A7860">
            <w:pPr>
              <w:rPr>
                <w:rFonts w:ascii="Arial" w:hAnsi="Arial" w:cs="Arial"/>
                <w:lang w:eastAsia="en-GB"/>
              </w:rPr>
            </w:pPr>
            <w:r w:rsidRPr="00E87473">
              <w:rPr>
                <w:rFonts w:ascii="Arial" w:hAnsi="Arial" w:cs="Arial"/>
                <w:lang w:eastAsia="en-GB"/>
              </w:rPr>
              <w:t>1,250 (planned)</w:t>
            </w:r>
          </w:p>
        </w:tc>
        <w:tc>
          <w:tcPr>
            <w:tcW w:w="0" w:type="auto"/>
            <w:vAlign w:val="center"/>
            <w:hideMark/>
          </w:tcPr>
          <w:p w14:paraId="7AB55513" w14:textId="77777777" w:rsidR="008A7860" w:rsidRPr="00E87473" w:rsidRDefault="008A7860" w:rsidP="008A7860">
            <w:pPr>
              <w:rPr>
                <w:rFonts w:ascii="Arial" w:hAnsi="Arial" w:cs="Arial"/>
                <w:lang w:eastAsia="en-GB"/>
              </w:rPr>
            </w:pPr>
            <w:r w:rsidRPr="00E87473">
              <w:rPr>
                <w:rFonts w:ascii="Arial" w:hAnsi="Arial" w:cs="Arial"/>
                <w:lang w:eastAsia="en-GB"/>
              </w:rPr>
              <w:t>External speaker for International Women’s Day, delivered with Communications advice and support</w:t>
            </w:r>
          </w:p>
        </w:tc>
      </w:tr>
      <w:tr w:rsidR="008A7860" w:rsidRPr="00E87473" w14:paraId="635884A1" w14:textId="77777777" w:rsidTr="00E87125">
        <w:trPr>
          <w:tblCellSpacing w:w="15" w:type="dxa"/>
        </w:trPr>
        <w:tc>
          <w:tcPr>
            <w:tcW w:w="0" w:type="auto"/>
            <w:vAlign w:val="center"/>
            <w:hideMark/>
          </w:tcPr>
          <w:p w14:paraId="6E7400C1" w14:textId="5FB0DC63" w:rsidR="008A7860" w:rsidRPr="00E87473" w:rsidRDefault="008A7860" w:rsidP="008A7860">
            <w:pPr>
              <w:rPr>
                <w:rFonts w:ascii="Arial" w:hAnsi="Arial" w:cs="Arial"/>
                <w:lang w:eastAsia="en-GB"/>
              </w:rPr>
            </w:pPr>
            <w:r w:rsidRPr="00E87473">
              <w:rPr>
                <w:rFonts w:ascii="Arial" w:hAnsi="Arial" w:cs="Arial"/>
                <w:lang w:eastAsia="en-GB"/>
              </w:rPr>
              <w:t xml:space="preserve">NAP </w:t>
            </w:r>
          </w:p>
        </w:tc>
        <w:tc>
          <w:tcPr>
            <w:tcW w:w="0" w:type="auto"/>
            <w:vAlign w:val="center"/>
            <w:hideMark/>
          </w:tcPr>
          <w:p w14:paraId="734DEC3D" w14:textId="77777777" w:rsidR="008A7860" w:rsidRPr="00E87473" w:rsidRDefault="008A7860" w:rsidP="008A7860">
            <w:pPr>
              <w:rPr>
                <w:rFonts w:ascii="Arial" w:hAnsi="Arial" w:cs="Arial"/>
                <w:lang w:eastAsia="en-GB"/>
              </w:rPr>
            </w:pPr>
            <w:r w:rsidRPr="00E87473">
              <w:rPr>
                <w:rFonts w:ascii="Arial" w:hAnsi="Arial" w:cs="Arial"/>
                <w:lang w:eastAsia="en-GB"/>
              </w:rPr>
              <w:t>2,500</w:t>
            </w:r>
          </w:p>
        </w:tc>
        <w:tc>
          <w:tcPr>
            <w:tcW w:w="0" w:type="auto"/>
            <w:vAlign w:val="center"/>
            <w:hideMark/>
          </w:tcPr>
          <w:p w14:paraId="0F6CD161" w14:textId="77777777" w:rsidR="008A7860" w:rsidRPr="00E87473" w:rsidRDefault="008A7860" w:rsidP="008A7860">
            <w:pPr>
              <w:rPr>
                <w:rFonts w:ascii="Arial" w:hAnsi="Arial" w:cs="Arial"/>
                <w:lang w:eastAsia="en-GB"/>
              </w:rPr>
            </w:pPr>
            <w:r w:rsidRPr="00E87473">
              <w:rPr>
                <w:rFonts w:ascii="Arial" w:hAnsi="Arial" w:cs="Arial"/>
                <w:lang w:eastAsia="en-GB"/>
              </w:rPr>
              <w:t>1,938</w:t>
            </w:r>
          </w:p>
        </w:tc>
        <w:tc>
          <w:tcPr>
            <w:tcW w:w="0" w:type="auto"/>
            <w:vAlign w:val="center"/>
            <w:hideMark/>
          </w:tcPr>
          <w:p w14:paraId="5CA93B65" w14:textId="77777777" w:rsidR="008A7860" w:rsidRPr="00E87473" w:rsidRDefault="008A7860" w:rsidP="008A7860">
            <w:pPr>
              <w:rPr>
                <w:rFonts w:ascii="Arial" w:hAnsi="Arial" w:cs="Arial"/>
                <w:lang w:eastAsia="en-GB"/>
              </w:rPr>
            </w:pPr>
            <w:r w:rsidRPr="00E87473">
              <w:rPr>
                <w:rFonts w:ascii="Arial" w:hAnsi="Arial" w:cs="Arial"/>
                <w:lang w:eastAsia="en-GB"/>
              </w:rPr>
              <w:t>Manchester Pride March; guest speaker from Terrence Higgins Trust; £1,008 contribution to The Proud Trust</w:t>
            </w:r>
          </w:p>
        </w:tc>
      </w:tr>
    </w:tbl>
    <w:p w14:paraId="55E506C1" w14:textId="734C2AF2" w:rsidR="008A7860" w:rsidRPr="00E87473" w:rsidRDefault="008A7860" w:rsidP="008A7860">
      <w:pPr>
        <w:spacing w:before="100" w:beforeAutospacing="1" w:after="100" w:afterAutospacing="1" w:line="300" w:lineRule="atLeast"/>
        <w:outlineLvl w:val="2"/>
        <w:rPr>
          <w:rFonts w:ascii="Arial" w:hAnsi="Arial" w:cs="Arial"/>
          <w:b/>
          <w:bCs/>
          <w:sz w:val="28"/>
          <w:szCs w:val="28"/>
          <w:lang w:eastAsia="en-GB"/>
        </w:rPr>
      </w:pPr>
      <w:r w:rsidRPr="00E87473">
        <w:rPr>
          <w:rFonts w:ascii="Arial" w:hAnsi="Arial" w:cs="Arial"/>
          <w:b/>
          <w:bCs/>
          <w:sz w:val="28"/>
          <w:szCs w:val="28"/>
          <w:lang w:eastAsia="en-GB"/>
        </w:rPr>
        <w:t>Evaluation and learning</w:t>
      </w:r>
    </w:p>
    <w:p w14:paraId="4E40F407" w14:textId="2EC65BB2" w:rsidR="008A7860" w:rsidRPr="00E87473" w:rsidRDefault="008A7860" w:rsidP="00B92CFF">
      <w:pPr>
        <w:pStyle w:val="Paragraph"/>
        <w:spacing w:line="360" w:lineRule="auto"/>
        <w:rPr>
          <w:noProof w:val="0"/>
        </w:rPr>
      </w:pPr>
      <w:r w:rsidRPr="00E87473">
        <w:rPr>
          <w:noProof w:val="0"/>
        </w:rPr>
        <w:t>Overall, network spend was modest, targeted and proportionate, with activity focused primarily on learning, awareness</w:t>
      </w:r>
      <w:r w:rsidRPr="00E87473">
        <w:rPr>
          <w:noProof w:val="0"/>
        </w:rPr>
        <w:noBreakHyphen/>
        <w:t>raising and visible inclusion.</w:t>
      </w:r>
    </w:p>
    <w:p w14:paraId="2CDE892F" w14:textId="77777777" w:rsidR="008A7860" w:rsidRPr="00E87473" w:rsidRDefault="008A7860" w:rsidP="00581496">
      <w:pPr>
        <w:numPr>
          <w:ilvl w:val="0"/>
          <w:numId w:val="37"/>
        </w:numPr>
        <w:spacing w:before="100" w:beforeAutospacing="1" w:after="100" w:afterAutospacing="1" w:line="360" w:lineRule="auto"/>
        <w:rPr>
          <w:rFonts w:ascii="Arial" w:hAnsi="Arial" w:cs="Arial"/>
          <w:lang w:eastAsia="en-GB"/>
        </w:rPr>
      </w:pPr>
      <w:r w:rsidRPr="00E87473">
        <w:rPr>
          <w:rFonts w:ascii="Arial" w:hAnsi="Arial" w:cs="Arial"/>
          <w:b/>
          <w:bCs/>
          <w:lang w:eastAsia="en-GB"/>
        </w:rPr>
        <w:t>Neurodiversity and disability inclusion</w:t>
      </w:r>
      <w:r w:rsidRPr="00E87473">
        <w:rPr>
          <w:rFonts w:ascii="Arial" w:hAnsi="Arial" w:cs="Arial"/>
          <w:lang w:eastAsia="en-GB"/>
        </w:rPr>
        <w:t>: DAWN’s investment reflects the growing prominence of neurodiversity across health and social care. Education and awareness in this area are increasingly important to support inclusive leadership, reasonable adjustments and psychological safety.</w:t>
      </w:r>
    </w:p>
    <w:p w14:paraId="7041A557" w14:textId="24A5CB4E" w:rsidR="008A7860" w:rsidRPr="00E87473" w:rsidRDefault="008A7860" w:rsidP="00581496">
      <w:pPr>
        <w:numPr>
          <w:ilvl w:val="0"/>
          <w:numId w:val="37"/>
        </w:numPr>
        <w:spacing w:before="100" w:beforeAutospacing="1" w:after="100" w:afterAutospacing="1" w:line="360" w:lineRule="auto"/>
        <w:rPr>
          <w:rFonts w:ascii="Arial" w:hAnsi="Arial" w:cs="Arial"/>
          <w:lang w:eastAsia="en-GB"/>
        </w:rPr>
      </w:pPr>
      <w:r w:rsidRPr="00E87473">
        <w:rPr>
          <w:rFonts w:ascii="Arial" w:hAnsi="Arial" w:cs="Arial"/>
          <w:b/>
          <w:bCs/>
          <w:lang w:eastAsia="en-GB"/>
        </w:rPr>
        <w:lastRenderedPageBreak/>
        <w:t>Anchor institution and place</w:t>
      </w:r>
      <w:r w:rsidRPr="00E87473">
        <w:rPr>
          <w:rFonts w:ascii="Arial" w:hAnsi="Arial" w:cs="Arial"/>
          <w:b/>
          <w:bCs/>
          <w:lang w:eastAsia="en-GB"/>
        </w:rPr>
        <w:noBreakHyphen/>
        <w:t>based impact</w:t>
      </w:r>
      <w:r w:rsidRPr="00E87473">
        <w:rPr>
          <w:rFonts w:ascii="Arial" w:hAnsi="Arial" w:cs="Arial"/>
          <w:lang w:eastAsia="en-GB"/>
        </w:rPr>
        <w:t xml:space="preserve">: NAP’s participation in the Manchester Pride March aligned strongly with NICE’s </w:t>
      </w:r>
      <w:r w:rsidR="009F3D82" w:rsidRPr="00E87473">
        <w:rPr>
          <w:rFonts w:ascii="Arial" w:hAnsi="Arial" w:cs="Arial"/>
          <w:lang w:eastAsia="en-GB"/>
        </w:rPr>
        <w:t>ambitions of being</w:t>
      </w:r>
      <w:r w:rsidRPr="00E87473">
        <w:rPr>
          <w:rFonts w:ascii="Arial" w:hAnsi="Arial" w:cs="Arial"/>
          <w:lang w:eastAsia="en-GB"/>
        </w:rPr>
        <w:t xml:space="preserve"> an anchor institution and local employer, supporting community engagement, visibility and trust</w:t>
      </w:r>
      <w:r w:rsidRPr="00E87473">
        <w:rPr>
          <w:rFonts w:ascii="Arial" w:hAnsi="Arial" w:cs="Arial"/>
          <w:lang w:eastAsia="en-GB"/>
        </w:rPr>
        <w:noBreakHyphen/>
        <w:t>building alongside internal awareness.</w:t>
      </w:r>
    </w:p>
    <w:p w14:paraId="2170EF92" w14:textId="77777777" w:rsidR="008A7860" w:rsidRPr="00E87473" w:rsidRDefault="008A7860" w:rsidP="00581496">
      <w:pPr>
        <w:numPr>
          <w:ilvl w:val="0"/>
          <w:numId w:val="37"/>
        </w:numPr>
        <w:spacing w:before="100" w:beforeAutospacing="1" w:after="100" w:afterAutospacing="1" w:line="360" w:lineRule="auto"/>
        <w:rPr>
          <w:rFonts w:ascii="Arial" w:hAnsi="Arial" w:cs="Arial"/>
          <w:lang w:eastAsia="en-GB"/>
        </w:rPr>
      </w:pPr>
      <w:r w:rsidRPr="00E87473">
        <w:rPr>
          <w:rFonts w:ascii="Arial" w:hAnsi="Arial" w:cs="Arial"/>
          <w:b/>
          <w:bCs/>
          <w:lang w:eastAsia="en-GB"/>
        </w:rPr>
        <w:t>Integrated delivery</w:t>
      </w:r>
      <w:r w:rsidRPr="00E87473">
        <w:rPr>
          <w:rFonts w:ascii="Arial" w:hAnsi="Arial" w:cs="Arial"/>
          <w:lang w:eastAsia="en-GB"/>
        </w:rPr>
        <w:t>: WIN’s planned International Women’s Day activity demonstrates a more integrated approach, combining external expertise with internal communications support to maximise reach, coherence and organisational relevance.</w:t>
      </w:r>
    </w:p>
    <w:p w14:paraId="04A37C59" w14:textId="734B8EF4" w:rsidR="008A7860" w:rsidRPr="00E87473" w:rsidRDefault="008A7860" w:rsidP="00581496">
      <w:pPr>
        <w:numPr>
          <w:ilvl w:val="0"/>
          <w:numId w:val="37"/>
        </w:numPr>
        <w:spacing w:before="100" w:beforeAutospacing="1" w:after="100" w:afterAutospacing="1" w:line="360" w:lineRule="auto"/>
        <w:rPr>
          <w:rFonts w:ascii="Arial" w:hAnsi="Arial" w:cs="Arial"/>
          <w:lang w:eastAsia="en-GB"/>
        </w:rPr>
      </w:pPr>
      <w:r w:rsidRPr="00E87473">
        <w:rPr>
          <w:rFonts w:ascii="Arial" w:hAnsi="Arial" w:cs="Arial"/>
          <w:b/>
          <w:bCs/>
          <w:lang w:eastAsia="en-GB"/>
        </w:rPr>
        <w:t xml:space="preserve">Variation in network </w:t>
      </w:r>
      <w:r w:rsidR="007610A6" w:rsidRPr="00E87473">
        <w:rPr>
          <w:rFonts w:ascii="Arial" w:hAnsi="Arial" w:cs="Arial"/>
          <w:b/>
          <w:bCs/>
          <w:lang w:eastAsia="en-GB"/>
        </w:rPr>
        <w:t>spend</w:t>
      </w:r>
      <w:r w:rsidRPr="00E87473">
        <w:rPr>
          <w:rFonts w:ascii="Arial" w:hAnsi="Arial" w:cs="Arial"/>
          <w:lang w:eastAsia="en-GB"/>
        </w:rPr>
        <w:t>: The absence of spend by REN highlights that network capacity and readiness can vary year</w:t>
      </w:r>
      <w:r w:rsidRPr="00E87473">
        <w:rPr>
          <w:rFonts w:ascii="Arial" w:hAnsi="Arial" w:cs="Arial"/>
          <w:lang w:eastAsia="en-GB"/>
        </w:rPr>
        <w:noBreakHyphen/>
        <w:t>to</w:t>
      </w:r>
      <w:r w:rsidRPr="00E87473">
        <w:rPr>
          <w:rFonts w:ascii="Arial" w:hAnsi="Arial" w:cs="Arial"/>
          <w:lang w:eastAsia="en-GB"/>
        </w:rPr>
        <w:noBreakHyphen/>
        <w:t>year. This reinforces the importance of flexible budgets, People Team support and proportionate expectations, recognising that network activity is voluntary and delivered alongside substantive roles.</w:t>
      </w:r>
    </w:p>
    <w:p w14:paraId="0EE620AD" w14:textId="77777777" w:rsidR="008A7860" w:rsidRPr="00E87473" w:rsidRDefault="008A7860" w:rsidP="008A7860">
      <w:pPr>
        <w:spacing w:before="100" w:beforeAutospacing="1" w:after="100" w:afterAutospacing="1" w:line="300" w:lineRule="atLeast"/>
        <w:outlineLvl w:val="2"/>
        <w:rPr>
          <w:rFonts w:ascii="Arial" w:hAnsi="Arial" w:cs="Arial"/>
          <w:b/>
          <w:bCs/>
          <w:sz w:val="28"/>
          <w:szCs w:val="28"/>
          <w:lang w:eastAsia="en-GB"/>
        </w:rPr>
      </w:pPr>
      <w:r w:rsidRPr="00E87473">
        <w:rPr>
          <w:rFonts w:ascii="Arial" w:hAnsi="Arial" w:cs="Arial"/>
          <w:b/>
          <w:bCs/>
          <w:sz w:val="28"/>
          <w:szCs w:val="28"/>
          <w:lang w:eastAsia="en-GB"/>
        </w:rPr>
        <w:t>Evaluation considerations</w:t>
      </w:r>
    </w:p>
    <w:p w14:paraId="2D80451F" w14:textId="1126AC62" w:rsidR="008A7860" w:rsidRPr="00E87473" w:rsidRDefault="008A7860" w:rsidP="00B92CFF">
      <w:pPr>
        <w:pStyle w:val="Paragraph"/>
        <w:spacing w:line="360" w:lineRule="auto"/>
        <w:rPr>
          <w:noProof w:val="0"/>
        </w:rPr>
      </w:pPr>
      <w:r w:rsidRPr="00E87473">
        <w:rPr>
          <w:noProof w:val="0"/>
        </w:rPr>
        <w:t>Evaluation of staff network activity is inherently nuanced. Many intended benefits</w:t>
      </w:r>
      <w:r w:rsidR="00581496" w:rsidRPr="00E87473">
        <w:rPr>
          <w:noProof w:val="0"/>
        </w:rPr>
        <w:t xml:space="preserve">, </w:t>
      </w:r>
      <w:r w:rsidRPr="00E87473">
        <w:rPr>
          <w:noProof w:val="0"/>
        </w:rPr>
        <w:t>such as increased belonging, confidence and psychological safety</w:t>
      </w:r>
      <w:r w:rsidR="00581496" w:rsidRPr="00E87473">
        <w:rPr>
          <w:noProof w:val="0"/>
        </w:rPr>
        <w:t xml:space="preserve">, </w:t>
      </w:r>
      <w:r w:rsidRPr="00E87473">
        <w:rPr>
          <w:noProof w:val="0"/>
        </w:rPr>
        <w:t>are qualitative, cumulative and not easily attributed to individual events. While inclusion survey data and qualitative feedback provide some insight, the organisation recognises that evaluation could be strengthened.</w:t>
      </w:r>
    </w:p>
    <w:p w14:paraId="2CE8798C" w14:textId="30336421" w:rsidR="008A7860" w:rsidRPr="00E87473" w:rsidRDefault="008A7860" w:rsidP="00B92CFF">
      <w:pPr>
        <w:pStyle w:val="Paragraph"/>
        <w:spacing w:line="360" w:lineRule="auto"/>
        <w:rPr>
          <w:noProof w:val="0"/>
        </w:rPr>
      </w:pPr>
      <w:r w:rsidRPr="00E87473">
        <w:rPr>
          <w:noProof w:val="0"/>
        </w:rPr>
        <w:t>For 2026–27, the People Team will support networks to set clearer objectives at the point of funding approval and to capture qualitative learning more consistently, while maintaining a proportionate approach that reflects the nature of this work.</w:t>
      </w:r>
    </w:p>
    <w:p w14:paraId="276C6233" w14:textId="77777777" w:rsidR="008A7860" w:rsidRPr="00E87473" w:rsidRDefault="008A7860" w:rsidP="008A7860">
      <w:pPr>
        <w:spacing w:before="100" w:beforeAutospacing="1" w:after="100" w:afterAutospacing="1" w:line="300" w:lineRule="atLeast"/>
        <w:outlineLvl w:val="1"/>
        <w:rPr>
          <w:rFonts w:ascii="Arial" w:hAnsi="Arial" w:cs="Arial"/>
          <w:b/>
          <w:bCs/>
          <w:sz w:val="28"/>
          <w:szCs w:val="28"/>
          <w:lang w:eastAsia="en-GB"/>
        </w:rPr>
      </w:pPr>
      <w:r w:rsidRPr="00E87473">
        <w:rPr>
          <w:rFonts w:ascii="Arial" w:hAnsi="Arial" w:cs="Arial"/>
          <w:b/>
          <w:bCs/>
          <w:sz w:val="28"/>
          <w:szCs w:val="28"/>
          <w:lang w:eastAsia="en-GB"/>
        </w:rPr>
        <w:t>Related EDI Investment Decisions (2025–26)</w:t>
      </w:r>
    </w:p>
    <w:p w14:paraId="04000F14" w14:textId="7C1121C2" w:rsidR="008A7860" w:rsidRPr="00E87473" w:rsidRDefault="008A7860" w:rsidP="00581496">
      <w:pPr>
        <w:numPr>
          <w:ilvl w:val="0"/>
          <w:numId w:val="38"/>
        </w:numPr>
        <w:spacing w:before="100" w:beforeAutospacing="1" w:after="100" w:afterAutospacing="1" w:line="360" w:lineRule="auto"/>
        <w:rPr>
          <w:rFonts w:ascii="Arial" w:hAnsi="Arial" w:cs="Arial"/>
          <w:lang w:eastAsia="en-GB"/>
        </w:rPr>
      </w:pPr>
      <w:r w:rsidRPr="00E87473">
        <w:rPr>
          <w:rFonts w:ascii="Arial" w:hAnsi="Arial" w:cs="Arial"/>
          <w:b/>
          <w:bCs/>
          <w:lang w:eastAsia="en-GB"/>
        </w:rPr>
        <w:t>Reverse mentoring (£20,000)</w:t>
      </w:r>
      <w:r w:rsidRPr="00E87473">
        <w:rPr>
          <w:rFonts w:ascii="Arial" w:hAnsi="Arial" w:cs="Arial"/>
          <w:lang w:eastAsia="en-GB"/>
        </w:rPr>
        <w:t>: Approved but not taken forward due to reprioritisation and learning about the most effective delivery model. It is not currently proposed for 2026–27, pending a revised approach.</w:t>
      </w:r>
    </w:p>
    <w:p w14:paraId="453AB49C" w14:textId="2EF0F451" w:rsidR="008A7860" w:rsidRPr="00E87473" w:rsidRDefault="008A7860" w:rsidP="00314463">
      <w:pPr>
        <w:numPr>
          <w:ilvl w:val="0"/>
          <w:numId w:val="38"/>
        </w:numPr>
        <w:spacing w:before="100" w:beforeAutospacing="1" w:after="100" w:afterAutospacing="1" w:line="360" w:lineRule="auto"/>
        <w:rPr>
          <w:rFonts w:ascii="Arial" w:hAnsi="Arial" w:cs="Arial"/>
          <w:lang w:eastAsia="en-GB"/>
        </w:rPr>
      </w:pPr>
      <w:r w:rsidRPr="00E87473">
        <w:rPr>
          <w:rFonts w:ascii="Arial" w:hAnsi="Arial" w:cs="Arial"/>
          <w:b/>
          <w:bCs/>
          <w:lang w:eastAsia="en-GB"/>
        </w:rPr>
        <w:t>Inclusive leadership training (£40,000)</w:t>
      </w:r>
      <w:r w:rsidRPr="00E87473">
        <w:rPr>
          <w:rFonts w:ascii="Arial" w:hAnsi="Arial" w:cs="Arial"/>
          <w:lang w:eastAsia="en-GB"/>
        </w:rPr>
        <w:t xml:space="preserve">: </w:t>
      </w:r>
      <w:r w:rsidR="0047609D" w:rsidRPr="00E87473">
        <w:rPr>
          <w:rFonts w:ascii="Arial" w:hAnsi="Arial" w:cs="Arial"/>
          <w:lang w:eastAsia="en-GB"/>
        </w:rPr>
        <w:t xml:space="preserve">Spent £26,278. </w:t>
      </w:r>
      <w:r w:rsidRPr="00E87473">
        <w:rPr>
          <w:rFonts w:ascii="Arial" w:hAnsi="Arial" w:cs="Arial"/>
          <w:lang w:eastAsia="en-GB"/>
        </w:rPr>
        <w:t>Delivered and well</w:t>
      </w:r>
      <w:r w:rsidRPr="00E87473">
        <w:rPr>
          <w:rFonts w:ascii="Arial" w:hAnsi="Arial" w:cs="Arial"/>
          <w:lang w:eastAsia="en-GB"/>
        </w:rPr>
        <w:noBreakHyphen/>
        <w:t xml:space="preserve">received. Interactive </w:t>
      </w:r>
      <w:r w:rsidR="0047609D" w:rsidRPr="00E87473">
        <w:rPr>
          <w:rFonts w:ascii="Arial" w:hAnsi="Arial" w:cs="Arial"/>
          <w:lang w:eastAsia="en-GB"/>
        </w:rPr>
        <w:t xml:space="preserve">and immersive </w:t>
      </w:r>
      <w:r w:rsidRPr="00E87473">
        <w:rPr>
          <w:rFonts w:ascii="Arial" w:hAnsi="Arial" w:cs="Arial"/>
          <w:lang w:eastAsia="en-GB"/>
        </w:rPr>
        <w:t>sessions were provided for People colleagues, senior leaders and staff network chairs</w:t>
      </w:r>
      <w:r w:rsidR="00581496" w:rsidRPr="00E87473">
        <w:rPr>
          <w:rFonts w:ascii="Arial" w:hAnsi="Arial" w:cs="Arial"/>
          <w:lang w:eastAsia="en-GB"/>
        </w:rPr>
        <w:t xml:space="preserve">- a cohort in total of around </w:t>
      </w:r>
      <w:r w:rsidR="00581496" w:rsidRPr="00E87473">
        <w:rPr>
          <w:rFonts w:ascii="Arial" w:hAnsi="Arial" w:cs="Arial"/>
          <w:lang w:eastAsia="en-GB"/>
        </w:rPr>
        <w:lastRenderedPageBreak/>
        <w:t>60 colleagues</w:t>
      </w:r>
      <w:r w:rsidRPr="00E87473">
        <w:rPr>
          <w:rFonts w:ascii="Arial" w:hAnsi="Arial" w:cs="Arial"/>
          <w:lang w:eastAsia="en-GB"/>
        </w:rPr>
        <w:t>, supporting shared leadership capability and inclusive behaviours</w:t>
      </w:r>
      <w:r w:rsidR="00F130CD" w:rsidRPr="00E87473">
        <w:rPr>
          <w:rFonts w:ascii="Arial" w:hAnsi="Arial" w:cs="Arial"/>
          <w:lang w:eastAsia="en-GB"/>
        </w:rPr>
        <w:t xml:space="preserve"> as identified in the EDI Roadmap.</w:t>
      </w:r>
    </w:p>
    <w:p w14:paraId="2E714BE4" w14:textId="77777777" w:rsidR="00565A3C" w:rsidRPr="00E87473" w:rsidRDefault="00565A3C" w:rsidP="00565A3C">
      <w:pPr>
        <w:pStyle w:val="Heading3"/>
        <w:spacing w:line="300" w:lineRule="atLeast"/>
        <w:rPr>
          <w:rStyle w:val="Strong"/>
          <w:b/>
          <w:bCs/>
          <w:sz w:val="28"/>
          <w:szCs w:val="28"/>
        </w:rPr>
      </w:pPr>
      <w:r w:rsidRPr="00E87473">
        <w:rPr>
          <w:rStyle w:val="Strong"/>
          <w:b/>
          <w:bCs/>
          <w:sz w:val="28"/>
          <w:szCs w:val="28"/>
        </w:rPr>
        <w:t>Inclusion survey context (December 2025)</w:t>
      </w:r>
    </w:p>
    <w:p w14:paraId="43567190" w14:textId="3D2782B6" w:rsidR="00565A3C" w:rsidRPr="00E87473" w:rsidRDefault="00565A3C" w:rsidP="000379AA">
      <w:pPr>
        <w:pStyle w:val="Paragraph"/>
        <w:spacing w:before="100" w:beforeAutospacing="1" w:after="100" w:afterAutospacing="1" w:line="360" w:lineRule="auto"/>
        <w:rPr>
          <w:rFonts w:cs="Arial"/>
          <w:noProof w:val="0"/>
        </w:rPr>
      </w:pPr>
      <w:r w:rsidRPr="00E87473">
        <w:rPr>
          <w:rFonts w:cs="Arial"/>
          <w:noProof w:val="0"/>
        </w:rPr>
        <w:t xml:space="preserve">The December 2025 Inclusion Survey provides additional context for evaluating </w:t>
      </w:r>
      <w:r w:rsidR="00057711" w:rsidRPr="00E87473">
        <w:rPr>
          <w:rFonts w:cs="Arial"/>
          <w:noProof w:val="0"/>
        </w:rPr>
        <w:t>EDI</w:t>
      </w:r>
      <w:r w:rsidRPr="00E87473">
        <w:rPr>
          <w:rFonts w:cs="Arial"/>
          <w:noProof w:val="0"/>
        </w:rPr>
        <w:t xml:space="preserve"> activity. The overall response rate increased to </w:t>
      </w:r>
      <w:r w:rsidRPr="00E87473">
        <w:rPr>
          <w:rStyle w:val="Strong"/>
          <w:rFonts w:cs="Arial"/>
          <w:b w:val="0"/>
          <w:bCs w:val="0"/>
          <w:noProof w:val="0"/>
        </w:rPr>
        <w:t>67%</w:t>
      </w:r>
      <w:r w:rsidRPr="00E87473">
        <w:rPr>
          <w:rFonts w:cs="Arial"/>
          <w:noProof w:val="0"/>
        </w:rPr>
        <w:t xml:space="preserve">, up from </w:t>
      </w:r>
      <w:r w:rsidRPr="00E87473">
        <w:rPr>
          <w:rStyle w:val="Strong"/>
          <w:rFonts w:cs="Arial"/>
          <w:b w:val="0"/>
          <w:bCs w:val="0"/>
          <w:noProof w:val="0"/>
        </w:rPr>
        <w:t>64%</w:t>
      </w:r>
      <w:r w:rsidRPr="00E87473">
        <w:rPr>
          <w:rFonts w:cs="Arial"/>
          <w:noProof w:val="0"/>
        </w:rPr>
        <w:t xml:space="preserve"> in the previous inclusion survey, indicating improved colleague engagement with inclusion</w:t>
      </w:r>
      <w:r w:rsidRPr="00E87473">
        <w:rPr>
          <w:rFonts w:cs="Arial"/>
          <w:noProof w:val="0"/>
        </w:rPr>
        <w:noBreakHyphen/>
        <w:t>related feedback processes. Organisation</w:t>
      </w:r>
      <w:r w:rsidRPr="00E87473">
        <w:rPr>
          <w:rFonts w:cs="Arial"/>
          <w:noProof w:val="0"/>
        </w:rPr>
        <w:noBreakHyphen/>
        <w:t xml:space="preserve">level results show </w:t>
      </w:r>
      <w:r w:rsidRPr="00E87473">
        <w:rPr>
          <w:rStyle w:val="Strong"/>
          <w:rFonts w:cs="Arial"/>
          <w:b w:val="0"/>
          <w:bCs w:val="0"/>
          <w:noProof w:val="0"/>
        </w:rPr>
        <w:t>improved confidence in Executive Team commitment to EDI</w:t>
      </w:r>
      <w:r w:rsidRPr="00E87473">
        <w:rPr>
          <w:rFonts w:cs="Arial"/>
          <w:noProof w:val="0"/>
        </w:rPr>
        <w:t>, while confidence in line managers’ commitment remained stable</w:t>
      </w:r>
      <w:r w:rsidR="00122EFB" w:rsidRPr="00E87473">
        <w:rPr>
          <w:rFonts w:cs="Arial"/>
          <w:noProof w:val="0"/>
        </w:rPr>
        <w:t xml:space="preserve"> and high</w:t>
      </w:r>
      <w:r w:rsidRPr="00E87473">
        <w:rPr>
          <w:rFonts w:cs="Arial"/>
          <w:noProof w:val="0"/>
        </w:rPr>
        <w:t>. The survey also introduced new questions on belonging and psychological safety, strengthening the organisation’s ability to understand cultural conditions over time. While progress is uneven across directorates and some measures</w:t>
      </w:r>
      <w:r w:rsidR="00C50A0F" w:rsidRPr="00E87473">
        <w:rPr>
          <w:rFonts w:cs="Arial"/>
          <w:noProof w:val="0"/>
        </w:rPr>
        <w:t>,</w:t>
      </w:r>
      <w:r w:rsidRPr="00E87473">
        <w:rPr>
          <w:rFonts w:cs="Arial"/>
          <w:noProof w:val="0"/>
        </w:rPr>
        <w:t xml:space="preserve"> particularly confidence in fair progression</w:t>
      </w:r>
      <w:r w:rsidR="00C50A0F" w:rsidRPr="00E87473">
        <w:rPr>
          <w:rFonts w:cs="Arial"/>
          <w:noProof w:val="0"/>
        </w:rPr>
        <w:t>,</w:t>
      </w:r>
      <w:r w:rsidRPr="00E87473">
        <w:rPr>
          <w:rFonts w:cs="Arial"/>
          <w:noProof w:val="0"/>
        </w:rPr>
        <w:t xml:space="preserve"> have declined, the survey evidence suggests </w:t>
      </w:r>
      <w:r w:rsidRPr="00E87473">
        <w:rPr>
          <w:rStyle w:val="Strong"/>
          <w:rFonts w:cs="Arial"/>
          <w:b w:val="0"/>
          <w:bCs w:val="0"/>
          <w:noProof w:val="0"/>
        </w:rPr>
        <w:t>incremental improvement in leadership</w:t>
      </w:r>
      <w:r w:rsidRPr="00E87473">
        <w:rPr>
          <w:rStyle w:val="Strong"/>
          <w:rFonts w:cs="Arial"/>
          <w:b w:val="0"/>
          <w:bCs w:val="0"/>
          <w:noProof w:val="0"/>
        </w:rPr>
        <w:noBreakHyphen/>
        <w:t>level EDI confidence and engagement</w:t>
      </w:r>
      <w:r w:rsidRPr="00E87473">
        <w:rPr>
          <w:rFonts w:cs="Arial"/>
          <w:b/>
          <w:bCs/>
          <w:noProof w:val="0"/>
        </w:rPr>
        <w:t>,</w:t>
      </w:r>
      <w:r w:rsidRPr="00E87473">
        <w:rPr>
          <w:rFonts w:cs="Arial"/>
          <w:noProof w:val="0"/>
        </w:rPr>
        <w:t xml:space="preserve"> providing important context for the targeted, proportionate network activity delivered during the year.</w:t>
      </w:r>
      <w:r w:rsidR="002B00DF" w:rsidRPr="00E87473">
        <w:rPr>
          <w:rFonts w:cs="Arial"/>
          <w:noProof w:val="0"/>
        </w:rPr>
        <w:t xml:space="preserve"> Additionally, The December 2025 Inclusion Survey shows a continued organisational</w:t>
      </w:r>
      <w:r w:rsidR="002B00DF" w:rsidRPr="00E87473">
        <w:rPr>
          <w:rFonts w:cs="Arial"/>
          <w:noProof w:val="0"/>
        </w:rPr>
        <w:noBreakHyphen/>
        <w:t>level decline in bullying and harassment, with personal experience reducing to around 5%, down from 7% in December 2024 and 10% in February 2024</w:t>
      </w:r>
      <w:r w:rsidR="00B347D4" w:rsidRPr="00E87473">
        <w:rPr>
          <w:rFonts w:cs="Arial"/>
          <w:noProof w:val="0"/>
        </w:rPr>
        <w:t>, as well as a reduction of experienced discrimination from 6% to 5.2%</w:t>
      </w:r>
      <w:r w:rsidR="002B00DF" w:rsidRPr="00E87473">
        <w:rPr>
          <w:rFonts w:cs="Arial"/>
          <w:noProof w:val="0"/>
        </w:rPr>
        <w:t>. While disparities remain for some groups, year</w:t>
      </w:r>
      <w:r w:rsidR="002B00DF" w:rsidRPr="00E87473">
        <w:rPr>
          <w:rFonts w:cs="Arial"/>
          <w:noProof w:val="0"/>
        </w:rPr>
        <w:noBreakHyphen/>
        <w:t>on</w:t>
      </w:r>
      <w:r w:rsidR="002B00DF" w:rsidRPr="00E87473">
        <w:rPr>
          <w:rFonts w:cs="Arial"/>
          <w:noProof w:val="0"/>
        </w:rPr>
        <w:noBreakHyphen/>
        <w:t>year improvements provide assurance of a positive overall trajectory.</w:t>
      </w:r>
    </w:p>
    <w:p w14:paraId="4AB61996" w14:textId="77777777" w:rsidR="00314463" w:rsidRPr="00E87473" w:rsidRDefault="00314463" w:rsidP="00314463">
      <w:pPr>
        <w:pStyle w:val="Heading1boardreport"/>
      </w:pPr>
      <w:r w:rsidRPr="00E87473">
        <w:t>Proposed spend for 2026–27</w:t>
      </w:r>
    </w:p>
    <w:p w14:paraId="47006271" w14:textId="77777777" w:rsidR="00314463" w:rsidRPr="00E87473" w:rsidRDefault="00314463" w:rsidP="00314463">
      <w:pPr>
        <w:pStyle w:val="Heading2"/>
        <w:rPr>
          <w:lang w:eastAsia="en-GB"/>
        </w:rPr>
      </w:pPr>
      <w:r w:rsidRPr="00E87473">
        <w:rPr>
          <w:lang w:eastAsia="en-GB"/>
        </w:rPr>
        <w:t>1. Corporate affiliation with LGBT Foundation</w:t>
      </w:r>
    </w:p>
    <w:p w14:paraId="74CD5673" w14:textId="77777777" w:rsidR="00314463" w:rsidRPr="00E87473" w:rsidRDefault="00314463" w:rsidP="00314463">
      <w:pPr>
        <w:pStyle w:val="Heading3"/>
        <w:rPr>
          <w:lang w:eastAsia="en-GB"/>
        </w:rPr>
      </w:pPr>
      <w:r w:rsidRPr="00E87473">
        <w:rPr>
          <w:lang w:eastAsia="en-GB"/>
        </w:rPr>
        <w:t>What this provides</w:t>
      </w:r>
    </w:p>
    <w:p w14:paraId="047A6BF9" w14:textId="77777777" w:rsidR="00314463" w:rsidRPr="00E87473" w:rsidRDefault="00314463" w:rsidP="00314463">
      <w:pPr>
        <w:numPr>
          <w:ilvl w:val="0"/>
          <w:numId w:val="29"/>
        </w:numPr>
        <w:spacing w:after="160" w:line="360" w:lineRule="auto"/>
        <w:rPr>
          <w:rFonts w:ascii="Arial" w:hAnsi="Arial" w:cs="Arial"/>
          <w:lang w:eastAsia="en-GB"/>
        </w:rPr>
      </w:pPr>
      <w:r w:rsidRPr="00E87473">
        <w:rPr>
          <w:rFonts w:ascii="Arial" w:hAnsi="Arial" w:cs="Arial"/>
          <w:lang w:eastAsia="en-GB"/>
        </w:rPr>
        <w:t>Access to sector</w:t>
      </w:r>
      <w:r w:rsidRPr="00E87473">
        <w:rPr>
          <w:rFonts w:ascii="Arial" w:hAnsi="Arial" w:cs="Arial"/>
          <w:lang w:eastAsia="en-GB"/>
        </w:rPr>
        <w:noBreakHyphen/>
        <w:t>relevant learning and development focused on LGBTQ+ health, wellbeing and inclusion in health and social care contexts.</w:t>
      </w:r>
    </w:p>
    <w:p w14:paraId="678CDC0A" w14:textId="77777777" w:rsidR="00314463" w:rsidRPr="00E87473" w:rsidRDefault="00314463" w:rsidP="00314463">
      <w:pPr>
        <w:numPr>
          <w:ilvl w:val="0"/>
          <w:numId w:val="29"/>
        </w:numPr>
        <w:spacing w:after="160" w:line="360" w:lineRule="auto"/>
        <w:rPr>
          <w:rFonts w:ascii="Arial" w:hAnsi="Arial" w:cs="Arial"/>
          <w:lang w:eastAsia="en-GB"/>
        </w:rPr>
      </w:pPr>
      <w:r w:rsidRPr="00E87473">
        <w:rPr>
          <w:rFonts w:ascii="Arial" w:hAnsi="Arial" w:cs="Arial"/>
          <w:lang w:eastAsia="en-GB"/>
        </w:rPr>
        <w:t>Engagement opportunities for colleagues (virtual and in</w:t>
      </w:r>
      <w:r w:rsidRPr="00E87473">
        <w:rPr>
          <w:rFonts w:ascii="Arial" w:hAnsi="Arial" w:cs="Arial"/>
          <w:lang w:eastAsia="en-GB"/>
        </w:rPr>
        <w:noBreakHyphen/>
        <w:t>person), accessible across office</w:t>
      </w:r>
      <w:r w:rsidRPr="00E87473">
        <w:rPr>
          <w:rFonts w:ascii="Arial" w:hAnsi="Arial" w:cs="Arial"/>
          <w:lang w:eastAsia="en-GB"/>
        </w:rPr>
        <w:noBreakHyphen/>
        <w:t>based, hybrid and remote roles.</w:t>
      </w:r>
    </w:p>
    <w:p w14:paraId="21E24865" w14:textId="77777777" w:rsidR="00314463" w:rsidRPr="00E87473" w:rsidRDefault="00314463" w:rsidP="00314463">
      <w:pPr>
        <w:numPr>
          <w:ilvl w:val="0"/>
          <w:numId w:val="29"/>
        </w:numPr>
        <w:spacing w:after="160" w:line="360" w:lineRule="auto"/>
        <w:rPr>
          <w:rFonts w:ascii="Arial" w:hAnsi="Arial" w:cs="Arial"/>
          <w:lang w:eastAsia="en-GB"/>
        </w:rPr>
      </w:pPr>
      <w:r w:rsidRPr="00E87473">
        <w:rPr>
          <w:rFonts w:ascii="Arial" w:hAnsi="Arial" w:cs="Arial"/>
          <w:lang w:eastAsia="en-GB"/>
        </w:rPr>
        <w:lastRenderedPageBreak/>
        <w:t>Expert insight to inform NICE’s ongoing EDI learning without reliance on campaigning or advocacy</w:t>
      </w:r>
      <w:r w:rsidRPr="00E87473">
        <w:rPr>
          <w:rFonts w:ascii="Arial" w:hAnsi="Arial" w:cs="Arial"/>
          <w:lang w:eastAsia="en-GB"/>
        </w:rPr>
        <w:noBreakHyphen/>
        <w:t>led models.</w:t>
      </w:r>
    </w:p>
    <w:p w14:paraId="01001F97" w14:textId="77777777" w:rsidR="00314463" w:rsidRPr="00E87473" w:rsidRDefault="00314463" w:rsidP="00314463">
      <w:pPr>
        <w:numPr>
          <w:ilvl w:val="0"/>
          <w:numId w:val="30"/>
        </w:numPr>
        <w:spacing w:after="160" w:line="360" w:lineRule="auto"/>
        <w:rPr>
          <w:rFonts w:ascii="Arial" w:hAnsi="Arial" w:cs="Arial"/>
          <w:lang w:eastAsia="en-GB"/>
        </w:rPr>
      </w:pPr>
      <w:r w:rsidRPr="00E87473">
        <w:rPr>
          <w:rFonts w:ascii="Arial" w:hAnsi="Arial" w:cs="Arial"/>
          <w:lang w:eastAsia="en-GB"/>
        </w:rPr>
        <w:t>A credible, trusted external relationship that responds directly to colleague feedback and lived experience.</w:t>
      </w:r>
    </w:p>
    <w:p w14:paraId="01081EC4" w14:textId="77777777" w:rsidR="00314463" w:rsidRPr="00E87473" w:rsidRDefault="00314463" w:rsidP="00314463">
      <w:pPr>
        <w:pStyle w:val="Heading3"/>
        <w:rPr>
          <w:lang w:eastAsia="en-GB"/>
        </w:rPr>
      </w:pPr>
      <w:r w:rsidRPr="00E87473">
        <w:rPr>
          <w:lang w:eastAsia="en-GB"/>
        </w:rPr>
        <w:t>Why LGBT Foundation</w:t>
      </w:r>
    </w:p>
    <w:p w14:paraId="2F90F5D5" w14:textId="77777777" w:rsidR="00314463" w:rsidRPr="00E87473" w:rsidRDefault="00314463" w:rsidP="00351CBD">
      <w:pPr>
        <w:pStyle w:val="NICEnormalnumbered"/>
        <w:rPr>
          <w:noProof w:val="0"/>
        </w:rPr>
      </w:pPr>
      <w:r w:rsidRPr="00E87473">
        <w:rPr>
          <w:noProof w:val="0"/>
        </w:rPr>
        <w:t>LGBT Foundation is a nationally recognised charity with a strong track record of working with public sector organisations to address health inequalities affecting LGBTQ+ people. Its emphasis on lived experience, co</w:t>
      </w:r>
      <w:r w:rsidRPr="00E87473">
        <w:rPr>
          <w:noProof w:val="0"/>
        </w:rPr>
        <w:noBreakHyphen/>
        <w:t>production and wellbeing aligns closely with NICE’s values and responsibilities.</w:t>
      </w:r>
    </w:p>
    <w:p w14:paraId="479E9726" w14:textId="77777777" w:rsidR="00314463" w:rsidRPr="00E87473" w:rsidRDefault="00314463" w:rsidP="00314463">
      <w:pPr>
        <w:pStyle w:val="Heading3"/>
        <w:rPr>
          <w:lang w:eastAsia="en-GB"/>
        </w:rPr>
      </w:pPr>
      <w:r w:rsidRPr="00E87473">
        <w:rPr>
          <w:lang w:eastAsia="en-GB"/>
        </w:rPr>
        <w:t>Cost and governance</w:t>
      </w:r>
    </w:p>
    <w:p w14:paraId="2A195B7B" w14:textId="77777777" w:rsidR="00314463" w:rsidRPr="00E87473" w:rsidRDefault="00314463" w:rsidP="00314463">
      <w:pPr>
        <w:numPr>
          <w:ilvl w:val="0"/>
          <w:numId w:val="31"/>
        </w:numPr>
        <w:spacing w:after="160" w:line="360" w:lineRule="auto"/>
        <w:rPr>
          <w:rFonts w:ascii="Arial" w:hAnsi="Arial" w:cs="Arial"/>
          <w:lang w:eastAsia="en-GB"/>
        </w:rPr>
      </w:pPr>
      <w:r w:rsidRPr="00E87473">
        <w:rPr>
          <w:rFonts w:ascii="Arial" w:hAnsi="Arial" w:cs="Arial"/>
          <w:lang w:eastAsia="en-GB"/>
        </w:rPr>
        <w:t xml:space="preserve">Corporate membership starts from </w:t>
      </w:r>
      <w:r w:rsidRPr="00E87473">
        <w:rPr>
          <w:rFonts w:ascii="Arial" w:hAnsi="Arial" w:cs="Arial"/>
          <w:b/>
          <w:bCs/>
          <w:lang w:eastAsia="en-GB"/>
        </w:rPr>
        <w:t>£2,500 per annum</w:t>
      </w:r>
      <w:r w:rsidRPr="00E87473">
        <w:rPr>
          <w:rFonts w:ascii="Arial" w:hAnsi="Arial" w:cs="Arial"/>
          <w:lang w:eastAsia="en-GB"/>
        </w:rPr>
        <w:t>.</w:t>
      </w:r>
    </w:p>
    <w:p w14:paraId="29D74CE2" w14:textId="77777777" w:rsidR="00314463" w:rsidRPr="00E87473" w:rsidRDefault="00314463" w:rsidP="00314463">
      <w:pPr>
        <w:numPr>
          <w:ilvl w:val="0"/>
          <w:numId w:val="31"/>
        </w:numPr>
        <w:spacing w:after="160" w:line="360" w:lineRule="auto"/>
        <w:rPr>
          <w:rFonts w:ascii="Arial" w:hAnsi="Arial" w:cs="Arial"/>
          <w:lang w:eastAsia="en-GB"/>
        </w:rPr>
      </w:pPr>
      <w:r w:rsidRPr="00E87473">
        <w:rPr>
          <w:rFonts w:ascii="Arial" w:hAnsi="Arial" w:cs="Arial"/>
          <w:lang w:eastAsia="en-GB"/>
        </w:rPr>
        <w:t xml:space="preserve">It is proposed that NICE </w:t>
      </w:r>
      <w:proofErr w:type="gramStart"/>
      <w:r w:rsidRPr="00E87473">
        <w:rPr>
          <w:rFonts w:ascii="Arial" w:hAnsi="Arial" w:cs="Arial"/>
          <w:lang w:eastAsia="en-GB"/>
        </w:rPr>
        <w:t>enters into</w:t>
      </w:r>
      <w:proofErr w:type="gramEnd"/>
      <w:r w:rsidRPr="00E87473">
        <w:rPr>
          <w:rFonts w:ascii="Arial" w:hAnsi="Arial" w:cs="Arial"/>
          <w:lang w:eastAsia="en-GB"/>
        </w:rPr>
        <w:t xml:space="preserve"> a </w:t>
      </w:r>
      <w:r w:rsidRPr="00E87473">
        <w:rPr>
          <w:rFonts w:ascii="Arial" w:hAnsi="Arial" w:cs="Arial"/>
          <w:b/>
          <w:bCs/>
          <w:lang w:eastAsia="en-GB"/>
        </w:rPr>
        <w:t>one</w:t>
      </w:r>
      <w:r w:rsidRPr="00E87473">
        <w:rPr>
          <w:rFonts w:ascii="Arial" w:hAnsi="Arial" w:cs="Arial"/>
          <w:b/>
          <w:bCs/>
          <w:lang w:eastAsia="en-GB"/>
        </w:rPr>
        <w:noBreakHyphen/>
        <w:t>year affiliation</w:t>
      </w:r>
      <w:r w:rsidRPr="00E87473">
        <w:rPr>
          <w:rFonts w:ascii="Arial" w:hAnsi="Arial" w:cs="Arial"/>
          <w:lang w:eastAsia="en-GB"/>
        </w:rPr>
        <w:t>, with a clear expectation of annual review at a cost of £2,500.</w:t>
      </w:r>
    </w:p>
    <w:p w14:paraId="43AD53B7" w14:textId="77777777" w:rsidR="00314463" w:rsidRPr="00E87473" w:rsidRDefault="00314463" w:rsidP="00314463">
      <w:pPr>
        <w:numPr>
          <w:ilvl w:val="0"/>
          <w:numId w:val="31"/>
        </w:numPr>
        <w:spacing w:after="160" w:line="360" w:lineRule="auto"/>
        <w:rPr>
          <w:rFonts w:ascii="Arial" w:hAnsi="Arial" w:cs="Arial"/>
          <w:lang w:eastAsia="en-GB"/>
        </w:rPr>
      </w:pPr>
      <w:r w:rsidRPr="00E87473">
        <w:rPr>
          <w:rFonts w:ascii="Arial" w:hAnsi="Arial" w:cs="Arial"/>
          <w:lang w:eastAsia="en-GB"/>
        </w:rPr>
        <w:t>Review will consider:</w:t>
      </w:r>
    </w:p>
    <w:p w14:paraId="6B71769C" w14:textId="77777777" w:rsidR="00314463" w:rsidRPr="00E87473" w:rsidRDefault="00314463" w:rsidP="00314463">
      <w:pPr>
        <w:numPr>
          <w:ilvl w:val="1"/>
          <w:numId w:val="31"/>
        </w:numPr>
        <w:spacing w:after="160" w:line="360" w:lineRule="auto"/>
        <w:rPr>
          <w:rFonts w:ascii="Arial" w:hAnsi="Arial" w:cs="Arial"/>
          <w:lang w:eastAsia="en-GB"/>
        </w:rPr>
      </w:pPr>
      <w:r w:rsidRPr="00E87473">
        <w:rPr>
          <w:rFonts w:ascii="Arial" w:hAnsi="Arial" w:cs="Arial"/>
          <w:lang w:eastAsia="en-GB"/>
        </w:rPr>
        <w:t>Feedback from NAP members and LGBTQ+ colleagues.</w:t>
      </w:r>
    </w:p>
    <w:p w14:paraId="7AE0246C" w14:textId="77777777" w:rsidR="00314463" w:rsidRPr="00E87473" w:rsidRDefault="00314463" w:rsidP="00314463">
      <w:pPr>
        <w:numPr>
          <w:ilvl w:val="1"/>
          <w:numId w:val="31"/>
        </w:numPr>
        <w:spacing w:after="160" w:line="360" w:lineRule="auto"/>
        <w:rPr>
          <w:rFonts w:ascii="Arial" w:hAnsi="Arial" w:cs="Arial"/>
          <w:lang w:eastAsia="en-GB"/>
        </w:rPr>
      </w:pPr>
      <w:r w:rsidRPr="00E87473">
        <w:rPr>
          <w:rFonts w:ascii="Arial" w:hAnsi="Arial" w:cs="Arial"/>
          <w:lang w:eastAsia="en-GB"/>
        </w:rPr>
        <w:t>Relevant inclusion survey measures (belonging, psychological safety, engagement).</w:t>
      </w:r>
    </w:p>
    <w:p w14:paraId="03E236DA" w14:textId="77777777" w:rsidR="00314463" w:rsidRPr="00E87473" w:rsidRDefault="00314463" w:rsidP="00314463">
      <w:pPr>
        <w:numPr>
          <w:ilvl w:val="1"/>
          <w:numId w:val="31"/>
        </w:numPr>
        <w:spacing w:after="160" w:line="360" w:lineRule="auto"/>
        <w:rPr>
          <w:rFonts w:ascii="Arial" w:hAnsi="Arial" w:cs="Arial"/>
          <w:lang w:eastAsia="en-GB"/>
        </w:rPr>
      </w:pPr>
      <w:r w:rsidRPr="00E87473">
        <w:rPr>
          <w:rFonts w:ascii="Arial" w:hAnsi="Arial" w:cs="Arial"/>
          <w:lang w:eastAsia="en-GB"/>
        </w:rPr>
        <w:t>Alignment with the EDI Roadmap, People Strategy and anchor institution objectives.</w:t>
      </w:r>
    </w:p>
    <w:p w14:paraId="185F072A" w14:textId="77777777" w:rsidR="00314463" w:rsidRPr="00E87473" w:rsidRDefault="00314463" w:rsidP="00405932">
      <w:pPr>
        <w:pStyle w:val="NICEnormalnumbered"/>
        <w:rPr>
          <w:noProof w:val="0"/>
        </w:rPr>
      </w:pPr>
      <w:r w:rsidRPr="00E87473">
        <w:rPr>
          <w:noProof w:val="0"/>
        </w:rPr>
        <w:t>This approach ensures proportionality, value for money and Board oversight.</w:t>
      </w:r>
    </w:p>
    <w:p w14:paraId="10A2920E" w14:textId="77777777" w:rsidR="00314463" w:rsidRPr="00E87473" w:rsidRDefault="00314463" w:rsidP="00314463">
      <w:pPr>
        <w:pStyle w:val="Heading2"/>
        <w:rPr>
          <w:lang w:eastAsia="en-GB"/>
        </w:rPr>
      </w:pPr>
      <w:r w:rsidRPr="00E87473">
        <w:rPr>
          <w:lang w:eastAsia="en-GB"/>
        </w:rPr>
        <w:t>2. Staff networks budget</w:t>
      </w:r>
    </w:p>
    <w:p w14:paraId="47C9D49D" w14:textId="77777777" w:rsidR="00314463" w:rsidRPr="00E87473" w:rsidRDefault="00314463" w:rsidP="00314463">
      <w:pPr>
        <w:pStyle w:val="Heading3"/>
        <w:rPr>
          <w:lang w:eastAsia="en-GB"/>
        </w:rPr>
      </w:pPr>
      <w:r w:rsidRPr="00E87473">
        <w:rPr>
          <w:lang w:eastAsia="en-GB"/>
        </w:rPr>
        <w:t>Proposal</w:t>
      </w:r>
    </w:p>
    <w:p w14:paraId="24EE6759" w14:textId="77777777" w:rsidR="00314463" w:rsidRPr="00E87473" w:rsidRDefault="00314463" w:rsidP="00314463">
      <w:pPr>
        <w:numPr>
          <w:ilvl w:val="0"/>
          <w:numId w:val="32"/>
        </w:numPr>
        <w:spacing w:after="160" w:line="360" w:lineRule="auto"/>
        <w:rPr>
          <w:rFonts w:ascii="Arial" w:hAnsi="Arial" w:cs="Arial"/>
          <w:lang w:eastAsia="en-GB"/>
        </w:rPr>
      </w:pPr>
      <w:r w:rsidRPr="00E87473">
        <w:rPr>
          <w:rFonts w:ascii="Arial" w:hAnsi="Arial" w:cs="Arial"/>
          <w:lang w:eastAsia="en-GB"/>
        </w:rPr>
        <w:t xml:space="preserve">A central budget of </w:t>
      </w:r>
      <w:r w:rsidRPr="00E87473">
        <w:rPr>
          <w:rFonts w:ascii="Arial" w:hAnsi="Arial" w:cs="Arial"/>
          <w:b/>
          <w:bCs/>
          <w:lang w:eastAsia="en-GB"/>
        </w:rPr>
        <w:t>£10,000</w:t>
      </w:r>
      <w:r w:rsidRPr="00E87473">
        <w:rPr>
          <w:rFonts w:ascii="Arial" w:hAnsi="Arial" w:cs="Arial"/>
          <w:lang w:eastAsia="en-GB"/>
        </w:rPr>
        <w:t xml:space="preserve"> (£2,500 per network, based on four networks) to support staff</w:t>
      </w:r>
      <w:r w:rsidRPr="00E87473">
        <w:rPr>
          <w:rFonts w:ascii="Arial" w:hAnsi="Arial" w:cs="Arial"/>
          <w:lang w:eastAsia="en-GB"/>
        </w:rPr>
        <w:noBreakHyphen/>
        <w:t>led activity such as awareness events, guest speakers and learning sessions.</w:t>
      </w:r>
    </w:p>
    <w:p w14:paraId="68FF92C7" w14:textId="77777777" w:rsidR="00314463" w:rsidRPr="00E87473" w:rsidRDefault="00314463" w:rsidP="00314463">
      <w:pPr>
        <w:pStyle w:val="Heading3"/>
        <w:rPr>
          <w:lang w:eastAsia="en-GB"/>
        </w:rPr>
      </w:pPr>
      <w:r w:rsidRPr="00E87473">
        <w:rPr>
          <w:lang w:eastAsia="en-GB"/>
        </w:rPr>
        <w:lastRenderedPageBreak/>
        <w:t>Rationale</w:t>
      </w:r>
    </w:p>
    <w:p w14:paraId="2FAEC724" w14:textId="77777777" w:rsidR="00314463" w:rsidRPr="00E87473" w:rsidRDefault="00314463" w:rsidP="00405932">
      <w:pPr>
        <w:pStyle w:val="NICEnormalnumbered"/>
        <w:rPr>
          <w:noProof w:val="0"/>
        </w:rPr>
      </w:pPr>
      <w:r w:rsidRPr="00E87473">
        <w:rPr>
          <w:noProof w:val="0"/>
        </w:rPr>
        <w:t>Staff networks play an important role in culture</w:t>
      </w:r>
      <w:r w:rsidRPr="00E87473">
        <w:rPr>
          <w:noProof w:val="0"/>
        </w:rPr>
        <w:noBreakHyphen/>
        <w:t>building and awareness raising. A modest, clearly defined budget enables networks to deliver planned activity while remaining within procurement thresholds and standing financial instructions. The People Team will support networks to plan activity and ensure spend is aligned to agreed objectives.</w:t>
      </w:r>
    </w:p>
    <w:p w14:paraId="18468CC1" w14:textId="77777777" w:rsidR="00314463" w:rsidRPr="00E87473" w:rsidRDefault="00314463" w:rsidP="00314463">
      <w:pPr>
        <w:pStyle w:val="Heading1boardreport"/>
      </w:pPr>
      <w:r w:rsidRPr="00E87473">
        <w:t xml:space="preserve">Finance / HR / legal implications </w:t>
      </w:r>
    </w:p>
    <w:p w14:paraId="6592784A" w14:textId="77777777" w:rsidR="00314463" w:rsidRPr="00E87473" w:rsidRDefault="00314463" w:rsidP="00314463">
      <w:pPr>
        <w:pStyle w:val="Heading2"/>
      </w:pPr>
      <w:r w:rsidRPr="00E87473">
        <w:t>Financial implications</w:t>
      </w:r>
    </w:p>
    <w:p w14:paraId="3F1DA738" w14:textId="77777777" w:rsidR="00314463" w:rsidRPr="00E87473" w:rsidRDefault="00314463" w:rsidP="00351CBD">
      <w:pPr>
        <w:pStyle w:val="NICEnormalnumbered"/>
        <w:rPr>
          <w:noProof w:val="0"/>
        </w:rPr>
      </w:pPr>
      <w:r w:rsidRPr="00E87473">
        <w:rPr>
          <w:noProof w:val="0"/>
        </w:rPr>
        <w:t>The proposed spend is modest and contained within existing People and EDI budgets for 2026–27. All expenditure will comply with DHSC spend controls, NICE’s standing financial instructions and procurement thresholds. The one</w:t>
      </w:r>
      <w:r w:rsidRPr="00E87473">
        <w:rPr>
          <w:noProof w:val="0"/>
        </w:rPr>
        <w:noBreakHyphen/>
        <w:t>year, reviewable nature of the affiliation provides assurance on value for money and avoids longer</w:t>
      </w:r>
      <w:r w:rsidRPr="00E87473">
        <w:rPr>
          <w:noProof w:val="0"/>
        </w:rPr>
        <w:noBreakHyphen/>
        <w:t>term financial commitment.</w:t>
      </w:r>
    </w:p>
    <w:p w14:paraId="6FA4DE3E" w14:textId="77777777" w:rsidR="00314463" w:rsidRPr="00E87473" w:rsidRDefault="00314463" w:rsidP="00314463">
      <w:pPr>
        <w:pStyle w:val="Heading2"/>
      </w:pPr>
      <w:r w:rsidRPr="00E87473">
        <w:t>Legal implications</w:t>
      </w:r>
    </w:p>
    <w:p w14:paraId="22EED4A1" w14:textId="77777777" w:rsidR="00314463" w:rsidRPr="00E87473" w:rsidRDefault="00314463" w:rsidP="00351CBD">
      <w:pPr>
        <w:pStyle w:val="NICEnormalnumbered"/>
        <w:rPr>
          <w:noProof w:val="0"/>
        </w:rPr>
      </w:pPr>
      <w:r w:rsidRPr="00E87473">
        <w:rPr>
          <w:noProof w:val="0"/>
        </w:rPr>
        <w:t>There are no anticipated legal risks arising from the proposals. Any contractual arrangements with LGBT Foundation will be managed through standard NICE contracting processes to ensure clarity of scope, deliverables and termination provisions.</w:t>
      </w:r>
    </w:p>
    <w:p w14:paraId="3F5FF1BD" w14:textId="77777777" w:rsidR="00314463" w:rsidRPr="00E87473" w:rsidRDefault="00314463" w:rsidP="00314463">
      <w:pPr>
        <w:pStyle w:val="Heading2"/>
      </w:pPr>
      <w:r w:rsidRPr="00E87473">
        <w:t>HR implications</w:t>
      </w:r>
    </w:p>
    <w:p w14:paraId="5EC9C3EA" w14:textId="77777777" w:rsidR="00314463" w:rsidRPr="00E87473" w:rsidRDefault="00314463" w:rsidP="00351CBD">
      <w:pPr>
        <w:pStyle w:val="NICEnormalnumbered"/>
        <w:rPr>
          <w:noProof w:val="0"/>
        </w:rPr>
      </w:pPr>
      <w:r w:rsidRPr="00E87473">
        <w:rPr>
          <w:noProof w:val="0"/>
        </w:rPr>
        <w:t>The proposals support delivery of the EDI Roadmap and People Strategy by addressing evidenced disparities in colleague experience. They complement, rather than replace, internal HR and EDI activity, and do not introduce changes to terms and conditions or employment policies.</w:t>
      </w:r>
    </w:p>
    <w:p w14:paraId="53D0834F" w14:textId="77777777" w:rsidR="00314463" w:rsidRPr="00E87473" w:rsidRDefault="00314463" w:rsidP="00314463">
      <w:pPr>
        <w:pStyle w:val="Heading1boardreport"/>
      </w:pPr>
      <w:r w:rsidRPr="00E87473">
        <w:t>Future considerations</w:t>
      </w:r>
    </w:p>
    <w:p w14:paraId="014A5B79" w14:textId="77777777" w:rsidR="00314463" w:rsidRPr="00E87473" w:rsidRDefault="00314463" w:rsidP="00351CBD">
      <w:pPr>
        <w:pStyle w:val="NICEnormalnumbered"/>
        <w:rPr>
          <w:b/>
          <w:bCs/>
          <w:noProof w:val="0"/>
        </w:rPr>
      </w:pPr>
      <w:r w:rsidRPr="00E87473">
        <w:rPr>
          <w:noProof w:val="0"/>
        </w:rPr>
        <w:t>Subject to evaluation of impact and value from the LGBT Foundation affiliation, NICE may explore affiliation with other staff networks or external organisations in the future. Any such proposals would be:</w:t>
      </w:r>
    </w:p>
    <w:p w14:paraId="1CA3E868" w14:textId="77777777" w:rsidR="00314463" w:rsidRPr="00E87473" w:rsidRDefault="00314463" w:rsidP="00314463">
      <w:pPr>
        <w:pStyle w:val="Heading1boardreport"/>
        <w:numPr>
          <w:ilvl w:val="0"/>
          <w:numId w:val="36"/>
        </w:numPr>
        <w:rPr>
          <w:rFonts w:cs="Times New Roman"/>
          <w:b w:val="0"/>
          <w:bCs w:val="0"/>
          <w:kern w:val="0"/>
          <w:sz w:val="24"/>
          <w:szCs w:val="24"/>
          <w:lang w:eastAsia="en-GB"/>
        </w:rPr>
      </w:pPr>
      <w:r w:rsidRPr="00E87473">
        <w:rPr>
          <w:rFonts w:cs="Times New Roman"/>
          <w:b w:val="0"/>
          <w:bCs w:val="0"/>
          <w:kern w:val="0"/>
          <w:sz w:val="24"/>
          <w:szCs w:val="24"/>
          <w:lang w:eastAsia="en-GB"/>
        </w:rPr>
        <w:lastRenderedPageBreak/>
        <w:t>Informed by evidence of impact from this initial partnership.</w:t>
      </w:r>
    </w:p>
    <w:p w14:paraId="5717A124" w14:textId="77777777" w:rsidR="00314463" w:rsidRPr="00E87473" w:rsidRDefault="00314463" w:rsidP="00314463">
      <w:pPr>
        <w:pStyle w:val="Heading1boardreport"/>
        <w:numPr>
          <w:ilvl w:val="0"/>
          <w:numId w:val="36"/>
        </w:numPr>
        <w:rPr>
          <w:rFonts w:cs="Times New Roman"/>
          <w:b w:val="0"/>
          <w:bCs w:val="0"/>
          <w:kern w:val="0"/>
          <w:sz w:val="24"/>
          <w:szCs w:val="24"/>
          <w:lang w:eastAsia="en-GB"/>
        </w:rPr>
      </w:pPr>
      <w:r w:rsidRPr="00E87473">
        <w:rPr>
          <w:rFonts w:cs="Times New Roman"/>
          <w:b w:val="0"/>
          <w:bCs w:val="0"/>
          <w:kern w:val="0"/>
          <w:sz w:val="24"/>
          <w:szCs w:val="24"/>
          <w:lang w:eastAsia="en-GB"/>
        </w:rPr>
        <w:t>Considered in the context of the EDI Roadmap and People Strategy.</w:t>
      </w:r>
    </w:p>
    <w:p w14:paraId="408DD2BC" w14:textId="77777777" w:rsidR="00314463" w:rsidRPr="00E87473" w:rsidRDefault="00314463" w:rsidP="00314463">
      <w:pPr>
        <w:pStyle w:val="Heading1boardreport"/>
        <w:numPr>
          <w:ilvl w:val="0"/>
          <w:numId w:val="36"/>
        </w:numPr>
        <w:rPr>
          <w:rFonts w:cs="Times New Roman"/>
          <w:b w:val="0"/>
          <w:bCs w:val="0"/>
          <w:kern w:val="0"/>
          <w:sz w:val="24"/>
          <w:szCs w:val="24"/>
          <w:lang w:eastAsia="en-GB"/>
        </w:rPr>
      </w:pPr>
      <w:r w:rsidRPr="00E87473">
        <w:rPr>
          <w:rFonts w:cs="Times New Roman"/>
          <w:b w:val="0"/>
          <w:bCs w:val="0"/>
          <w:kern w:val="0"/>
          <w:sz w:val="24"/>
          <w:szCs w:val="24"/>
          <w:lang w:eastAsia="en-GB"/>
        </w:rPr>
        <w:t>Brought back for approval through appropriate governance routes.</w:t>
      </w:r>
    </w:p>
    <w:p w14:paraId="1EEE1B29" w14:textId="77777777" w:rsidR="00314463" w:rsidRPr="00E87473" w:rsidRDefault="00314463" w:rsidP="00314463">
      <w:pPr>
        <w:pStyle w:val="Heading2"/>
        <w:rPr>
          <w:lang w:eastAsia="en-GB"/>
        </w:rPr>
      </w:pPr>
      <w:r w:rsidRPr="00E87473">
        <w:rPr>
          <w:lang w:eastAsia="en-GB"/>
        </w:rPr>
        <w:t>Evaluation and assurance</w:t>
      </w:r>
    </w:p>
    <w:p w14:paraId="2F94AFFD" w14:textId="77777777" w:rsidR="00314463" w:rsidRPr="00E87473" w:rsidRDefault="00314463" w:rsidP="00351CBD">
      <w:pPr>
        <w:pStyle w:val="NICEnormalnumbered"/>
        <w:rPr>
          <w:noProof w:val="0"/>
        </w:rPr>
      </w:pPr>
      <w:r w:rsidRPr="00E87473">
        <w:rPr>
          <w:noProof w:val="0"/>
        </w:rPr>
        <w:t>Impact will be assessed through:</w:t>
      </w:r>
    </w:p>
    <w:p w14:paraId="76304A4F" w14:textId="77777777" w:rsidR="00314463" w:rsidRPr="00E87473" w:rsidRDefault="00314463" w:rsidP="00314463">
      <w:pPr>
        <w:pStyle w:val="NICEnormal"/>
        <w:numPr>
          <w:ilvl w:val="0"/>
          <w:numId w:val="33"/>
        </w:numPr>
        <w:rPr>
          <w:lang w:eastAsia="en-GB"/>
        </w:rPr>
      </w:pPr>
      <w:r w:rsidRPr="00E87473">
        <w:rPr>
          <w:lang w:eastAsia="en-GB"/>
        </w:rPr>
        <w:t>Staff inclusion and engagement survey results.</w:t>
      </w:r>
    </w:p>
    <w:p w14:paraId="359FAAE4" w14:textId="77777777" w:rsidR="00314463" w:rsidRPr="00E87473" w:rsidRDefault="00314463" w:rsidP="00314463">
      <w:pPr>
        <w:pStyle w:val="NICEnormal"/>
        <w:numPr>
          <w:ilvl w:val="0"/>
          <w:numId w:val="33"/>
        </w:numPr>
        <w:rPr>
          <w:lang w:eastAsia="en-GB"/>
        </w:rPr>
      </w:pPr>
      <w:r w:rsidRPr="00E87473">
        <w:rPr>
          <w:lang w:eastAsia="en-GB"/>
        </w:rPr>
        <w:t>Qualitative feedback from NAP and other staff networks.</w:t>
      </w:r>
    </w:p>
    <w:p w14:paraId="496BBFC6" w14:textId="77777777" w:rsidR="00314463" w:rsidRPr="00E87473" w:rsidRDefault="00314463" w:rsidP="00314463">
      <w:pPr>
        <w:pStyle w:val="NICEnormal"/>
        <w:numPr>
          <w:ilvl w:val="0"/>
          <w:numId w:val="33"/>
        </w:numPr>
        <w:rPr>
          <w:lang w:eastAsia="en-GB"/>
        </w:rPr>
      </w:pPr>
      <w:r w:rsidRPr="00E87473">
        <w:rPr>
          <w:lang w:eastAsia="en-GB"/>
        </w:rPr>
        <w:t>Reflection in the annual workforce equality report and EDI Roadmap reporting to Board.</w:t>
      </w:r>
    </w:p>
    <w:p w14:paraId="45A8EBB1" w14:textId="77777777" w:rsidR="00314463" w:rsidRPr="00E87473" w:rsidRDefault="00314463" w:rsidP="00351CBD">
      <w:pPr>
        <w:pStyle w:val="NICEnormalnumbered"/>
        <w:rPr>
          <w:noProof w:val="0"/>
        </w:rPr>
      </w:pPr>
      <w:r w:rsidRPr="00E87473">
        <w:rPr>
          <w:noProof w:val="0"/>
        </w:rPr>
        <w:t>All external spend will be managed in line with NICE’s standing financial instructions and contract management processes.</w:t>
      </w:r>
    </w:p>
    <w:p w14:paraId="7C66BA31" w14:textId="77777777" w:rsidR="00314463" w:rsidRPr="00E87473" w:rsidRDefault="00314463" w:rsidP="00314463">
      <w:pPr>
        <w:pStyle w:val="Heading1boardreport"/>
      </w:pPr>
      <w:r w:rsidRPr="00E87473">
        <w:t>Board action required</w:t>
      </w:r>
    </w:p>
    <w:p w14:paraId="0C01E24A" w14:textId="77777777" w:rsidR="00314463" w:rsidRPr="00E87473" w:rsidRDefault="00314463" w:rsidP="00405932">
      <w:pPr>
        <w:pStyle w:val="NICEnormalnumbered"/>
        <w:rPr>
          <w:noProof w:val="0"/>
        </w:rPr>
      </w:pPr>
      <w:r w:rsidRPr="00E87473">
        <w:rPr>
          <w:noProof w:val="0"/>
        </w:rPr>
        <w:t>The Board is asked to:</w:t>
      </w:r>
    </w:p>
    <w:p w14:paraId="3F52E75B" w14:textId="77777777" w:rsidR="00314463" w:rsidRPr="00E87473" w:rsidRDefault="00314463" w:rsidP="00314463">
      <w:pPr>
        <w:pStyle w:val="NICEnormal"/>
        <w:numPr>
          <w:ilvl w:val="0"/>
          <w:numId w:val="34"/>
        </w:numPr>
        <w:rPr>
          <w:lang w:eastAsia="en-GB"/>
        </w:rPr>
      </w:pPr>
      <w:r w:rsidRPr="00E87473">
        <w:rPr>
          <w:lang w:eastAsia="en-GB"/>
        </w:rPr>
        <w:t>Note the Department of Health and Social Care spend control framework for external Equality, Diversity and Inclusion (EDI) activity.</w:t>
      </w:r>
    </w:p>
    <w:p w14:paraId="6A8269EB" w14:textId="77777777" w:rsidR="00314463" w:rsidRPr="00E87473" w:rsidRDefault="00314463" w:rsidP="00314463">
      <w:pPr>
        <w:pStyle w:val="NICEnormal"/>
        <w:numPr>
          <w:ilvl w:val="0"/>
          <w:numId w:val="34"/>
        </w:numPr>
        <w:rPr>
          <w:lang w:eastAsia="en-GB"/>
        </w:rPr>
      </w:pPr>
      <w:r w:rsidRPr="00E87473">
        <w:rPr>
          <w:lang w:eastAsia="en-GB"/>
        </w:rPr>
        <w:t>Approve external EDI spend in 2026–27 limited to:</w:t>
      </w:r>
    </w:p>
    <w:p w14:paraId="0F836892" w14:textId="77777777" w:rsidR="00314463" w:rsidRPr="00E87473" w:rsidRDefault="00314463" w:rsidP="00314463">
      <w:pPr>
        <w:pStyle w:val="NICEnormal"/>
        <w:numPr>
          <w:ilvl w:val="0"/>
          <w:numId w:val="35"/>
        </w:numPr>
        <w:rPr>
          <w:lang w:eastAsia="en-GB"/>
        </w:rPr>
      </w:pPr>
      <w:r w:rsidRPr="00E87473">
        <w:rPr>
          <w:lang w:eastAsia="en-GB"/>
        </w:rPr>
        <w:t>A one</w:t>
      </w:r>
      <w:r w:rsidRPr="00E87473">
        <w:rPr>
          <w:rFonts w:ascii="Cambria Math" w:hAnsi="Cambria Math" w:cs="Cambria Math"/>
          <w:lang w:eastAsia="en-GB"/>
        </w:rPr>
        <w:t>‑</w:t>
      </w:r>
      <w:r w:rsidRPr="00E87473">
        <w:rPr>
          <w:lang w:eastAsia="en-GB"/>
        </w:rPr>
        <w:t>year, reviewable corporate affiliation with LGBT Foundation at £2,500.</w:t>
      </w:r>
    </w:p>
    <w:p w14:paraId="3F4F626F" w14:textId="77777777" w:rsidR="00314463" w:rsidRPr="00E87473" w:rsidRDefault="00314463" w:rsidP="00314463">
      <w:pPr>
        <w:pStyle w:val="NICEnormal"/>
        <w:numPr>
          <w:ilvl w:val="0"/>
          <w:numId w:val="35"/>
        </w:numPr>
        <w:rPr>
          <w:lang w:eastAsia="en-GB"/>
        </w:rPr>
      </w:pPr>
      <w:r w:rsidRPr="00E87473">
        <w:rPr>
          <w:lang w:eastAsia="en-GB"/>
        </w:rPr>
        <w:t>A £10,000 central budget to support staff network activity.</w:t>
      </w:r>
    </w:p>
    <w:p w14:paraId="63801B68" w14:textId="77777777" w:rsidR="00314463" w:rsidRPr="00E87473" w:rsidRDefault="00314463" w:rsidP="00314463">
      <w:pPr>
        <w:pStyle w:val="NICEnormal"/>
        <w:numPr>
          <w:ilvl w:val="0"/>
          <w:numId w:val="34"/>
        </w:numPr>
        <w:rPr>
          <w:lang w:eastAsia="en-GB"/>
        </w:rPr>
      </w:pPr>
      <w:r w:rsidRPr="00E87473">
        <w:rPr>
          <w:lang w:eastAsia="en-GB"/>
        </w:rPr>
        <w:t>Agree that the Chief Executive, as Accounting Officer, will approve this spend in line with NICE’s standing financial instructions.</w:t>
      </w:r>
    </w:p>
    <w:p w14:paraId="44A851E0" w14:textId="77777777" w:rsidR="00314463" w:rsidRPr="00E87473" w:rsidRDefault="00314463" w:rsidP="00314463">
      <w:pPr>
        <w:pStyle w:val="NICEnormal"/>
        <w:numPr>
          <w:ilvl w:val="0"/>
          <w:numId w:val="34"/>
        </w:numPr>
      </w:pPr>
      <w:r w:rsidRPr="00E87473">
        <w:rPr>
          <w:lang w:eastAsia="en-GB"/>
        </w:rPr>
        <w:t>Confirm that any additional external EDI spend or further affiliations in 2026–27 will require separate approval through appropriate governance routes, informed by evaluation of impact.</w:t>
      </w:r>
    </w:p>
    <w:p w14:paraId="144966F3" w14:textId="77777777" w:rsidR="00240D20" w:rsidRPr="00E87473" w:rsidRDefault="00240D20" w:rsidP="00240D20">
      <w:pPr>
        <w:pStyle w:val="NICEnormal"/>
      </w:pPr>
    </w:p>
    <w:p w14:paraId="19856CA4" w14:textId="2BEE68EE" w:rsidR="00240D20" w:rsidRPr="00E87473" w:rsidRDefault="00240D20" w:rsidP="00240D20">
      <w:pPr>
        <w:pStyle w:val="NICEnormal"/>
      </w:pPr>
      <w:r w:rsidRPr="00E87473">
        <w:t xml:space="preserve">© NICE 2026. All rights reserved. </w:t>
      </w:r>
      <w:hyperlink r:id="rId11" w:anchor="notice-of-rights" w:history="1">
        <w:r w:rsidRPr="00E87473">
          <w:rPr>
            <w:rStyle w:val="Hyperlink"/>
          </w:rPr>
          <w:t>Subject to Notice of rights</w:t>
        </w:r>
      </w:hyperlink>
      <w:r w:rsidRPr="00E87473">
        <w:t>.</w:t>
      </w:r>
    </w:p>
    <w:p w14:paraId="7C7A689C" w14:textId="77777777" w:rsidR="00314463" w:rsidRPr="00E87473" w:rsidRDefault="00314463" w:rsidP="00314463">
      <w:pPr>
        <w:pStyle w:val="NICEnormal"/>
      </w:pPr>
      <w:r w:rsidRPr="00E87473">
        <w:t>March 2026</w:t>
      </w:r>
    </w:p>
    <w:p w14:paraId="7F0C30D0" w14:textId="77777777" w:rsidR="00314463" w:rsidRPr="00E87473" w:rsidRDefault="00314463" w:rsidP="00314463">
      <w:pPr>
        <w:pStyle w:val="NICEnormal"/>
      </w:pPr>
      <w:r w:rsidRPr="00E87473">
        <w:t>Author: Adam Linney, Deputy Chief People Officer</w:t>
      </w:r>
    </w:p>
    <w:p w14:paraId="04290B5B" w14:textId="77777777" w:rsidR="000A103F" w:rsidRPr="00E87473" w:rsidRDefault="000A103F" w:rsidP="00351CBD">
      <w:pPr>
        <w:pStyle w:val="NICEnormalnumbered"/>
        <w:numPr>
          <w:ilvl w:val="0"/>
          <w:numId w:val="0"/>
        </w:numPr>
        <w:ind w:left="357"/>
        <w:rPr>
          <w:noProof w:val="0"/>
          <w:highlight w:val="lightGray"/>
        </w:rPr>
      </w:pPr>
    </w:p>
    <w:sectPr w:rsidR="000A103F" w:rsidRPr="00E87473" w:rsidSect="00B0463B">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F2A73" w14:textId="77777777" w:rsidR="00782A7B" w:rsidRDefault="00782A7B">
      <w:r>
        <w:separator/>
      </w:r>
    </w:p>
  </w:endnote>
  <w:endnote w:type="continuationSeparator" w:id="0">
    <w:p w14:paraId="0F4EE10F" w14:textId="77777777" w:rsidR="00782A7B" w:rsidRDefault="00782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CFB76" w14:textId="524BE819" w:rsidR="00F53E4B" w:rsidRPr="006F00DD" w:rsidRDefault="00F53E4B" w:rsidP="00F53E4B">
    <w:pPr>
      <w:pStyle w:val="Footer"/>
      <w:tabs>
        <w:tab w:val="right" w:pos="8931"/>
        <w:tab w:val="right" w:pos="13892"/>
      </w:tabs>
      <w:rPr>
        <w:szCs w:val="16"/>
      </w:rPr>
    </w:pPr>
    <w:r w:rsidRPr="006F00DD">
      <w:rPr>
        <w:szCs w:val="16"/>
      </w:rPr>
      <w:t xml:space="preserve">Equality, Diversity and Inclusion </w:t>
    </w:r>
    <w:r w:rsidR="00632D80">
      <w:rPr>
        <w:szCs w:val="16"/>
      </w:rPr>
      <w:t>s</w:t>
    </w:r>
    <w:r w:rsidRPr="006F00DD">
      <w:rPr>
        <w:szCs w:val="16"/>
      </w:rPr>
      <w:t>pend 2026/2027</w:t>
    </w:r>
    <w:r w:rsidRPr="006F00DD">
      <w:rPr>
        <w:szCs w:val="16"/>
      </w:rPr>
      <w:tab/>
    </w:r>
    <w:r w:rsidRPr="006F00DD">
      <w:rPr>
        <w:szCs w:val="16"/>
      </w:rPr>
      <w:tab/>
      <w:t xml:space="preserve">Page </w:t>
    </w:r>
    <w:r w:rsidRPr="006F00DD">
      <w:rPr>
        <w:szCs w:val="16"/>
      </w:rPr>
      <w:fldChar w:fldCharType="begin"/>
    </w:r>
    <w:r w:rsidRPr="006F00DD">
      <w:rPr>
        <w:szCs w:val="16"/>
      </w:rPr>
      <w:instrText xml:space="preserve"> PAGE  \* Arabic  \* MERGEFORMAT </w:instrText>
    </w:r>
    <w:r w:rsidRPr="006F00DD">
      <w:rPr>
        <w:szCs w:val="16"/>
      </w:rPr>
      <w:fldChar w:fldCharType="separate"/>
    </w:r>
    <w:r>
      <w:rPr>
        <w:szCs w:val="16"/>
      </w:rPr>
      <w:t>2</w:t>
    </w:r>
    <w:r w:rsidRPr="006F00DD">
      <w:rPr>
        <w:szCs w:val="16"/>
      </w:rPr>
      <w:fldChar w:fldCharType="end"/>
    </w:r>
    <w:r w:rsidRPr="006F00DD">
      <w:rPr>
        <w:szCs w:val="16"/>
      </w:rPr>
      <w:t xml:space="preserve"> of </w:t>
    </w:r>
    <w:r w:rsidRPr="006F00DD">
      <w:rPr>
        <w:szCs w:val="16"/>
      </w:rPr>
      <w:fldChar w:fldCharType="begin"/>
    </w:r>
    <w:r w:rsidRPr="006F00DD">
      <w:rPr>
        <w:szCs w:val="16"/>
      </w:rPr>
      <w:instrText xml:space="preserve"> NUMPAGES  \* Arabic  \* MERGEFORMAT </w:instrText>
    </w:r>
    <w:r w:rsidRPr="006F00DD">
      <w:rPr>
        <w:szCs w:val="16"/>
      </w:rPr>
      <w:fldChar w:fldCharType="separate"/>
    </w:r>
    <w:r>
      <w:rPr>
        <w:szCs w:val="16"/>
      </w:rPr>
      <w:t>9</w:t>
    </w:r>
    <w:r w:rsidRPr="006F00DD">
      <w:rPr>
        <w:szCs w:val="16"/>
      </w:rPr>
      <w:fldChar w:fldCharType="end"/>
    </w:r>
  </w:p>
  <w:p w14:paraId="38979278" w14:textId="77777777" w:rsidR="00F53E4B" w:rsidRPr="006F00DD" w:rsidRDefault="00F53E4B" w:rsidP="00F53E4B">
    <w:pPr>
      <w:pStyle w:val="Footer"/>
      <w:rPr>
        <w:szCs w:val="16"/>
      </w:rPr>
    </w:pPr>
    <w:r w:rsidRPr="006F00DD">
      <w:rPr>
        <w:szCs w:val="16"/>
      </w:rPr>
      <w:t>Public Board meeting</w:t>
    </w:r>
  </w:p>
  <w:p w14:paraId="29DACCB4" w14:textId="5F4B9A2C" w:rsidR="00F53E4B" w:rsidRPr="002A231B" w:rsidRDefault="00F53E4B" w:rsidP="00F53E4B">
    <w:pPr>
      <w:pStyle w:val="Footer"/>
      <w:rPr>
        <w:szCs w:val="16"/>
      </w:rPr>
    </w:pPr>
    <w:r>
      <w:rPr>
        <w:szCs w:val="16"/>
      </w:rPr>
      <w:t>18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20815" w14:textId="77777777" w:rsidR="00782A7B" w:rsidRDefault="00782A7B">
      <w:r>
        <w:separator/>
      </w:r>
    </w:p>
  </w:footnote>
  <w:footnote w:type="continuationSeparator" w:id="0">
    <w:p w14:paraId="7F6F4FBB" w14:textId="77777777" w:rsidR="00782A7B" w:rsidRDefault="00782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FDD69" w14:textId="07633673" w:rsidR="004B4705" w:rsidRPr="006E0F0C" w:rsidRDefault="00F4630A" w:rsidP="006E0F0C">
    <w:pPr>
      <w:pStyle w:val="Header"/>
      <w:ind w:left="0"/>
    </w:pPr>
    <w:r w:rsidRPr="00F4630A">
      <w:rPr>
        <w:noProof/>
      </w:rPr>
      <w:drawing>
        <wp:anchor distT="0" distB="0" distL="114300" distR="114300" simplePos="0" relativeHeight="251658240" behindDoc="0" locked="0" layoutInCell="1" allowOverlap="1" wp14:anchorId="74230AAA" wp14:editId="022CABE0">
          <wp:simplePos x="0" y="0"/>
          <wp:positionH relativeFrom="column">
            <wp:posOffset>0</wp:posOffset>
          </wp:positionH>
          <wp:positionV relativeFrom="paragraph">
            <wp:posOffset>-241820</wp:posOffset>
          </wp:positionV>
          <wp:extent cx="2658110" cy="666750"/>
          <wp:effectExtent l="0" t="0" r="8890" b="0"/>
          <wp:wrapSquare wrapText="bothSides"/>
          <wp:docPr id="90435025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350257"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811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6E0F0C">
      <w:tab/>
    </w:r>
    <w:r w:rsidR="006E0F0C" w:rsidRPr="00632D80">
      <w:t xml:space="preserve">Item </w:t>
    </w:r>
    <w:r w:rsidR="00632D80" w:rsidRPr="00632D80">
      <w:t>10</w:t>
    </w:r>
    <w:r w:rsidR="006E0F0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rPr>
        <w:rFonts w:hint="default"/>
      </w:rPr>
    </w:lvl>
    <w:lvl w:ilvl="4">
      <w:start w:val="1"/>
      <w:numFmt w:val="decimal"/>
      <w:lvlText w:val="%1.%2.%3.%4.%5."/>
      <w:lvlJc w:val="left"/>
      <w:pPr>
        <w:tabs>
          <w:tab w:val="num" w:pos="4910"/>
        </w:tabs>
        <w:ind w:left="2822" w:hanging="792"/>
      </w:pPr>
      <w:rPr>
        <w:rFonts w:hint="default"/>
      </w:rPr>
    </w:lvl>
    <w:lvl w:ilvl="5">
      <w:start w:val="1"/>
      <w:numFmt w:val="decimal"/>
      <w:lvlText w:val="%1.%2.%3.%4.%5.%6."/>
      <w:lvlJc w:val="left"/>
      <w:pPr>
        <w:tabs>
          <w:tab w:val="num" w:pos="5990"/>
        </w:tabs>
        <w:ind w:left="3326" w:hanging="936"/>
      </w:pPr>
      <w:rPr>
        <w:rFonts w:hint="default"/>
      </w:rPr>
    </w:lvl>
    <w:lvl w:ilvl="6">
      <w:start w:val="1"/>
      <w:numFmt w:val="decimal"/>
      <w:lvlText w:val="%1.%2.%3.%4.%5.%6.%7."/>
      <w:lvlJc w:val="left"/>
      <w:pPr>
        <w:tabs>
          <w:tab w:val="num" w:pos="7070"/>
        </w:tabs>
        <w:ind w:left="3830" w:hanging="1080"/>
      </w:pPr>
      <w:rPr>
        <w:rFonts w:hint="default"/>
      </w:rPr>
    </w:lvl>
    <w:lvl w:ilvl="7">
      <w:start w:val="1"/>
      <w:numFmt w:val="decimal"/>
      <w:lvlText w:val="%1.%2.%3.%4.%5.%6.%7.%8."/>
      <w:lvlJc w:val="left"/>
      <w:pPr>
        <w:tabs>
          <w:tab w:val="num" w:pos="7790"/>
        </w:tabs>
        <w:ind w:left="4334" w:hanging="1224"/>
      </w:pPr>
      <w:rPr>
        <w:rFonts w:hint="default"/>
      </w:rPr>
    </w:lvl>
    <w:lvl w:ilvl="8">
      <w:start w:val="1"/>
      <w:numFmt w:val="decimal"/>
      <w:lvlText w:val="%1.%2.%3.%4.%5.%6.%7.%8.%9."/>
      <w:lvlJc w:val="left"/>
      <w:pPr>
        <w:tabs>
          <w:tab w:val="num" w:pos="8870"/>
        </w:tabs>
        <w:ind w:left="4910"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6C902B46"/>
    <w:lvl w:ilvl="0" w:tplc="A7365F48">
      <w:start w:val="1"/>
      <w:numFmt w:val="decimal"/>
      <w:pStyle w:val="Paragraph"/>
      <w:lvlText w:val="%1."/>
      <w:lvlJc w:val="left"/>
      <w:pPr>
        <w:ind w:left="714" w:hanging="360"/>
      </w:pPr>
      <w:rPr>
        <w:b w:val="0"/>
        <w:bCs w:val="0"/>
      </w:rPr>
    </w:lvl>
    <w:lvl w:ilvl="1" w:tplc="08090019">
      <w:start w:val="1"/>
      <w:numFmt w:val="lowerLetter"/>
      <w:lvlText w:val="%2."/>
      <w:lvlJc w:val="left"/>
      <w:pPr>
        <w:ind w:left="1510" w:hanging="360"/>
      </w:pPr>
    </w:lvl>
    <w:lvl w:ilvl="2" w:tplc="0809001B" w:tentative="1">
      <w:start w:val="1"/>
      <w:numFmt w:val="lowerRoman"/>
      <w:lvlText w:val="%3."/>
      <w:lvlJc w:val="right"/>
      <w:pPr>
        <w:ind w:left="2230" w:hanging="180"/>
      </w:pPr>
    </w:lvl>
    <w:lvl w:ilvl="3" w:tplc="0809000F" w:tentative="1">
      <w:start w:val="1"/>
      <w:numFmt w:val="decimal"/>
      <w:lvlText w:val="%4."/>
      <w:lvlJc w:val="left"/>
      <w:pPr>
        <w:ind w:left="2950" w:hanging="360"/>
      </w:pPr>
    </w:lvl>
    <w:lvl w:ilvl="4" w:tplc="08090019" w:tentative="1">
      <w:start w:val="1"/>
      <w:numFmt w:val="lowerLetter"/>
      <w:lvlText w:val="%5."/>
      <w:lvlJc w:val="left"/>
      <w:pPr>
        <w:ind w:left="3670" w:hanging="360"/>
      </w:pPr>
    </w:lvl>
    <w:lvl w:ilvl="5" w:tplc="0809001B" w:tentative="1">
      <w:start w:val="1"/>
      <w:numFmt w:val="lowerRoman"/>
      <w:lvlText w:val="%6."/>
      <w:lvlJc w:val="right"/>
      <w:pPr>
        <w:ind w:left="4390" w:hanging="180"/>
      </w:pPr>
    </w:lvl>
    <w:lvl w:ilvl="6" w:tplc="0809000F" w:tentative="1">
      <w:start w:val="1"/>
      <w:numFmt w:val="decimal"/>
      <w:lvlText w:val="%7."/>
      <w:lvlJc w:val="left"/>
      <w:pPr>
        <w:ind w:left="5110" w:hanging="360"/>
      </w:pPr>
    </w:lvl>
    <w:lvl w:ilvl="7" w:tplc="08090019" w:tentative="1">
      <w:start w:val="1"/>
      <w:numFmt w:val="lowerLetter"/>
      <w:lvlText w:val="%8."/>
      <w:lvlJc w:val="left"/>
      <w:pPr>
        <w:ind w:left="5830" w:hanging="360"/>
      </w:pPr>
    </w:lvl>
    <w:lvl w:ilvl="8" w:tplc="0809001B" w:tentative="1">
      <w:start w:val="1"/>
      <w:numFmt w:val="lowerRoman"/>
      <w:lvlText w:val="%9."/>
      <w:lvlJc w:val="right"/>
      <w:pPr>
        <w:ind w:left="655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2E5634"/>
    <w:multiLevelType w:val="multilevel"/>
    <w:tmpl w:val="C19E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A6545CB"/>
    <w:multiLevelType w:val="multilevel"/>
    <w:tmpl w:val="63C6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C22BA8"/>
    <w:multiLevelType w:val="hybridMultilevel"/>
    <w:tmpl w:val="3D80CDA8"/>
    <w:lvl w:ilvl="0" w:tplc="51F222A0">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DB10F4B"/>
    <w:multiLevelType w:val="multilevel"/>
    <w:tmpl w:val="BCE08B9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45FE5511"/>
    <w:multiLevelType w:val="multilevel"/>
    <w:tmpl w:val="5E06A2E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1"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50A7A3D"/>
    <w:multiLevelType w:val="hybridMultilevel"/>
    <w:tmpl w:val="FAECE976"/>
    <w:lvl w:ilvl="0" w:tplc="27FA052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0" w15:restartNumberingAfterBreak="0">
    <w:nsid w:val="66E22728"/>
    <w:multiLevelType w:val="multilevel"/>
    <w:tmpl w:val="A386B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746CCB"/>
    <w:multiLevelType w:val="multilevel"/>
    <w:tmpl w:val="B6FC7FF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6F2189"/>
    <w:multiLevelType w:val="hybridMultilevel"/>
    <w:tmpl w:val="848A34BC"/>
    <w:lvl w:ilvl="0" w:tplc="7F94D6C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0C36DE"/>
    <w:multiLevelType w:val="multilevel"/>
    <w:tmpl w:val="2B86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6963D1"/>
    <w:multiLevelType w:val="hybridMultilevel"/>
    <w:tmpl w:val="E2FA21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41744A"/>
    <w:multiLevelType w:val="multilevel"/>
    <w:tmpl w:val="22E05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532623">
    <w:abstractNumId w:val="2"/>
  </w:num>
  <w:num w:numId="2" w16cid:durableId="2039620118">
    <w:abstractNumId w:val="29"/>
  </w:num>
  <w:num w:numId="3" w16cid:durableId="2116749296">
    <w:abstractNumId w:val="18"/>
  </w:num>
  <w:num w:numId="4" w16cid:durableId="611715962">
    <w:abstractNumId w:val="20"/>
  </w:num>
  <w:num w:numId="5" w16cid:durableId="377554922">
    <w:abstractNumId w:val="4"/>
  </w:num>
  <w:num w:numId="6" w16cid:durableId="1967815002">
    <w:abstractNumId w:val="9"/>
  </w:num>
  <w:num w:numId="7" w16cid:durableId="1478373446">
    <w:abstractNumId w:val="14"/>
  </w:num>
  <w:num w:numId="8" w16cid:durableId="1216622483">
    <w:abstractNumId w:val="17"/>
  </w:num>
  <w:num w:numId="9" w16cid:durableId="1028289363">
    <w:abstractNumId w:val="22"/>
  </w:num>
  <w:num w:numId="10" w16cid:durableId="1748379919">
    <w:abstractNumId w:val="7"/>
  </w:num>
  <w:num w:numId="11" w16cid:durableId="1008825018">
    <w:abstractNumId w:val="26"/>
  </w:num>
  <w:num w:numId="12" w16cid:durableId="128134450">
    <w:abstractNumId w:val="12"/>
  </w:num>
  <w:num w:numId="13" w16cid:durableId="503516617">
    <w:abstractNumId w:val="21"/>
  </w:num>
  <w:num w:numId="14" w16cid:durableId="1971012577">
    <w:abstractNumId w:val="24"/>
  </w:num>
  <w:num w:numId="15" w16cid:durableId="1256014139">
    <w:abstractNumId w:val="13"/>
  </w:num>
  <w:num w:numId="16" w16cid:durableId="230039927">
    <w:abstractNumId w:val="0"/>
  </w:num>
  <w:num w:numId="17" w16cid:durableId="882135492">
    <w:abstractNumId w:val="1"/>
  </w:num>
  <w:num w:numId="18" w16cid:durableId="194315641">
    <w:abstractNumId w:val="10"/>
  </w:num>
  <w:num w:numId="19" w16cid:durableId="1279488302">
    <w:abstractNumId w:val="16"/>
  </w:num>
  <w:num w:numId="20" w16cid:durableId="102305755">
    <w:abstractNumId w:val="5"/>
  </w:num>
  <w:num w:numId="21" w16cid:durableId="1863712968">
    <w:abstractNumId w:val="28"/>
  </w:num>
  <w:num w:numId="22" w16cid:durableId="426196748">
    <w:abstractNumId w:val="25"/>
  </w:num>
  <w:num w:numId="23" w16cid:durableId="1440686053">
    <w:abstractNumId w:val="32"/>
  </w:num>
  <w:num w:numId="24" w16cid:durableId="87122838">
    <w:abstractNumId w:val="11"/>
  </w:num>
  <w:num w:numId="25" w16cid:durableId="2069259383">
    <w:abstractNumId w:val="3"/>
  </w:num>
  <w:num w:numId="26" w16cid:durableId="1082874494">
    <w:abstractNumId w:val="3"/>
    <w:lvlOverride w:ilvl="0">
      <w:startOverride w:val="1"/>
    </w:lvlOverride>
  </w:num>
  <w:num w:numId="27" w16cid:durableId="914315166">
    <w:abstractNumId w:val="3"/>
    <w:lvlOverride w:ilvl="0">
      <w:startOverride w:val="1"/>
    </w:lvlOverride>
  </w:num>
  <w:num w:numId="28" w16cid:durableId="452291072">
    <w:abstractNumId w:val="3"/>
    <w:lvlOverride w:ilvl="0">
      <w:startOverride w:val="1"/>
    </w:lvlOverride>
  </w:num>
  <w:num w:numId="29" w16cid:durableId="50884778">
    <w:abstractNumId w:val="31"/>
  </w:num>
  <w:num w:numId="30" w16cid:durableId="1262683085">
    <w:abstractNumId w:val="30"/>
  </w:num>
  <w:num w:numId="31" w16cid:durableId="378282900">
    <w:abstractNumId w:val="35"/>
  </w:num>
  <w:num w:numId="32" w16cid:durableId="597179479">
    <w:abstractNumId w:val="6"/>
  </w:num>
  <w:num w:numId="33" w16cid:durableId="1386295609">
    <w:abstractNumId w:val="15"/>
  </w:num>
  <w:num w:numId="34" w16cid:durableId="2027637243">
    <w:abstractNumId w:val="34"/>
  </w:num>
  <w:num w:numId="35" w16cid:durableId="1913195684">
    <w:abstractNumId w:val="27"/>
  </w:num>
  <w:num w:numId="36" w16cid:durableId="916206706">
    <w:abstractNumId w:val="19"/>
  </w:num>
  <w:num w:numId="37" w16cid:durableId="915089853">
    <w:abstractNumId w:val="8"/>
  </w:num>
  <w:num w:numId="38" w16cid:durableId="1566719864">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4097">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E4B"/>
    <w:rsid w:val="000119FB"/>
    <w:rsid w:val="0002088D"/>
    <w:rsid w:val="000242AA"/>
    <w:rsid w:val="00057044"/>
    <w:rsid w:val="00057711"/>
    <w:rsid w:val="00094B5D"/>
    <w:rsid w:val="000A103F"/>
    <w:rsid w:val="000A1EC0"/>
    <w:rsid w:val="000A7B9A"/>
    <w:rsid w:val="000C38DC"/>
    <w:rsid w:val="000C3F75"/>
    <w:rsid w:val="000C4168"/>
    <w:rsid w:val="000E6C5F"/>
    <w:rsid w:val="00101F34"/>
    <w:rsid w:val="001100C3"/>
    <w:rsid w:val="001172E1"/>
    <w:rsid w:val="001219F1"/>
    <w:rsid w:val="00122EFB"/>
    <w:rsid w:val="00123D3F"/>
    <w:rsid w:val="00131EB8"/>
    <w:rsid w:val="00141D93"/>
    <w:rsid w:val="00161AA0"/>
    <w:rsid w:val="0017277D"/>
    <w:rsid w:val="001807DA"/>
    <w:rsid w:val="00190322"/>
    <w:rsid w:val="001B0506"/>
    <w:rsid w:val="001C032E"/>
    <w:rsid w:val="0021029D"/>
    <w:rsid w:val="002169E7"/>
    <w:rsid w:val="00226F84"/>
    <w:rsid w:val="00235CAB"/>
    <w:rsid w:val="00240D20"/>
    <w:rsid w:val="00251D56"/>
    <w:rsid w:val="002526E6"/>
    <w:rsid w:val="002535B1"/>
    <w:rsid w:val="00262EEB"/>
    <w:rsid w:val="002A024B"/>
    <w:rsid w:val="002A3712"/>
    <w:rsid w:val="002B00DF"/>
    <w:rsid w:val="002C3FAA"/>
    <w:rsid w:val="002F15CF"/>
    <w:rsid w:val="00314463"/>
    <w:rsid w:val="0031664C"/>
    <w:rsid w:val="003330E6"/>
    <w:rsid w:val="00335267"/>
    <w:rsid w:val="00351CBD"/>
    <w:rsid w:val="00353D3E"/>
    <w:rsid w:val="00362226"/>
    <w:rsid w:val="00377E36"/>
    <w:rsid w:val="003830CE"/>
    <w:rsid w:val="003B1379"/>
    <w:rsid w:val="003B7BCF"/>
    <w:rsid w:val="003C36AC"/>
    <w:rsid w:val="003D3B28"/>
    <w:rsid w:val="00405932"/>
    <w:rsid w:val="004511A7"/>
    <w:rsid w:val="004519B2"/>
    <w:rsid w:val="00461997"/>
    <w:rsid w:val="0047609D"/>
    <w:rsid w:val="004820E9"/>
    <w:rsid w:val="0048361F"/>
    <w:rsid w:val="00484FE9"/>
    <w:rsid w:val="00485B88"/>
    <w:rsid w:val="004914C0"/>
    <w:rsid w:val="004B4705"/>
    <w:rsid w:val="004B514C"/>
    <w:rsid w:val="004E76D6"/>
    <w:rsid w:val="00503454"/>
    <w:rsid w:val="00526C07"/>
    <w:rsid w:val="0053387C"/>
    <w:rsid w:val="00552D50"/>
    <w:rsid w:val="005614AA"/>
    <w:rsid w:val="00565A3C"/>
    <w:rsid w:val="00581496"/>
    <w:rsid w:val="005860F4"/>
    <w:rsid w:val="005866B1"/>
    <w:rsid w:val="005A5E10"/>
    <w:rsid w:val="005C051F"/>
    <w:rsid w:val="005C762E"/>
    <w:rsid w:val="005D098C"/>
    <w:rsid w:val="00603E56"/>
    <w:rsid w:val="0060662A"/>
    <w:rsid w:val="00614BDA"/>
    <w:rsid w:val="00617519"/>
    <w:rsid w:val="00632D80"/>
    <w:rsid w:val="006331B4"/>
    <w:rsid w:val="006343F3"/>
    <w:rsid w:val="00642906"/>
    <w:rsid w:val="006571D4"/>
    <w:rsid w:val="00680B94"/>
    <w:rsid w:val="006A721F"/>
    <w:rsid w:val="006D73F1"/>
    <w:rsid w:val="006E0F0C"/>
    <w:rsid w:val="007277C3"/>
    <w:rsid w:val="00732519"/>
    <w:rsid w:val="00737F9C"/>
    <w:rsid w:val="007610A6"/>
    <w:rsid w:val="00782A7B"/>
    <w:rsid w:val="007A174B"/>
    <w:rsid w:val="007A4EEE"/>
    <w:rsid w:val="007B5BCA"/>
    <w:rsid w:val="0081404B"/>
    <w:rsid w:val="008505C3"/>
    <w:rsid w:val="008620C9"/>
    <w:rsid w:val="00862C0C"/>
    <w:rsid w:val="008853CB"/>
    <w:rsid w:val="008A3CB5"/>
    <w:rsid w:val="008A6557"/>
    <w:rsid w:val="008A7860"/>
    <w:rsid w:val="008B7E6F"/>
    <w:rsid w:val="008C782E"/>
    <w:rsid w:val="008D43A8"/>
    <w:rsid w:val="008D6069"/>
    <w:rsid w:val="008E7585"/>
    <w:rsid w:val="00921354"/>
    <w:rsid w:val="00930380"/>
    <w:rsid w:val="0094366C"/>
    <w:rsid w:val="00953ADF"/>
    <w:rsid w:val="00971131"/>
    <w:rsid w:val="009749CB"/>
    <w:rsid w:val="009871F3"/>
    <w:rsid w:val="009A0289"/>
    <w:rsid w:val="009B1D56"/>
    <w:rsid w:val="009B621A"/>
    <w:rsid w:val="009C45D9"/>
    <w:rsid w:val="009C6E2D"/>
    <w:rsid w:val="009F3D82"/>
    <w:rsid w:val="00A06657"/>
    <w:rsid w:val="00A12103"/>
    <w:rsid w:val="00A24C1C"/>
    <w:rsid w:val="00A36575"/>
    <w:rsid w:val="00A820E1"/>
    <w:rsid w:val="00A86D3D"/>
    <w:rsid w:val="00A956DE"/>
    <w:rsid w:val="00AB2948"/>
    <w:rsid w:val="00AB39FA"/>
    <w:rsid w:val="00AD5CB7"/>
    <w:rsid w:val="00AD5E0B"/>
    <w:rsid w:val="00AD6933"/>
    <w:rsid w:val="00AD6B7B"/>
    <w:rsid w:val="00B0463B"/>
    <w:rsid w:val="00B15262"/>
    <w:rsid w:val="00B347D4"/>
    <w:rsid w:val="00B60D70"/>
    <w:rsid w:val="00B84BC1"/>
    <w:rsid w:val="00B92CFF"/>
    <w:rsid w:val="00BA0179"/>
    <w:rsid w:val="00BA51EA"/>
    <w:rsid w:val="00BA589F"/>
    <w:rsid w:val="00BB047B"/>
    <w:rsid w:val="00BB6398"/>
    <w:rsid w:val="00BC01F9"/>
    <w:rsid w:val="00BC0E86"/>
    <w:rsid w:val="00BD0372"/>
    <w:rsid w:val="00BD246E"/>
    <w:rsid w:val="00BF4768"/>
    <w:rsid w:val="00BF6573"/>
    <w:rsid w:val="00C139CA"/>
    <w:rsid w:val="00C42C0E"/>
    <w:rsid w:val="00C433C5"/>
    <w:rsid w:val="00C45FA3"/>
    <w:rsid w:val="00C50A0F"/>
    <w:rsid w:val="00C51429"/>
    <w:rsid w:val="00CA3397"/>
    <w:rsid w:val="00CA33E1"/>
    <w:rsid w:val="00CB6BEB"/>
    <w:rsid w:val="00CE7855"/>
    <w:rsid w:val="00D3612A"/>
    <w:rsid w:val="00D37703"/>
    <w:rsid w:val="00D37F25"/>
    <w:rsid w:val="00D453F6"/>
    <w:rsid w:val="00D60D8D"/>
    <w:rsid w:val="00D73C98"/>
    <w:rsid w:val="00DA11DD"/>
    <w:rsid w:val="00DC0120"/>
    <w:rsid w:val="00DE643F"/>
    <w:rsid w:val="00E2509B"/>
    <w:rsid w:val="00E44F74"/>
    <w:rsid w:val="00E4622C"/>
    <w:rsid w:val="00E46571"/>
    <w:rsid w:val="00E51FFB"/>
    <w:rsid w:val="00E63855"/>
    <w:rsid w:val="00E87125"/>
    <w:rsid w:val="00E87473"/>
    <w:rsid w:val="00E95993"/>
    <w:rsid w:val="00EB03BB"/>
    <w:rsid w:val="00EB1C36"/>
    <w:rsid w:val="00EE2EB2"/>
    <w:rsid w:val="00EE406C"/>
    <w:rsid w:val="00F07534"/>
    <w:rsid w:val="00F130CD"/>
    <w:rsid w:val="00F26A9F"/>
    <w:rsid w:val="00F26E68"/>
    <w:rsid w:val="00F33119"/>
    <w:rsid w:val="00F4630A"/>
    <w:rsid w:val="00F53E4B"/>
    <w:rsid w:val="00F73C47"/>
    <w:rsid w:val="00F7460E"/>
    <w:rsid w:val="00F81F2C"/>
    <w:rsid w:val="00F90E63"/>
    <w:rsid w:val="00FA66A6"/>
    <w:rsid w:val="00FA6EE7"/>
    <w:rsid w:val="00FB47DD"/>
    <w:rsid w:val="00FB73D3"/>
    <w:rsid w:val="00FD4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f06"/>
    </o:shapedefaults>
    <o:shapelayout v:ext="edit">
      <o:idmap v:ext="edit" data="1"/>
    </o:shapelayout>
  </w:shapeDefaults>
  <w:decimalSymbol w:val="."/>
  <w:listSeparator w:val=","/>
  <w14:docId w14:val="5FAB1A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uiPriority="1"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uiPriority="22" w:qFormat="1"/>
    <w:lsdException w:name="Emphasis" w:locked="0" w:qFormat="1"/>
    <w:lsdException w:name="HTML Top of Form" w:locked="0"/>
    <w:lsdException w:name="HTML Bottom of Form" w:locked="0"/>
    <w:lsdException w:name="Normal (Web)" w:uiPriority="99"/>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uiPriority w:val="1"/>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262EEB"/>
    <w:pPr>
      <w:numPr>
        <w:numId w:val="18"/>
      </w:numPr>
      <w:tabs>
        <w:tab w:val="clear" w:pos="1418"/>
        <w:tab w:val="num" w:pos="993"/>
      </w:tabs>
      <w:ind w:left="993"/>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3D3B28"/>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6E0F0C"/>
    <w:pPr>
      <w:spacing w:after="200"/>
    </w:pPr>
    <w:rPr>
      <w:bCs w:val="0"/>
      <w:iCs/>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6E0F0C"/>
    <w:rPr>
      <w:b/>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3D3B28"/>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3D3B28"/>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6E0F0C"/>
  </w:style>
  <w:style w:type="paragraph" w:customStyle="1" w:styleId="Heading3boardreport">
    <w:name w:val="Heading 3 board report"/>
    <w:basedOn w:val="Heading3"/>
    <w:next w:val="NICEnormal"/>
    <w:qFormat/>
    <w:rsid w:val="006E0F0C"/>
  </w:style>
  <w:style w:type="paragraph" w:customStyle="1" w:styleId="Paragraph">
    <w:name w:val="Paragraph"/>
    <w:basedOn w:val="Paragraphnonumbers"/>
    <w:uiPriority w:val="4"/>
    <w:qFormat/>
    <w:locked/>
    <w:rsid w:val="009B1D56"/>
    <w:pPr>
      <w:numPr>
        <w:numId w:val="25"/>
      </w:numPr>
      <w:tabs>
        <w:tab w:val="left" w:pos="426"/>
      </w:tabs>
    </w:pPr>
    <w:rPr>
      <w:noProof/>
    </w:rPr>
  </w:style>
  <w:style w:type="paragraph" w:customStyle="1" w:styleId="Bullets">
    <w:name w:val="Bullets"/>
    <w:basedOn w:val="Normal"/>
    <w:uiPriority w:val="5"/>
    <w:qFormat/>
    <w:locked/>
    <w:rsid w:val="009C6E2D"/>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3D3B28"/>
    <w:rPr>
      <w:rFonts w:ascii="Arial" w:hAnsi="Arial" w:cs="Arial"/>
      <w:b/>
      <w:bCs/>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351CBD"/>
    <w:pPr>
      <w:spacing w:line="360" w:lineRule="auto"/>
      <w:ind w:left="357" w:hanging="357"/>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paragraph" w:styleId="Revision">
    <w:name w:val="Revision"/>
    <w:hidden/>
    <w:uiPriority w:val="99"/>
    <w:semiHidden/>
    <w:rsid w:val="00262EEB"/>
    <w:rPr>
      <w:sz w:val="24"/>
      <w:szCs w:val="24"/>
      <w:lang w:eastAsia="en-US"/>
    </w:rPr>
  </w:style>
  <w:style w:type="character" w:styleId="Strong">
    <w:name w:val="Strong"/>
    <w:basedOn w:val="DefaultParagraphFont"/>
    <w:uiPriority w:val="22"/>
    <w:qFormat/>
    <w:locked/>
    <w:rsid w:val="00565A3C"/>
    <w:rPr>
      <w:b/>
      <w:bCs/>
    </w:rPr>
  </w:style>
  <w:style w:type="paragraph" w:styleId="NormalWeb">
    <w:name w:val="Normal (Web)"/>
    <w:basedOn w:val="Normal"/>
    <w:uiPriority w:val="99"/>
    <w:unhideWhenUsed/>
    <w:locked/>
    <w:rsid w:val="00565A3C"/>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573937">
      <w:bodyDiv w:val="1"/>
      <w:marLeft w:val="0"/>
      <w:marRight w:val="0"/>
      <w:marTop w:val="0"/>
      <w:marBottom w:val="0"/>
      <w:divBdr>
        <w:top w:val="none" w:sz="0" w:space="0" w:color="auto"/>
        <w:left w:val="none" w:sz="0" w:space="0" w:color="auto"/>
        <w:bottom w:val="none" w:sz="0" w:space="0" w:color="auto"/>
        <w:right w:val="none" w:sz="0" w:space="0" w:color="auto"/>
      </w:divBdr>
    </w:div>
    <w:div w:id="133198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terms-and-conditio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Path xmlns="289b8fc0-128f-4d7b-b8ee-34c94b7018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EB742D5E2988439A0FECDECF284312" ma:contentTypeVersion="11" ma:contentTypeDescription="Create a new document." ma:contentTypeScope="" ma:versionID="c06bc00170574f397b8ba3cc4f295479">
  <xsd:schema xmlns:xsd="http://www.w3.org/2001/XMLSchema" xmlns:xs="http://www.w3.org/2001/XMLSchema" xmlns:p="http://schemas.microsoft.com/office/2006/metadata/properties" xmlns:ns2="289b8fc0-128f-4d7b-b8ee-34c94b7018e7" xmlns:ns3="35b4e7bb-0a9c-468b-b508-8e83b9d014a1" targetNamespace="http://schemas.microsoft.com/office/2006/metadata/properties" ma:root="true" ma:fieldsID="d50ae1c00709fb20cc31026d2c4bb713" ns2:_="" ns3:_="">
    <xsd:import namespace="289b8fc0-128f-4d7b-b8ee-34c94b7018e7"/>
    <xsd:import namespace="35b4e7bb-0a9c-468b-b508-8e83b9d014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FilePath"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b8fc0-128f-4d7b-b8ee-34c94b701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FilePath" ma:index="14" nillable="true" ma:displayName="FilePath" ma:internalName="FilePath">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b4e7bb-0a9c-468b-b508-8e83b9d014a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D192D-8B08-4F0A-B2F3-8A831F656862}">
  <ds:schemaRefs>
    <ds:schemaRef ds:uri="http://schemas.openxmlformats.org/package/2006/metadata/core-properties"/>
    <ds:schemaRef ds:uri="289b8fc0-128f-4d7b-b8ee-34c94b7018e7"/>
    <ds:schemaRef ds:uri="35b4e7bb-0a9c-468b-b508-8e83b9d014a1"/>
    <ds:schemaRef ds:uri="http://www.w3.org/XML/1998/namespace"/>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9D929C2E-6BB3-4242-8018-7853C577D761}">
  <ds:schemaRefs>
    <ds:schemaRef ds:uri="http://schemas.microsoft.com/sharepoint/v3/contenttype/forms"/>
  </ds:schemaRefs>
</ds:datastoreItem>
</file>

<file path=customXml/itemProps3.xml><?xml version="1.0" encoding="utf-8"?>
<ds:datastoreItem xmlns:ds="http://schemas.openxmlformats.org/officeDocument/2006/customXml" ds:itemID="{AC605D27-A613-4BAB-A121-B7EEA9132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b8fc0-128f-4d7b-b8ee-34c94b7018e7"/>
    <ds:schemaRef ds:uri="35b4e7bb-0a9c-468b-b508-8e83b9d01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BEBA3A-917B-4B49-8C8D-6DAE2AD1D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1800</Words>
  <Characters>10952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2026-03-09T15:35:00Z</dcterms:created>
  <dcterms:modified xsi:type="dcterms:W3CDTF">2026-03-11T10:56:00Z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678ddc-88e6-45fa-b88f-819f911892da_Enabled">
    <vt:lpwstr>true</vt:lpwstr>
  </property>
  <property fmtid="{D5CDD505-2E9C-101B-9397-08002B2CF9AE}" pid="3" name="MSIP_Label_54678ddc-88e6-45fa-b88f-819f911892da_SetDate">
    <vt:lpwstr>2026-03-09T15:35:29Z</vt:lpwstr>
  </property>
  <property fmtid="{D5CDD505-2E9C-101B-9397-08002B2CF9AE}" pid="4" name="MSIP_Label_54678ddc-88e6-45fa-b88f-819f911892da_Method">
    <vt:lpwstr>Privileged</vt:lpwstr>
  </property>
  <property fmtid="{D5CDD505-2E9C-101B-9397-08002B2CF9AE}" pid="5" name="MSIP_Label_54678ddc-88e6-45fa-b88f-819f911892da_Name">
    <vt:lpwstr>PUBLIC</vt:lpwstr>
  </property>
  <property fmtid="{D5CDD505-2E9C-101B-9397-08002B2CF9AE}" pid="6" name="MSIP_Label_54678ddc-88e6-45fa-b88f-819f911892da_SiteId">
    <vt:lpwstr>6030f479-b342-472d-a5dd-740ff7538de9</vt:lpwstr>
  </property>
  <property fmtid="{D5CDD505-2E9C-101B-9397-08002B2CF9AE}" pid="7" name="MSIP_Label_54678ddc-88e6-45fa-b88f-819f911892da_ActionId">
    <vt:lpwstr>5429273c-965b-44aa-9e86-400ac635a546</vt:lpwstr>
  </property>
  <property fmtid="{D5CDD505-2E9C-101B-9397-08002B2CF9AE}" pid="8" name="MSIP_Label_54678ddc-88e6-45fa-b88f-819f911892da_ContentBits">
    <vt:lpwstr>0</vt:lpwstr>
  </property>
  <property fmtid="{D5CDD505-2E9C-101B-9397-08002B2CF9AE}" pid="9" name="MSIP_Label_54678ddc-88e6-45fa-b88f-819f911892da_Tag">
    <vt:lpwstr>10, 0, 1, 1</vt:lpwstr>
  </property>
  <property fmtid="{D5CDD505-2E9C-101B-9397-08002B2CF9AE}" pid="10" name="ContentTypeId">
    <vt:lpwstr>0x010100CFEB742D5E2988439A0FECDECF284312</vt:lpwstr>
  </property>
</Properties>
</file>