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79AB8" w14:textId="77777777" w:rsidR="00ED7F68" w:rsidRDefault="00ED7F68" w:rsidP="00ED7F68">
      <w:pPr>
        <w:pStyle w:val="Title2"/>
      </w:pPr>
      <w:r>
        <w:t>National Institute for Health and Care Excellence</w:t>
      </w:r>
    </w:p>
    <w:p w14:paraId="6EA75E61" w14:textId="12BAB0EC" w:rsidR="00ED7F68" w:rsidRDefault="00ED7F68" w:rsidP="00ED7F68">
      <w:pPr>
        <w:pStyle w:val="Title1"/>
      </w:pPr>
      <w:r>
        <w:t>Board meeting</w:t>
      </w:r>
    </w:p>
    <w:p w14:paraId="25DCB1C4" w14:textId="433876C2" w:rsidR="00ED7F68" w:rsidRPr="008036DF" w:rsidRDefault="00ED7F68" w:rsidP="00ED7F68">
      <w:pPr>
        <w:pStyle w:val="Title2"/>
      </w:pPr>
      <w:r>
        <w:t>22 July 2022</w:t>
      </w:r>
    </w:p>
    <w:p w14:paraId="1E9C6FDE" w14:textId="77777777" w:rsidR="00ED7F68" w:rsidRDefault="00ED7F68" w:rsidP="00ED7F68">
      <w:pPr>
        <w:pStyle w:val="Heading1boardreport"/>
      </w:pPr>
      <w:r>
        <w:t>Title</w:t>
      </w:r>
    </w:p>
    <w:p w14:paraId="727C4BF2" w14:textId="56FCA790" w:rsidR="00ED7F68" w:rsidRPr="00ED7F68" w:rsidRDefault="00D8343E" w:rsidP="00ED7F68">
      <w:pPr>
        <w:pStyle w:val="NICEnormal"/>
      </w:pPr>
      <w:r>
        <w:t>Addendum to the integrated performance report: s</w:t>
      </w:r>
      <w:r w:rsidR="00ED7F68">
        <w:t xml:space="preserve">taff </w:t>
      </w:r>
      <w:r>
        <w:t>t</w:t>
      </w:r>
      <w:r w:rsidR="00ED7F68" w:rsidRPr="00ED7F68">
        <w:t xml:space="preserve">urnover and </w:t>
      </w:r>
      <w:r>
        <w:t>l</w:t>
      </w:r>
      <w:r w:rsidR="00ED7F68" w:rsidRPr="00ED7F68">
        <w:t xml:space="preserve">eaver </w:t>
      </w:r>
      <w:r>
        <w:t>a</w:t>
      </w:r>
      <w:r w:rsidR="00ED7F68" w:rsidRPr="00ED7F68">
        <w:t>nalysis</w:t>
      </w:r>
      <w:r>
        <w:t xml:space="preserve"> </w:t>
      </w:r>
    </w:p>
    <w:p w14:paraId="257A7AE0" w14:textId="77777777" w:rsidR="00ED7F68" w:rsidRDefault="00ED7F68" w:rsidP="00ED7F68">
      <w:pPr>
        <w:pStyle w:val="Heading1boardreport"/>
      </w:pPr>
      <w:r>
        <w:t>Purpose of paper</w:t>
      </w:r>
    </w:p>
    <w:p w14:paraId="66C8B5DE" w14:textId="2A9316BF" w:rsidR="00ED7F68" w:rsidRPr="00ED7F68" w:rsidRDefault="00ED7F68" w:rsidP="00ED7F68">
      <w:pPr>
        <w:pStyle w:val="NICEnormal"/>
      </w:pPr>
      <w:r w:rsidRPr="00ED7F68">
        <w:t xml:space="preserve">For discussion and information </w:t>
      </w:r>
    </w:p>
    <w:p w14:paraId="3CF60554" w14:textId="77777777" w:rsidR="00ED7F68" w:rsidRDefault="00ED7F68" w:rsidP="00ED7F68">
      <w:pPr>
        <w:pStyle w:val="Heading1boardreport"/>
      </w:pPr>
      <w:r>
        <w:t>Board action required</w:t>
      </w:r>
    </w:p>
    <w:p w14:paraId="45372EC6" w14:textId="0567FAB3" w:rsidR="00ED7F68" w:rsidRPr="00ED7F68" w:rsidRDefault="00ED7F68" w:rsidP="00ED7F68">
      <w:pPr>
        <w:pStyle w:val="NICEnormal"/>
      </w:pPr>
      <w:r w:rsidRPr="00ED7F68">
        <w:t xml:space="preserve">The </w:t>
      </w:r>
      <w:r w:rsidR="002C595F">
        <w:t>B</w:t>
      </w:r>
      <w:r w:rsidRPr="00ED7F68">
        <w:t xml:space="preserve">oard is asked to note the </w:t>
      </w:r>
      <w:r w:rsidR="002C595F">
        <w:t>analysis which was requested at the last Board meeting.</w:t>
      </w:r>
    </w:p>
    <w:p w14:paraId="710A31CD" w14:textId="77777777" w:rsidR="00ED7F68" w:rsidRDefault="00ED7F68" w:rsidP="00ED7F68">
      <w:pPr>
        <w:pStyle w:val="Heading1boardreport"/>
      </w:pPr>
      <w:proofErr w:type="gramStart"/>
      <w:r>
        <w:t>Brief summary</w:t>
      </w:r>
      <w:proofErr w:type="gramEnd"/>
    </w:p>
    <w:p w14:paraId="2F257771" w14:textId="04519632" w:rsidR="00ED7F68" w:rsidRPr="003D501D" w:rsidRDefault="00ED7F68" w:rsidP="00ED7F68">
      <w:pPr>
        <w:pStyle w:val="NICEnormal"/>
      </w:pPr>
      <w:r w:rsidRPr="003D501D">
        <w:t xml:space="preserve">Staff turnover has continued to increase </w:t>
      </w:r>
      <w:r w:rsidR="000137CF" w:rsidRPr="003D501D">
        <w:t>during</w:t>
      </w:r>
      <w:r w:rsidRPr="003D501D">
        <w:t xml:space="preserve"> the past 12 months. </w:t>
      </w:r>
      <w:r w:rsidR="000137CF" w:rsidRPr="003D501D">
        <w:t>This paper reviews findings from leaver data and exit interview surveys</w:t>
      </w:r>
      <w:r w:rsidR="00A309EB">
        <w:t xml:space="preserve"> from four outlier directorates.</w:t>
      </w:r>
    </w:p>
    <w:p w14:paraId="4B63E82A" w14:textId="77777777" w:rsidR="00ED7F68" w:rsidRDefault="00ED7F68" w:rsidP="00ED7F68">
      <w:pPr>
        <w:pStyle w:val="Heading1boardreport"/>
      </w:pPr>
      <w:r>
        <w:t>Board sponsor</w:t>
      </w:r>
    </w:p>
    <w:p w14:paraId="52CE835A" w14:textId="0BE412D6" w:rsidR="00ED7F68" w:rsidRPr="00A309EB" w:rsidRDefault="00A309EB" w:rsidP="00ED7F68">
      <w:pPr>
        <w:pStyle w:val="NICEnormal"/>
      </w:pPr>
      <w:r w:rsidRPr="00A309EB">
        <w:t>Nicole Gee</w:t>
      </w:r>
      <w:r w:rsidR="002C595F">
        <w:t>, Interim Chief People Officer</w:t>
      </w:r>
    </w:p>
    <w:p w14:paraId="165C7F72" w14:textId="68FFC546" w:rsidR="00ED7F68" w:rsidRDefault="00ED7F68">
      <w:pPr>
        <w:rPr>
          <w:rFonts w:ascii="Arial" w:hAnsi="Arial"/>
          <w:b/>
          <w:bCs/>
          <w:kern w:val="32"/>
          <w:sz w:val="28"/>
          <w:szCs w:val="32"/>
        </w:rPr>
      </w:pPr>
      <w:r>
        <w:br w:type="page"/>
      </w:r>
    </w:p>
    <w:p w14:paraId="5ECAC837" w14:textId="04FA77ED" w:rsidR="008471AF" w:rsidRDefault="000956C5" w:rsidP="002C595F">
      <w:pPr>
        <w:pStyle w:val="Heading1boardreport"/>
      </w:pPr>
      <w:r>
        <w:lastRenderedPageBreak/>
        <w:t>1.</w:t>
      </w:r>
      <w:r w:rsidR="008471AF">
        <w:t xml:space="preserve">Turnover/Leaver </w:t>
      </w:r>
      <w:r w:rsidR="002C595F">
        <w:t>a</w:t>
      </w:r>
      <w:r w:rsidR="008471AF">
        <w:t>nalysis</w:t>
      </w:r>
    </w:p>
    <w:p w14:paraId="3A1CD210" w14:textId="76FA0972" w:rsidR="008471AF" w:rsidRDefault="008471AF" w:rsidP="002C595F">
      <w:pPr>
        <w:pStyle w:val="Paragraph"/>
      </w:pPr>
      <w:r w:rsidRPr="002C595F">
        <w:t>Turnover</w:t>
      </w:r>
      <w:r w:rsidRPr="00EF5160">
        <w:t xml:space="preserve"> has increased across NICE over the past 12 months </w:t>
      </w:r>
      <w:r w:rsidR="00441327" w:rsidRPr="00EF5160">
        <w:t>from 9.83% in July 2021</w:t>
      </w:r>
      <w:r w:rsidR="000956C5">
        <w:t xml:space="preserve"> </w:t>
      </w:r>
      <w:r w:rsidR="00441327" w:rsidRPr="00EF5160">
        <w:t>to 11.89% in June 2022. Directorates that have seen a significant rise are:</w:t>
      </w:r>
    </w:p>
    <w:p w14:paraId="7149604F" w14:textId="1AC4B22E" w:rsidR="00612712" w:rsidRPr="00612712" w:rsidRDefault="00C1549E" w:rsidP="002C595F">
      <w:pPr>
        <w:pStyle w:val="Tabletext"/>
        <w:ind w:firstLine="720"/>
        <w:rPr>
          <w:b/>
          <w:bCs/>
        </w:rPr>
      </w:pPr>
      <w:r>
        <w:rPr>
          <w:b/>
          <w:bCs/>
        </w:rPr>
        <w:t>Turnover Rates - Outlier Directorates</w:t>
      </w:r>
    </w:p>
    <w:tbl>
      <w:tblPr>
        <w:tblStyle w:val="TableGrid"/>
        <w:tblW w:w="3671" w:type="pct"/>
        <w:tblLook w:val="04A0" w:firstRow="1" w:lastRow="0" w:firstColumn="1" w:lastColumn="0" w:noHBand="0" w:noVBand="1"/>
        <w:tblCaption w:val="Turnover Rates - Outlier Directorates"/>
      </w:tblPr>
      <w:tblGrid>
        <w:gridCol w:w="2404"/>
        <w:gridCol w:w="1705"/>
        <w:gridCol w:w="1986"/>
      </w:tblGrid>
      <w:tr w:rsidR="000956C5" w:rsidRPr="007277C3" w14:paraId="17D28A9A" w14:textId="2AADC9EA" w:rsidTr="008F0BC2">
        <w:trPr>
          <w:trHeight w:val="389"/>
        </w:trPr>
        <w:tc>
          <w:tcPr>
            <w:tcW w:w="2402" w:type="dxa"/>
          </w:tcPr>
          <w:p w14:paraId="1ABFBF11" w14:textId="39CFC585" w:rsidR="000956C5" w:rsidRPr="007277C3" w:rsidRDefault="000956C5" w:rsidP="005F692D">
            <w:pPr>
              <w:pStyle w:val="Tableheadingboardreport"/>
            </w:pPr>
            <w:r>
              <w:t>Directorate</w:t>
            </w:r>
          </w:p>
        </w:tc>
        <w:tc>
          <w:tcPr>
            <w:tcW w:w="1704" w:type="dxa"/>
          </w:tcPr>
          <w:p w14:paraId="47B8CE63" w14:textId="5E15DCEE" w:rsidR="000956C5" w:rsidRPr="00612712" w:rsidRDefault="00612712" w:rsidP="00612712">
            <w:pPr>
              <w:pStyle w:val="Tabletext"/>
              <w:rPr>
                <w:b/>
                <w:bCs/>
              </w:rPr>
            </w:pPr>
            <w:r w:rsidRPr="00612712">
              <w:rPr>
                <w:b/>
                <w:bCs/>
              </w:rPr>
              <w:t>July 2021</w:t>
            </w:r>
          </w:p>
        </w:tc>
        <w:tc>
          <w:tcPr>
            <w:tcW w:w="1985" w:type="dxa"/>
          </w:tcPr>
          <w:p w14:paraId="6827E581" w14:textId="5F0BA373" w:rsidR="000956C5" w:rsidRPr="00612712" w:rsidRDefault="00612712" w:rsidP="005F692D">
            <w:pPr>
              <w:pStyle w:val="Tabletext"/>
              <w:rPr>
                <w:b/>
                <w:bCs/>
              </w:rPr>
            </w:pPr>
            <w:r w:rsidRPr="00612712">
              <w:rPr>
                <w:b/>
                <w:bCs/>
              </w:rPr>
              <w:t>June 2022</w:t>
            </w:r>
          </w:p>
        </w:tc>
      </w:tr>
      <w:tr w:rsidR="000956C5" w:rsidRPr="007277C3" w14:paraId="5FFF5C7F" w14:textId="5D9C7B59" w:rsidTr="008F0BC2">
        <w:trPr>
          <w:trHeight w:val="409"/>
        </w:trPr>
        <w:tc>
          <w:tcPr>
            <w:tcW w:w="2402" w:type="dxa"/>
          </w:tcPr>
          <w:p w14:paraId="031BF93C" w14:textId="26150907" w:rsidR="000956C5" w:rsidRPr="007277C3" w:rsidRDefault="00612712" w:rsidP="005F692D">
            <w:pPr>
              <w:pStyle w:val="Tableheadingboardreport"/>
            </w:pPr>
            <w:r>
              <w:t>Comms</w:t>
            </w:r>
          </w:p>
        </w:tc>
        <w:tc>
          <w:tcPr>
            <w:tcW w:w="1704" w:type="dxa"/>
          </w:tcPr>
          <w:p w14:paraId="09B0D59B" w14:textId="5BEB0781" w:rsidR="000956C5" w:rsidRPr="007277C3" w:rsidRDefault="00612712" w:rsidP="00612712">
            <w:pPr>
              <w:pStyle w:val="Tabletext"/>
            </w:pPr>
            <w:r>
              <w:t>16.67%</w:t>
            </w:r>
          </w:p>
        </w:tc>
        <w:tc>
          <w:tcPr>
            <w:tcW w:w="1985" w:type="dxa"/>
          </w:tcPr>
          <w:p w14:paraId="5734FE57" w14:textId="12D63298" w:rsidR="000956C5" w:rsidRPr="00A36575" w:rsidRDefault="00612712" w:rsidP="005F692D">
            <w:pPr>
              <w:pStyle w:val="Tabletext"/>
            </w:pPr>
            <w:r>
              <w:t>27.73%</w:t>
            </w:r>
          </w:p>
        </w:tc>
      </w:tr>
      <w:tr w:rsidR="000956C5" w:rsidRPr="007277C3" w14:paraId="0B107453" w14:textId="270E36DC" w:rsidTr="008F0BC2">
        <w:trPr>
          <w:trHeight w:val="415"/>
        </w:trPr>
        <w:tc>
          <w:tcPr>
            <w:tcW w:w="2402" w:type="dxa"/>
          </w:tcPr>
          <w:p w14:paraId="628C4F06" w14:textId="2EC7B8EA" w:rsidR="000956C5" w:rsidRPr="007277C3" w:rsidRDefault="00612712" w:rsidP="005F692D">
            <w:pPr>
              <w:pStyle w:val="Tableheadingboardreport"/>
            </w:pPr>
            <w:r>
              <w:t>DIT</w:t>
            </w:r>
          </w:p>
        </w:tc>
        <w:tc>
          <w:tcPr>
            <w:tcW w:w="1704" w:type="dxa"/>
          </w:tcPr>
          <w:p w14:paraId="62EF22A1" w14:textId="42A2498C" w:rsidR="000956C5" w:rsidRPr="007277C3" w:rsidRDefault="00612712" w:rsidP="00612712">
            <w:pPr>
              <w:pStyle w:val="Tabletext"/>
            </w:pPr>
            <w:r>
              <w:t>4.31%</w:t>
            </w:r>
          </w:p>
        </w:tc>
        <w:tc>
          <w:tcPr>
            <w:tcW w:w="1985" w:type="dxa"/>
          </w:tcPr>
          <w:p w14:paraId="675B54EF" w14:textId="2540D75B" w:rsidR="000956C5" w:rsidRPr="00A36575" w:rsidRDefault="00612712" w:rsidP="005F692D">
            <w:pPr>
              <w:pStyle w:val="Tabletext"/>
            </w:pPr>
            <w:r>
              <w:t>12.64%</w:t>
            </w:r>
          </w:p>
        </w:tc>
      </w:tr>
      <w:tr w:rsidR="00612712" w:rsidRPr="007277C3" w14:paraId="0975F07E" w14:textId="77777777" w:rsidTr="008F0BC2">
        <w:trPr>
          <w:trHeight w:val="421"/>
        </w:trPr>
        <w:tc>
          <w:tcPr>
            <w:tcW w:w="2402" w:type="dxa"/>
          </w:tcPr>
          <w:p w14:paraId="23DB1E0E" w14:textId="6719BF2F" w:rsidR="00612712" w:rsidRPr="00A36575" w:rsidRDefault="00612712" w:rsidP="005F692D">
            <w:pPr>
              <w:pStyle w:val="Tableheadingboardreport"/>
            </w:pPr>
            <w:r>
              <w:t>HS&amp;C</w:t>
            </w:r>
          </w:p>
        </w:tc>
        <w:tc>
          <w:tcPr>
            <w:tcW w:w="1704" w:type="dxa"/>
          </w:tcPr>
          <w:p w14:paraId="281CBBC8" w14:textId="4DB8FEA0" w:rsidR="00612712" w:rsidRPr="00A36575" w:rsidRDefault="00612712" w:rsidP="005F692D">
            <w:pPr>
              <w:pStyle w:val="Tabletext"/>
            </w:pPr>
            <w:r>
              <w:t>7.74%</w:t>
            </w:r>
          </w:p>
        </w:tc>
        <w:tc>
          <w:tcPr>
            <w:tcW w:w="1985" w:type="dxa"/>
          </w:tcPr>
          <w:p w14:paraId="715CA013" w14:textId="712E59CF" w:rsidR="00612712" w:rsidRPr="00A36575" w:rsidRDefault="00612712" w:rsidP="005F692D">
            <w:pPr>
              <w:pStyle w:val="Tabletext"/>
            </w:pPr>
            <w:r>
              <w:t>23.56%</w:t>
            </w:r>
          </w:p>
        </w:tc>
      </w:tr>
      <w:tr w:rsidR="00612712" w:rsidRPr="007277C3" w14:paraId="02A3143A" w14:textId="77777777" w:rsidTr="008F0BC2">
        <w:trPr>
          <w:trHeight w:val="412"/>
        </w:trPr>
        <w:tc>
          <w:tcPr>
            <w:tcW w:w="2402" w:type="dxa"/>
          </w:tcPr>
          <w:p w14:paraId="790FFB47" w14:textId="1C6F9387" w:rsidR="00612712" w:rsidRDefault="00612712" w:rsidP="005F692D">
            <w:pPr>
              <w:pStyle w:val="Tableheadingboardreport"/>
            </w:pPr>
            <w:r>
              <w:t>P&amp;P</w:t>
            </w:r>
          </w:p>
        </w:tc>
        <w:tc>
          <w:tcPr>
            <w:tcW w:w="1704" w:type="dxa"/>
          </w:tcPr>
          <w:p w14:paraId="7527D17E" w14:textId="19E25DB4" w:rsidR="00612712" w:rsidRPr="00A36575" w:rsidRDefault="00612712" w:rsidP="005F692D">
            <w:pPr>
              <w:pStyle w:val="Tabletext"/>
            </w:pPr>
            <w:r>
              <w:t>*24.91%</w:t>
            </w:r>
          </w:p>
        </w:tc>
        <w:tc>
          <w:tcPr>
            <w:tcW w:w="1985" w:type="dxa"/>
          </w:tcPr>
          <w:p w14:paraId="139CD4F9" w14:textId="3E34ED07" w:rsidR="00612712" w:rsidRPr="00A36575" w:rsidRDefault="00612712" w:rsidP="005F692D">
            <w:pPr>
              <w:pStyle w:val="Tabletext"/>
            </w:pPr>
            <w:r>
              <w:t>19.24%</w:t>
            </w:r>
          </w:p>
        </w:tc>
      </w:tr>
    </w:tbl>
    <w:p w14:paraId="2CD958F4" w14:textId="057DFB6E" w:rsidR="002364A3" w:rsidRDefault="00A03C6E" w:rsidP="002C595F">
      <w:pPr>
        <w:pStyle w:val="Paragraphnonumbers"/>
        <w:ind w:left="851"/>
      </w:pPr>
      <w:r>
        <w:t>* This figure is taken from January 2022 when the P&amp;P directorate was created on ESR.</w:t>
      </w:r>
    </w:p>
    <w:p w14:paraId="4D236DB9" w14:textId="41694B7C" w:rsidR="00EC2D60" w:rsidRPr="00A03C6E" w:rsidRDefault="00EC2D60" w:rsidP="002C595F">
      <w:pPr>
        <w:pStyle w:val="Paragraph"/>
      </w:pPr>
      <w:r>
        <w:t>Data from ESR, leaver forms and exit interview surveys has been investigated to provide further analysis.</w:t>
      </w:r>
    </w:p>
    <w:p w14:paraId="462BF4C3" w14:textId="25599B78" w:rsidR="00441327" w:rsidRPr="00EF5160" w:rsidRDefault="009F0273" w:rsidP="002C595F">
      <w:pPr>
        <w:pStyle w:val="Heading1boardreport"/>
      </w:pPr>
      <w:r w:rsidRPr="002C595F">
        <w:t>Comm</w:t>
      </w:r>
      <w:r w:rsidR="002C595F">
        <w:t>unications</w:t>
      </w:r>
    </w:p>
    <w:p w14:paraId="69B4AA8B" w14:textId="197E815F" w:rsidR="00B3793B" w:rsidRPr="00EF5160" w:rsidRDefault="006F07B2" w:rsidP="002C595F">
      <w:pPr>
        <w:pStyle w:val="Paragraph"/>
      </w:pPr>
      <w:r w:rsidRPr="002C595F">
        <w:t>Fourteen</w:t>
      </w:r>
      <w:r>
        <w:t xml:space="preserve"> </w:t>
      </w:r>
      <w:r w:rsidR="009A57A2" w:rsidRPr="00EF5160">
        <w:t xml:space="preserve">specialist comms roles were lost during the </w:t>
      </w:r>
      <w:r w:rsidR="004D06D3" w:rsidRPr="00EF5160">
        <w:t>12-month</w:t>
      </w:r>
      <w:r w:rsidR="009A57A2" w:rsidRPr="00EF5160">
        <w:t xml:space="preserve"> period, </w:t>
      </w:r>
      <w:r>
        <w:t>across bands 5 – 8D</w:t>
      </w:r>
      <w:r w:rsidR="00026A6D" w:rsidRPr="00EF5160">
        <w:t xml:space="preserve">. Turnover has remained consistently high since </w:t>
      </w:r>
      <w:r w:rsidR="004D06D3" w:rsidRPr="00EF5160">
        <w:t>July 2021 and has not dropped below 22% since October 2021. Most leavers within Comms listed reason for leaving as promotion</w:t>
      </w:r>
      <w:r>
        <w:t xml:space="preserve"> and </w:t>
      </w:r>
      <w:r w:rsidR="004D06D3" w:rsidRPr="00EF5160">
        <w:t xml:space="preserve">better reward package. </w:t>
      </w:r>
      <w:r>
        <w:t xml:space="preserve">Leavers went on to a variety of </w:t>
      </w:r>
      <w:r w:rsidR="00075E17">
        <w:t>roles within other NHS organisations, both non-healthcare public &amp; private organisations and outside the health sector. Two</w:t>
      </w:r>
      <w:r w:rsidR="00D03525">
        <w:t xml:space="preserve"> staff</w:t>
      </w:r>
      <w:r w:rsidR="00075E17">
        <w:t xml:space="preserve"> l</w:t>
      </w:r>
      <w:r w:rsidR="00571727">
        <w:t>eft to no further employment and three did not complete this information.</w:t>
      </w:r>
    </w:p>
    <w:p w14:paraId="06E7F691" w14:textId="1BE2B763" w:rsidR="00723C20" w:rsidRPr="00331A56" w:rsidRDefault="00723C20" w:rsidP="00331A56">
      <w:pPr>
        <w:pStyle w:val="Paragraph"/>
      </w:pPr>
      <w:r w:rsidRPr="00331A56">
        <w:t xml:space="preserve">Only 57% of leavers completed an exit interview </w:t>
      </w:r>
    </w:p>
    <w:p w14:paraId="6A9C2FB6" w14:textId="17FF7BAF" w:rsidR="004718AD" w:rsidRPr="00331A56" w:rsidRDefault="004718AD" w:rsidP="00331A56">
      <w:pPr>
        <w:pStyle w:val="Paragraph"/>
      </w:pPr>
      <w:r w:rsidRPr="00331A56">
        <w:t>All leavers stated they felt comfortable talking to their manager.</w:t>
      </w:r>
    </w:p>
    <w:p w14:paraId="659A2DBE" w14:textId="352D0399" w:rsidR="00B80E43" w:rsidRPr="00331A56" w:rsidRDefault="00EF5160" w:rsidP="00331A56">
      <w:pPr>
        <w:pStyle w:val="Paragraph"/>
      </w:pPr>
      <w:r w:rsidRPr="00331A56">
        <w:t xml:space="preserve">A brief benchmarking exercise across similar roles in other NHS or civil service organisations shows that NICE’s Comms roles are paid competitively. </w:t>
      </w:r>
    </w:p>
    <w:p w14:paraId="69F481C2" w14:textId="13DD3935" w:rsidR="00F04AC5" w:rsidRPr="00331A56" w:rsidRDefault="00EF5160" w:rsidP="00331A56">
      <w:pPr>
        <w:pStyle w:val="Paragraph"/>
      </w:pPr>
      <w:r w:rsidRPr="00331A56">
        <w:lastRenderedPageBreak/>
        <w:t xml:space="preserve">Data does not highlight any cause for concern from a </w:t>
      </w:r>
      <w:r w:rsidR="00934BFF" w:rsidRPr="00331A56">
        <w:t>BLACK ASIAN MINORITY ETHNIC</w:t>
      </w:r>
      <w:r w:rsidRPr="00331A56">
        <w:t xml:space="preserve"> perspective.</w:t>
      </w:r>
    </w:p>
    <w:p w14:paraId="5017776C" w14:textId="4817D473" w:rsidR="00EF5160" w:rsidRDefault="00EF5160" w:rsidP="00331A56">
      <w:pPr>
        <w:pStyle w:val="Heading1boardreport"/>
      </w:pPr>
      <w:r w:rsidRPr="00723C20">
        <w:t>DIT</w:t>
      </w:r>
    </w:p>
    <w:p w14:paraId="297E7881" w14:textId="245270D1" w:rsidR="00AD1E55" w:rsidRDefault="00AA1B7D" w:rsidP="00331A56">
      <w:pPr>
        <w:pStyle w:val="Paragraph"/>
      </w:pPr>
      <w:r>
        <w:t xml:space="preserve">NICE has felt the impact in difficulties to attract and retain IT talent in the </w:t>
      </w:r>
      <w:r w:rsidRPr="00331A56">
        <w:t>current</w:t>
      </w:r>
      <w:r>
        <w:t xml:space="preserve"> market. </w:t>
      </w:r>
      <w:r w:rsidR="000646EA">
        <w:t xml:space="preserve">DIT’s turnover rose in November 2021 and has continued to increase month on month to date. </w:t>
      </w:r>
      <w:r>
        <w:t xml:space="preserve">Nine specialist roles left including Developers and Help Desk </w:t>
      </w:r>
      <w:r w:rsidR="00892AF2">
        <w:t xml:space="preserve">support </w:t>
      </w:r>
      <w:r>
        <w:t>at all levels</w:t>
      </w:r>
      <w:r w:rsidR="004835D6">
        <w:t>, contributed to by the recent changes to the DIT helpdesk team</w:t>
      </w:r>
      <w:r>
        <w:t xml:space="preserve">. </w:t>
      </w:r>
    </w:p>
    <w:p w14:paraId="394196BA" w14:textId="6C1CD75A" w:rsidR="006F07B2" w:rsidRPr="006F07B2" w:rsidRDefault="00892AF2" w:rsidP="00331A56">
      <w:pPr>
        <w:pStyle w:val="Paragraph"/>
      </w:pPr>
      <w:r>
        <w:t xml:space="preserve">Better reward package was cited as the common cause for leaving. Of the data completed, half went to roles within the private sector outside of healthcare. </w:t>
      </w:r>
    </w:p>
    <w:p w14:paraId="5A18AAE3" w14:textId="5BBF6619" w:rsidR="00EF5160" w:rsidRDefault="00785F33" w:rsidP="00331A56">
      <w:pPr>
        <w:pStyle w:val="Paragraph"/>
      </w:pPr>
      <w:r>
        <w:t>With only two ex</w:t>
      </w:r>
      <w:r w:rsidR="00892AF2">
        <w:t xml:space="preserve">it </w:t>
      </w:r>
      <w:r w:rsidR="00892AF2" w:rsidRPr="00331A56">
        <w:t>interview</w:t>
      </w:r>
      <w:r w:rsidRPr="00331A56">
        <w:t>s</w:t>
      </w:r>
      <w:r>
        <w:t xml:space="preserve"> completed within DIT (both of which were from senior roles), it is difficult to provide much insight. This process needs to be promoted within the directorate.</w:t>
      </w:r>
    </w:p>
    <w:p w14:paraId="5DE9B3EE" w14:textId="137D0F6E" w:rsidR="00531EE4" w:rsidRDefault="002674B7" w:rsidP="00331A56">
      <w:pPr>
        <w:pStyle w:val="Paragraph"/>
      </w:pPr>
      <w:r>
        <w:t xml:space="preserve">Recruitment &amp; Retention </w:t>
      </w:r>
      <w:r w:rsidRPr="00331A56">
        <w:t>premia</w:t>
      </w:r>
      <w:r>
        <w:t xml:space="preserve"> has been agreed for </w:t>
      </w:r>
      <w:r w:rsidR="00D03525">
        <w:t>several</w:t>
      </w:r>
      <w:r>
        <w:t xml:space="preserve"> roles within IT and new starters have been placed at top of band to try and </w:t>
      </w:r>
      <w:r w:rsidR="00A04142">
        <w:t>mitigate salary issues.</w:t>
      </w:r>
    </w:p>
    <w:p w14:paraId="2F9BA373" w14:textId="3001C3AC" w:rsidR="00094160" w:rsidRDefault="00094160" w:rsidP="00331A56">
      <w:pPr>
        <w:pStyle w:val="Paragraph"/>
      </w:pPr>
      <w:r>
        <w:t xml:space="preserve">Data does not highlight any cause for concern from a </w:t>
      </w:r>
      <w:r w:rsidR="00934BFF">
        <w:t>BLACK ASIAN     MINORITY ETHNIC</w:t>
      </w:r>
      <w:r>
        <w:t xml:space="preserve"> </w:t>
      </w:r>
      <w:r w:rsidRPr="00331A56">
        <w:t>perspective</w:t>
      </w:r>
      <w:r>
        <w:t>.</w:t>
      </w:r>
    </w:p>
    <w:p w14:paraId="29806166" w14:textId="71FC62DD" w:rsidR="00A04142" w:rsidRPr="00A04142" w:rsidRDefault="00A04142" w:rsidP="00331A56">
      <w:pPr>
        <w:pStyle w:val="Heading1boardreport"/>
      </w:pPr>
      <w:r w:rsidRPr="00A04142">
        <w:t>Health &amp; Social Care</w:t>
      </w:r>
    </w:p>
    <w:p w14:paraId="6AF56F5A" w14:textId="5152C4A5" w:rsidR="00EF5160" w:rsidRDefault="00094160" w:rsidP="00331A56">
      <w:pPr>
        <w:pStyle w:val="Paragraph"/>
      </w:pPr>
      <w:r>
        <w:t xml:space="preserve">The </w:t>
      </w:r>
      <w:r w:rsidRPr="00331A56">
        <w:t>figures</w:t>
      </w:r>
      <w:r>
        <w:t xml:space="preserve"> for H&amp;SC can in part be attributed to the management of change and redundancy exercise last year. Turnover rose 1.78% in September 2021 to 9.52% and saw a significant rise in April 2022 to 17.89</w:t>
      </w:r>
      <w:proofErr w:type="gramStart"/>
      <w:r>
        <w:t xml:space="preserve">% </w:t>
      </w:r>
      <w:r w:rsidR="007275B5">
        <w:t>.</w:t>
      </w:r>
      <w:proofErr w:type="gramEnd"/>
      <w:r w:rsidR="007275B5">
        <w:t xml:space="preserve"> Turnover has continued to rise since then to 20.36% in May and </w:t>
      </w:r>
      <w:r w:rsidR="007275B5" w:rsidRPr="00331A56">
        <w:t>23.56%</w:t>
      </w:r>
      <w:r w:rsidR="007275B5">
        <w:t xml:space="preserve"> in the most recent month June 2022. </w:t>
      </w:r>
    </w:p>
    <w:p w14:paraId="002C632F" w14:textId="5570A918" w:rsidR="00EC2D60" w:rsidRDefault="008D395C" w:rsidP="00331A56">
      <w:pPr>
        <w:pStyle w:val="Paragraph"/>
      </w:pPr>
      <w:r>
        <w:t xml:space="preserve">Within this group </w:t>
      </w:r>
      <w:r w:rsidR="00163F73">
        <w:t>the most common factor for leaving was cited as promotion or retirement. Almost half of leavers went on</w:t>
      </w:r>
      <w:r w:rsidR="00B353CA">
        <w:t xml:space="preserve"> </w:t>
      </w:r>
      <w:r w:rsidR="00163F73">
        <w:t>to employment within another NHS organisation</w:t>
      </w:r>
    </w:p>
    <w:p w14:paraId="6B81322B" w14:textId="5F899200" w:rsidR="00AD1E55" w:rsidRPr="00331A56" w:rsidRDefault="00295785" w:rsidP="00331A56">
      <w:pPr>
        <w:pStyle w:val="Paragraph"/>
      </w:pPr>
      <w:r w:rsidRPr="00331A56">
        <w:lastRenderedPageBreak/>
        <w:t>All leavers that completed the interview stated they could talk to their manager and that their workload was realistic.</w:t>
      </w:r>
    </w:p>
    <w:p w14:paraId="599ED02D" w14:textId="55A03884" w:rsidR="00295785" w:rsidRPr="00331A56" w:rsidRDefault="00295785" w:rsidP="00331A56">
      <w:pPr>
        <w:pStyle w:val="Paragraph"/>
      </w:pPr>
      <w:r w:rsidRPr="00331A56">
        <w:t>Feedback shows that those in lower banded roles felt their skills were not fully utilised within their roles and there was a lack of development support.</w:t>
      </w:r>
    </w:p>
    <w:p w14:paraId="59DB4EF9" w14:textId="1E0152D7" w:rsidR="007454FA" w:rsidRPr="00331A56" w:rsidRDefault="005A5798" w:rsidP="00331A56">
      <w:pPr>
        <w:pStyle w:val="Paragraph"/>
      </w:pPr>
      <w:r w:rsidRPr="00331A56">
        <w:t xml:space="preserve">Exit Interview completion of leavers </w:t>
      </w:r>
      <w:r w:rsidR="004835D6" w:rsidRPr="00331A56">
        <w:t xml:space="preserve">was </w:t>
      </w:r>
      <w:r w:rsidRPr="00331A56">
        <w:t>poor at 26%.</w:t>
      </w:r>
    </w:p>
    <w:p w14:paraId="0293BAD6" w14:textId="1D247F51" w:rsidR="002C53A9" w:rsidRPr="00331A56" w:rsidRDefault="002C53A9" w:rsidP="00331A56">
      <w:pPr>
        <w:pStyle w:val="Paragraph"/>
      </w:pPr>
      <w:r w:rsidRPr="00331A56">
        <w:t xml:space="preserve">Data does not highlight any cause for concern from a </w:t>
      </w:r>
      <w:r w:rsidR="00934BFF" w:rsidRPr="00331A56">
        <w:t>BLACK ASIAN MINORITY ETHNIC</w:t>
      </w:r>
      <w:r w:rsidRPr="00331A56">
        <w:t xml:space="preserve"> perspective.</w:t>
      </w:r>
    </w:p>
    <w:p w14:paraId="32959F14" w14:textId="1C4E3D3F" w:rsidR="00B3793B" w:rsidRPr="00400FDB" w:rsidRDefault="005A5798" w:rsidP="00331A56">
      <w:pPr>
        <w:pStyle w:val="Heading1boardreport"/>
      </w:pPr>
      <w:r w:rsidRPr="00400FDB">
        <w:t>People &amp; Places</w:t>
      </w:r>
    </w:p>
    <w:p w14:paraId="1126A8C4" w14:textId="0FCC5293" w:rsidR="005A5798" w:rsidRDefault="005A5798" w:rsidP="00331A56">
      <w:pPr>
        <w:pStyle w:val="Paragraph"/>
      </w:pPr>
      <w:r w:rsidRPr="00331A56">
        <w:t>People</w:t>
      </w:r>
      <w:r>
        <w:t xml:space="preserve"> and Places formed part of FST for data purposes </w:t>
      </w:r>
      <w:r w:rsidR="004835D6">
        <w:t xml:space="preserve">in </w:t>
      </w:r>
      <w:r>
        <w:t>January 2022.</w:t>
      </w:r>
      <w:r w:rsidR="00A03C6E">
        <w:t xml:space="preserve"> Turnover within the directorate has </w:t>
      </w:r>
      <w:r w:rsidR="00116B74">
        <w:t>remained</w:t>
      </w:r>
      <w:r w:rsidR="00A03C6E">
        <w:t xml:space="preserve"> high with an average of </w:t>
      </w:r>
      <w:r w:rsidR="00A03C6E" w:rsidRPr="00331A56">
        <w:t>19</w:t>
      </w:r>
      <w:r w:rsidR="00A03C6E">
        <w:t xml:space="preserve">% between January and June 2022. </w:t>
      </w:r>
    </w:p>
    <w:p w14:paraId="02695C3E" w14:textId="0FB2294B" w:rsidR="0026467D" w:rsidRPr="00331A56" w:rsidRDefault="0026467D" w:rsidP="00331A56">
      <w:pPr>
        <w:pStyle w:val="Paragraph"/>
      </w:pPr>
      <w:r>
        <w:t xml:space="preserve">Exit Interview </w:t>
      </w:r>
      <w:r w:rsidRPr="00331A56">
        <w:t xml:space="preserve">information has been taken from relevant leavers within FST for the period July 2021 to December 2021. Career progression is the main factor given for leaving NICE with a higher salary and low morale quoted as a secondary consideration. </w:t>
      </w:r>
    </w:p>
    <w:p w14:paraId="3A1651B6" w14:textId="29EA5FA6" w:rsidR="00113141" w:rsidRPr="00331A56" w:rsidRDefault="00C9577D" w:rsidP="00331A56">
      <w:pPr>
        <w:pStyle w:val="Paragraph"/>
      </w:pPr>
      <w:r w:rsidRPr="00331A56">
        <w:t>All leavers felt they could talk to their manager.</w:t>
      </w:r>
    </w:p>
    <w:p w14:paraId="0A33CAA2" w14:textId="064B1713" w:rsidR="00C54BA1" w:rsidRPr="00331A56" w:rsidRDefault="00715AD0" w:rsidP="00331A56">
      <w:pPr>
        <w:pStyle w:val="Paragraph"/>
      </w:pPr>
      <w:r w:rsidRPr="00331A56">
        <w:t>All respondents stated they did not feel their skills were fully utilised within their role, that they were capable of much more and/or felt deskilled.</w:t>
      </w:r>
    </w:p>
    <w:p w14:paraId="0580950E" w14:textId="648F135E" w:rsidR="00113141" w:rsidRPr="00331A56" w:rsidRDefault="00113141" w:rsidP="00331A56">
      <w:pPr>
        <w:pStyle w:val="Paragraph"/>
      </w:pPr>
      <w:r w:rsidRPr="00331A56">
        <w:t xml:space="preserve">Data does not highlight any cause for concern from a </w:t>
      </w:r>
      <w:r w:rsidR="00934BFF" w:rsidRPr="00331A56">
        <w:t>BLACK ASIAN MINORITY</w:t>
      </w:r>
      <w:r w:rsidR="00331A56">
        <w:t xml:space="preserve"> </w:t>
      </w:r>
      <w:r w:rsidR="00934BFF" w:rsidRPr="00331A56">
        <w:t>ETHNIC</w:t>
      </w:r>
      <w:r w:rsidRPr="00331A56">
        <w:t xml:space="preserve"> perspective.</w:t>
      </w:r>
    </w:p>
    <w:p w14:paraId="28D1A8CE" w14:textId="7BAE4247" w:rsidR="00113141" w:rsidRPr="00331A56" w:rsidRDefault="00705D71" w:rsidP="00331A56">
      <w:pPr>
        <w:pStyle w:val="Paragraph"/>
      </w:pPr>
      <w:r w:rsidRPr="00331A56">
        <w:t>100% of Exit Interviews were completed across the directorate.</w:t>
      </w:r>
    </w:p>
    <w:p w14:paraId="136335E8" w14:textId="7741BD77" w:rsidR="004E369E" w:rsidRDefault="00C1549E" w:rsidP="00331A56">
      <w:pPr>
        <w:pStyle w:val="Heading1boardreport"/>
      </w:pPr>
      <w:r w:rsidRPr="00A309EB">
        <w:lastRenderedPageBreak/>
        <w:t>Diversity</w:t>
      </w:r>
      <w:r w:rsidR="00CE4163" w:rsidRPr="00A309EB">
        <w:t xml:space="preserve"> Feedback</w:t>
      </w:r>
    </w:p>
    <w:p w14:paraId="31C2082D" w14:textId="0BA77FD0" w:rsidR="004E369E" w:rsidRPr="00612712" w:rsidRDefault="004E369E" w:rsidP="00331A56">
      <w:pPr>
        <w:pStyle w:val="Tabletext"/>
        <w:ind w:firstLine="720"/>
        <w:rPr>
          <w:b/>
          <w:bCs/>
        </w:rPr>
      </w:pPr>
      <w:r>
        <w:rPr>
          <w:b/>
          <w:bCs/>
        </w:rPr>
        <w:t>Leavers by Ethnic Origin</w:t>
      </w:r>
    </w:p>
    <w:tbl>
      <w:tblPr>
        <w:tblStyle w:val="TableGrid"/>
        <w:tblW w:w="2475" w:type="pct"/>
        <w:tblLook w:val="04A0" w:firstRow="1" w:lastRow="0" w:firstColumn="1" w:lastColumn="0" w:noHBand="0" w:noVBand="1"/>
        <w:tblCaption w:val="Leavers by Ethnic Origin"/>
      </w:tblPr>
      <w:tblGrid>
        <w:gridCol w:w="2404"/>
        <w:gridCol w:w="1705"/>
      </w:tblGrid>
      <w:tr w:rsidR="00BE4570" w:rsidRPr="007277C3" w14:paraId="0748E4EC" w14:textId="77777777" w:rsidTr="008F0BC2">
        <w:trPr>
          <w:trHeight w:val="261"/>
        </w:trPr>
        <w:tc>
          <w:tcPr>
            <w:tcW w:w="2403" w:type="dxa"/>
          </w:tcPr>
          <w:p w14:paraId="339DC086" w14:textId="59B1239C" w:rsidR="00BE4570" w:rsidRPr="007277C3" w:rsidRDefault="00BE4570" w:rsidP="00BE4570">
            <w:pPr>
              <w:pStyle w:val="Tableheadingboardreport"/>
              <w:ind w:left="319" w:hanging="319"/>
            </w:pPr>
            <w:r>
              <w:t>Ethnic Origin</w:t>
            </w:r>
          </w:p>
        </w:tc>
        <w:tc>
          <w:tcPr>
            <w:tcW w:w="1704" w:type="dxa"/>
          </w:tcPr>
          <w:p w14:paraId="45EFA321" w14:textId="6B03B62F" w:rsidR="00BE4570" w:rsidRPr="00612712" w:rsidRDefault="00BE4570" w:rsidP="005F692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No. Leavers</w:t>
            </w:r>
          </w:p>
        </w:tc>
      </w:tr>
      <w:tr w:rsidR="00BE4570" w:rsidRPr="007277C3" w14:paraId="50CE0BC1" w14:textId="77777777" w:rsidTr="008F0BC2">
        <w:trPr>
          <w:trHeight w:val="275"/>
        </w:trPr>
        <w:tc>
          <w:tcPr>
            <w:tcW w:w="2403" w:type="dxa"/>
          </w:tcPr>
          <w:p w14:paraId="1282ED61" w14:textId="68CC49CF" w:rsidR="00BE4570" w:rsidRPr="007277C3" w:rsidRDefault="00934BFF" w:rsidP="005F692D">
            <w:pPr>
              <w:pStyle w:val="Tableheadingboardreport"/>
            </w:pPr>
            <w:r>
              <w:t>BLACK ASIAN MINORITY ETHNIC</w:t>
            </w:r>
          </w:p>
        </w:tc>
        <w:tc>
          <w:tcPr>
            <w:tcW w:w="1704" w:type="dxa"/>
          </w:tcPr>
          <w:p w14:paraId="43D96C31" w14:textId="79847CC0" w:rsidR="00BE4570" w:rsidRPr="007277C3" w:rsidRDefault="00BE4570" w:rsidP="005F692D">
            <w:pPr>
              <w:pStyle w:val="Tabletext"/>
            </w:pPr>
            <w:r>
              <w:t>10</w:t>
            </w:r>
          </w:p>
        </w:tc>
      </w:tr>
      <w:tr w:rsidR="00BE4570" w:rsidRPr="007277C3" w14:paraId="7A15459A" w14:textId="77777777" w:rsidTr="008F0BC2">
        <w:trPr>
          <w:trHeight w:val="279"/>
        </w:trPr>
        <w:tc>
          <w:tcPr>
            <w:tcW w:w="2403" w:type="dxa"/>
          </w:tcPr>
          <w:p w14:paraId="0BA5DD02" w14:textId="143C41EE" w:rsidR="00BE4570" w:rsidRPr="007277C3" w:rsidRDefault="00BE4570" w:rsidP="005F692D">
            <w:pPr>
              <w:pStyle w:val="Tableheadingboardreport"/>
            </w:pPr>
            <w:r>
              <w:t xml:space="preserve">Non </w:t>
            </w:r>
            <w:r w:rsidR="00934BFF">
              <w:t>BLACK ASIAN MINORITY ETHNIC</w:t>
            </w:r>
          </w:p>
        </w:tc>
        <w:tc>
          <w:tcPr>
            <w:tcW w:w="1704" w:type="dxa"/>
          </w:tcPr>
          <w:p w14:paraId="751C4CCC" w14:textId="6FB1DDA2" w:rsidR="00BE4570" w:rsidRPr="007277C3" w:rsidRDefault="00BE4570" w:rsidP="005F692D">
            <w:pPr>
              <w:pStyle w:val="Tabletext"/>
            </w:pPr>
            <w:r>
              <w:t>85</w:t>
            </w:r>
          </w:p>
        </w:tc>
      </w:tr>
      <w:tr w:rsidR="00BE4570" w:rsidRPr="007277C3" w14:paraId="0CC6F843" w14:textId="77777777" w:rsidTr="008F0BC2">
        <w:trPr>
          <w:trHeight w:val="283"/>
        </w:trPr>
        <w:tc>
          <w:tcPr>
            <w:tcW w:w="2403" w:type="dxa"/>
          </w:tcPr>
          <w:p w14:paraId="1D1C1318" w14:textId="32892485" w:rsidR="00BE4570" w:rsidRPr="00A36575" w:rsidRDefault="00BE4570" w:rsidP="005F692D">
            <w:pPr>
              <w:pStyle w:val="Tableheadingboardreport"/>
            </w:pPr>
            <w:r>
              <w:t>Not Stated</w:t>
            </w:r>
          </w:p>
        </w:tc>
        <w:tc>
          <w:tcPr>
            <w:tcW w:w="1704" w:type="dxa"/>
          </w:tcPr>
          <w:p w14:paraId="591533CB" w14:textId="1DA8E12C" w:rsidR="00BE4570" w:rsidRPr="00A36575" w:rsidRDefault="00BE4570" w:rsidP="005F692D">
            <w:pPr>
              <w:pStyle w:val="Tabletext"/>
            </w:pPr>
            <w:r>
              <w:t>8</w:t>
            </w:r>
          </w:p>
        </w:tc>
      </w:tr>
    </w:tbl>
    <w:p w14:paraId="5DFA8A53" w14:textId="7F22CA4A" w:rsidR="004501E0" w:rsidRPr="00331A56" w:rsidRDefault="00385D29" w:rsidP="00331A56">
      <w:pPr>
        <w:pStyle w:val="Paragraph"/>
      </w:pPr>
      <w:r w:rsidRPr="00331A56">
        <w:t>Although t</w:t>
      </w:r>
      <w:r w:rsidR="0036080F" w:rsidRPr="00331A56">
        <w:t xml:space="preserve">he raw turnover data does not </w:t>
      </w:r>
      <w:r w:rsidR="00A947A8" w:rsidRPr="00331A56">
        <w:t>highlight</w:t>
      </w:r>
      <w:r w:rsidR="0036080F" w:rsidRPr="00331A56">
        <w:t xml:space="preserve"> any potential issues f</w:t>
      </w:r>
      <w:r w:rsidR="00DB61BE" w:rsidRPr="00331A56">
        <w:t>rom</w:t>
      </w:r>
      <w:r w:rsidR="0036080F" w:rsidRPr="00331A56">
        <w:t xml:space="preserve"> </w:t>
      </w:r>
      <w:r w:rsidR="00934BFF" w:rsidRPr="00331A56">
        <w:t>BLACK ASIAN MINORITY ETHNIC</w:t>
      </w:r>
      <w:r w:rsidR="00CE4163" w:rsidRPr="00331A56">
        <w:t xml:space="preserve"> </w:t>
      </w:r>
      <w:r w:rsidR="0036080F" w:rsidRPr="00331A56">
        <w:t>colleagues</w:t>
      </w:r>
      <w:r w:rsidR="00860AE0" w:rsidRPr="00331A56">
        <w:t xml:space="preserve"> (</w:t>
      </w:r>
      <w:r w:rsidR="0062102F" w:rsidRPr="00331A56">
        <w:t xml:space="preserve">the percentage of </w:t>
      </w:r>
      <w:r w:rsidR="00934BFF" w:rsidRPr="00331A56">
        <w:t>BLACK ASIAN MINORITY ETHNIC</w:t>
      </w:r>
      <w:r w:rsidR="0062102F" w:rsidRPr="00331A56">
        <w:t xml:space="preserve"> leavers stands at 7.89% of the average </w:t>
      </w:r>
      <w:r w:rsidR="00934BFF" w:rsidRPr="00331A56">
        <w:t>BLACK ASIAN MINORITY ETHNIC</w:t>
      </w:r>
      <w:r w:rsidR="0062102F" w:rsidRPr="00331A56">
        <w:t xml:space="preserve"> employee population of the reporting period</w:t>
      </w:r>
      <w:r w:rsidR="00860AE0" w:rsidRPr="00331A56">
        <w:t>).</w:t>
      </w:r>
      <w:r w:rsidR="0062102F" w:rsidRPr="00331A56">
        <w:t xml:space="preserve"> Various </w:t>
      </w:r>
      <w:r w:rsidR="0036080F" w:rsidRPr="00331A56">
        <w:t>comments have been made at exit interview regarding a lack of diversity at NICE</w:t>
      </w:r>
      <w:r w:rsidR="002F749B" w:rsidRPr="00331A56">
        <w:t>.</w:t>
      </w:r>
      <w:r w:rsidR="00CE4163" w:rsidRPr="00331A56">
        <w:t xml:space="preserve"> </w:t>
      </w:r>
    </w:p>
    <w:p w14:paraId="2DCF545B" w14:textId="3E7929A2" w:rsidR="004E369E" w:rsidRPr="00331A56" w:rsidRDefault="001B0697" w:rsidP="00331A56">
      <w:pPr>
        <w:pStyle w:val="Paragraph"/>
      </w:pPr>
      <w:r w:rsidRPr="00331A56">
        <w:t xml:space="preserve">Work is being undertaken to </w:t>
      </w:r>
      <w:r w:rsidR="00646998" w:rsidRPr="00331A56">
        <w:t>help</w:t>
      </w:r>
      <w:r w:rsidRPr="00331A56">
        <w:t xml:space="preserve"> to address some of the</w:t>
      </w:r>
      <w:r w:rsidR="001E7089" w:rsidRPr="00331A56">
        <w:t xml:space="preserve"> concerns around lack of diversity, </w:t>
      </w:r>
      <w:r w:rsidRPr="00331A56">
        <w:t xml:space="preserve">such as the staff Race Equality Network, the mandatory introduction of </w:t>
      </w:r>
      <w:r w:rsidR="00934BFF" w:rsidRPr="00331A56">
        <w:t>BLACK ASIAN MINORITY ETHNIC</w:t>
      </w:r>
      <w:r w:rsidRPr="00331A56">
        <w:t xml:space="preserve"> representatives on interview panels for senior positions </w:t>
      </w:r>
      <w:r w:rsidR="00646998" w:rsidRPr="00331A56">
        <w:t xml:space="preserve">and </w:t>
      </w:r>
      <w:r w:rsidR="003F5EBF" w:rsidRPr="00331A56">
        <w:t xml:space="preserve">the delivery of diversity and EDI in recruitment training. </w:t>
      </w:r>
    </w:p>
    <w:p w14:paraId="69C73F6C" w14:textId="50EA1BE2" w:rsidR="00860AE0" w:rsidRDefault="00860AE0" w:rsidP="00331A56">
      <w:pPr>
        <w:pStyle w:val="Heading1boardreport"/>
      </w:pPr>
      <w:r>
        <w:t>Overall Findings</w:t>
      </w:r>
    </w:p>
    <w:p w14:paraId="519EBE68" w14:textId="333BEC08" w:rsidR="00BC4AD4" w:rsidRPr="00331A56" w:rsidRDefault="00C6226D" w:rsidP="00331A56">
      <w:pPr>
        <w:pStyle w:val="Paragraph"/>
      </w:pPr>
      <w:r w:rsidRPr="00331A56">
        <w:t>Data taken from ESR shows that the most common reasons</w:t>
      </w:r>
      <w:r w:rsidR="00005453" w:rsidRPr="00331A56">
        <w:t xml:space="preserve"> for</w:t>
      </w:r>
      <w:r w:rsidRPr="00331A56">
        <w:t xml:space="preserve"> leaving NICE were due to promotion outside the organisation or a better reward package.</w:t>
      </w:r>
    </w:p>
    <w:p w14:paraId="65832E90" w14:textId="08E525FB" w:rsidR="003B0919" w:rsidRPr="00331A56" w:rsidRDefault="00C6226D" w:rsidP="00331A56">
      <w:pPr>
        <w:pStyle w:val="Paragraph"/>
      </w:pPr>
      <w:r w:rsidRPr="00331A56">
        <w:t xml:space="preserve">Analysis of exit interview data </w:t>
      </w:r>
      <w:r w:rsidR="003B0919" w:rsidRPr="00331A56">
        <w:t>f</w:t>
      </w:r>
      <w:r w:rsidR="004501E0" w:rsidRPr="00331A56">
        <w:t>rom all directorates</w:t>
      </w:r>
      <w:r w:rsidR="003B0919" w:rsidRPr="00331A56">
        <w:t xml:space="preserve"> indicates</w:t>
      </w:r>
      <w:r w:rsidR="00BC4AD4" w:rsidRPr="00331A56">
        <w:t xml:space="preserve"> that whilst</w:t>
      </w:r>
      <w:r w:rsidR="00005453" w:rsidRPr="00331A56">
        <w:t xml:space="preserve"> many positive comments were made of their experience as a</w:t>
      </w:r>
      <w:r w:rsidR="00272DD4" w:rsidRPr="00331A56">
        <w:t xml:space="preserve"> NICE</w:t>
      </w:r>
      <w:r w:rsidR="00005453" w:rsidRPr="00331A56">
        <w:t xml:space="preserve"> employee, there were t</w:t>
      </w:r>
      <w:r w:rsidR="0053445E" w:rsidRPr="00331A56">
        <w:t>hree</w:t>
      </w:r>
      <w:r w:rsidR="00005453" w:rsidRPr="00331A56">
        <w:t xml:space="preserve"> common themes </w:t>
      </w:r>
      <w:r w:rsidR="00F77C50" w:rsidRPr="00331A56">
        <w:t>throughout. They felt NICE to be overly bureaucratic and hierarchical</w:t>
      </w:r>
      <w:r w:rsidR="004501E0" w:rsidRPr="00331A56">
        <w:t xml:space="preserve"> with a </w:t>
      </w:r>
      <w:r w:rsidR="003B0919" w:rsidRPr="00331A56">
        <w:t>l</w:t>
      </w:r>
      <w:r w:rsidR="0053445E" w:rsidRPr="00331A56">
        <w:t>ack of career progression</w:t>
      </w:r>
      <w:r w:rsidR="002F45E6" w:rsidRPr="00331A56">
        <w:t xml:space="preserve">. </w:t>
      </w:r>
    </w:p>
    <w:p w14:paraId="59EEC88D" w14:textId="070F8246" w:rsidR="002F45E6" w:rsidRPr="00331A56" w:rsidRDefault="002F45E6" w:rsidP="00331A56">
      <w:pPr>
        <w:pStyle w:val="Paragraph"/>
      </w:pPr>
      <w:r w:rsidRPr="00331A56">
        <w:t xml:space="preserve">All respondents stated they had been considering leaving NICE between 3 – 12 months. </w:t>
      </w:r>
    </w:p>
    <w:p w14:paraId="66A1307A" w14:textId="0A57181F" w:rsidR="00CE4163" w:rsidRDefault="001F023A" w:rsidP="00331A56">
      <w:pPr>
        <w:pStyle w:val="Paragraph"/>
      </w:pPr>
      <w:r w:rsidRPr="00331A56">
        <w:lastRenderedPageBreak/>
        <w:t xml:space="preserve">The above themes were common across all directorates, </w:t>
      </w:r>
      <w:proofErr w:type="gramStart"/>
      <w:r w:rsidRPr="00331A56">
        <w:t>bands</w:t>
      </w:r>
      <w:proofErr w:type="gramEnd"/>
      <w:r w:rsidRPr="00331A56">
        <w:t xml:space="preserve"> and EDI groups.</w:t>
      </w:r>
    </w:p>
    <w:p w14:paraId="561BD146" w14:textId="61B25AA1" w:rsidR="00B75D4A" w:rsidRDefault="00B75D4A" w:rsidP="00331A56">
      <w:pPr>
        <w:pStyle w:val="Heading1boardreport"/>
      </w:pPr>
      <w:r>
        <w:t>External Trends</w:t>
      </w:r>
    </w:p>
    <w:p w14:paraId="1AC190C6" w14:textId="131E302B" w:rsidR="00B75D4A" w:rsidRPr="00331A56" w:rsidRDefault="00B75D4A" w:rsidP="00331A56">
      <w:pPr>
        <w:pStyle w:val="Paragraph"/>
      </w:pPr>
      <w:r w:rsidRPr="00331A56">
        <w:t>The UK workforce trends makes both retention and recruitment challenging. The workforce trends identified by Glassdoor highlight this below:</w:t>
      </w:r>
    </w:p>
    <w:p w14:paraId="3342A242" w14:textId="77777777" w:rsidR="00B75D4A" w:rsidRPr="00331A56" w:rsidRDefault="00B75D4A" w:rsidP="00331A56">
      <w:pPr>
        <w:pStyle w:val="Paragraph"/>
        <w:numPr>
          <w:ilvl w:val="0"/>
          <w:numId w:val="26"/>
        </w:numPr>
      </w:pPr>
      <w:r w:rsidRPr="00331A56">
        <w:t>With tough hiring conditions set to continue, workers in the UK will have increased power to negotiate.</w:t>
      </w:r>
    </w:p>
    <w:p w14:paraId="1E57998B" w14:textId="77777777" w:rsidR="00B75D4A" w:rsidRPr="00331A56" w:rsidRDefault="00B75D4A" w:rsidP="00331A56">
      <w:pPr>
        <w:pStyle w:val="Paragraph"/>
        <w:numPr>
          <w:ilvl w:val="0"/>
          <w:numId w:val="26"/>
        </w:numPr>
      </w:pPr>
      <w:r w:rsidRPr="00331A56">
        <w:t>Remote work will boost access to top talent and drive up salaries</w:t>
      </w:r>
    </w:p>
    <w:p w14:paraId="3DB54298" w14:textId="77777777" w:rsidR="00B75D4A" w:rsidRPr="00331A56" w:rsidRDefault="00B75D4A" w:rsidP="00331A56">
      <w:pPr>
        <w:pStyle w:val="Paragraph"/>
        <w:numPr>
          <w:ilvl w:val="0"/>
          <w:numId w:val="26"/>
        </w:numPr>
      </w:pPr>
      <w:r w:rsidRPr="00331A56">
        <w:t>Companies’ commitments on diversity, equity and inclusion will be given an increased focus</w:t>
      </w:r>
    </w:p>
    <w:p w14:paraId="0075B898" w14:textId="609B68FF" w:rsidR="00B75D4A" w:rsidRPr="00331A56" w:rsidRDefault="00B75D4A" w:rsidP="00331A56">
      <w:pPr>
        <w:pStyle w:val="Paragraph"/>
        <w:numPr>
          <w:ilvl w:val="0"/>
          <w:numId w:val="26"/>
        </w:numPr>
      </w:pPr>
      <w:r w:rsidRPr="00331A56">
        <w:t>Employees will look for a career and a community, not just a job is currently</w:t>
      </w:r>
      <w:r w:rsidR="00331A56">
        <w:t>.</w:t>
      </w:r>
    </w:p>
    <w:p w14:paraId="15294CB7" w14:textId="25E286C1" w:rsidR="00184831" w:rsidRDefault="00184831" w:rsidP="00184831">
      <w:pPr>
        <w:pStyle w:val="Paragraph"/>
      </w:pPr>
      <w:r>
        <w:t xml:space="preserve">Mercer expands on some of these themes in its global talent trends report with its central theme of making organisations relatable. You can download the full report here: </w:t>
      </w:r>
      <w:hyperlink r:id="rId8" w:history="1">
        <w:r>
          <w:rPr>
            <w:rStyle w:val="Hyperlink"/>
          </w:rPr>
          <w:t>https://www.mercer.com/content/dam/mercer/attachments/private/global-talent-trends/2022/gl-2022-global-talent-trends-report-english.pdf</w:t>
        </w:r>
      </w:hyperlink>
    </w:p>
    <w:p w14:paraId="74A574A8" w14:textId="28706110" w:rsidR="00F352CA" w:rsidRPr="00184831" w:rsidRDefault="007D2408" w:rsidP="00184831">
      <w:pPr>
        <w:pStyle w:val="Paragraph"/>
        <w:rPr>
          <w:rFonts w:asciiTheme="minorHAnsi" w:hAnsiTheme="minorHAnsi" w:cstheme="minorHAnsi"/>
        </w:rPr>
      </w:pPr>
      <w:r w:rsidRPr="00331A56">
        <w:t xml:space="preserve">For NICE, this means that our retention statistics are not an </w:t>
      </w:r>
      <w:proofErr w:type="gramStart"/>
      <w:r w:rsidRPr="00331A56">
        <w:t>outlier</w:t>
      </w:r>
      <w:proofErr w:type="gramEnd"/>
      <w:r w:rsidRPr="00331A56">
        <w:t xml:space="preserve"> but we do need to have increased focus on identifying, developing and retaining critical talent and not just have a one size fits all approach.</w:t>
      </w:r>
    </w:p>
    <w:p w14:paraId="4875E861" w14:textId="77777777" w:rsidR="00907AFE" w:rsidRDefault="00907AFE" w:rsidP="00DE6A66">
      <w:pPr>
        <w:rPr>
          <w:rFonts w:asciiTheme="minorHAnsi" w:hAnsiTheme="minorHAnsi" w:cstheme="minorHAnsi"/>
        </w:rPr>
      </w:pPr>
    </w:p>
    <w:p w14:paraId="3498677A" w14:textId="1DC96CB7" w:rsidR="00907AFE" w:rsidRPr="006214FB" w:rsidRDefault="00907AFE" w:rsidP="00DE6A66">
      <w:pPr>
        <w:rPr>
          <w:rFonts w:asciiTheme="minorHAnsi" w:hAnsiTheme="minorHAnsi" w:cstheme="minorHAnsi"/>
        </w:rPr>
      </w:pPr>
    </w:p>
    <w:sectPr w:rsidR="00907AFE" w:rsidRPr="006214FB" w:rsidSect="00907A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AF257" w14:textId="77777777" w:rsidR="00FB5F57" w:rsidRDefault="00FB5F57" w:rsidP="00446BEE">
      <w:r>
        <w:separator/>
      </w:r>
    </w:p>
  </w:endnote>
  <w:endnote w:type="continuationSeparator" w:id="0">
    <w:p w14:paraId="5AB64A4D" w14:textId="77777777" w:rsidR="00FB5F57" w:rsidRDefault="00FB5F57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5FDA8" w14:textId="77777777" w:rsidR="009F6B83" w:rsidRDefault="009F6B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3FE17" w14:textId="77777777" w:rsidR="00D8343E" w:rsidRPr="00D8343E" w:rsidRDefault="00D8343E" w:rsidP="00D8343E">
    <w:pPr>
      <w:pStyle w:val="Footer"/>
      <w:tabs>
        <w:tab w:val="right" w:pos="8931"/>
        <w:tab w:val="right" w:pos="13892"/>
      </w:tabs>
      <w:rPr>
        <w:sz w:val="16"/>
        <w:szCs w:val="12"/>
      </w:rPr>
    </w:pPr>
    <w:r w:rsidRPr="00D8343E">
      <w:rPr>
        <w:sz w:val="16"/>
        <w:szCs w:val="12"/>
      </w:rPr>
      <w:t>National Institute for Health and Care Excellence</w:t>
    </w:r>
    <w:r w:rsidRPr="00D8343E">
      <w:rPr>
        <w:sz w:val="16"/>
        <w:szCs w:val="12"/>
      </w:rPr>
      <w:tab/>
    </w:r>
    <w:r w:rsidRPr="00D8343E">
      <w:rPr>
        <w:sz w:val="16"/>
        <w:szCs w:val="12"/>
      </w:rPr>
      <w:tab/>
      <w:t xml:space="preserve">Page </w:t>
    </w:r>
    <w:r w:rsidRPr="00D8343E">
      <w:rPr>
        <w:sz w:val="16"/>
        <w:szCs w:val="12"/>
      </w:rPr>
      <w:fldChar w:fldCharType="begin"/>
    </w:r>
    <w:r w:rsidRPr="00D8343E">
      <w:rPr>
        <w:sz w:val="16"/>
        <w:szCs w:val="12"/>
      </w:rPr>
      <w:instrText xml:space="preserve"> PAGE  \* Arabic  \* MERGEFORMAT </w:instrText>
    </w:r>
    <w:r w:rsidRPr="00D8343E">
      <w:rPr>
        <w:sz w:val="16"/>
        <w:szCs w:val="12"/>
      </w:rPr>
      <w:fldChar w:fldCharType="separate"/>
    </w:r>
    <w:r w:rsidRPr="00D8343E">
      <w:rPr>
        <w:sz w:val="16"/>
        <w:szCs w:val="12"/>
      </w:rPr>
      <w:t>1</w:t>
    </w:r>
    <w:r w:rsidRPr="00D8343E">
      <w:rPr>
        <w:sz w:val="16"/>
        <w:szCs w:val="12"/>
      </w:rPr>
      <w:fldChar w:fldCharType="end"/>
    </w:r>
    <w:r w:rsidRPr="00D8343E">
      <w:rPr>
        <w:sz w:val="16"/>
        <w:szCs w:val="12"/>
      </w:rPr>
      <w:t xml:space="preserve"> of </w:t>
    </w:r>
    <w:r w:rsidRPr="00D8343E">
      <w:rPr>
        <w:sz w:val="16"/>
        <w:szCs w:val="12"/>
      </w:rPr>
      <w:fldChar w:fldCharType="begin"/>
    </w:r>
    <w:r w:rsidRPr="00D8343E">
      <w:rPr>
        <w:sz w:val="16"/>
        <w:szCs w:val="12"/>
      </w:rPr>
      <w:instrText xml:space="preserve"> NUMPAGES  \* Arabic  \* MERGEFORMAT </w:instrText>
    </w:r>
    <w:r w:rsidRPr="00D8343E">
      <w:rPr>
        <w:sz w:val="16"/>
        <w:szCs w:val="12"/>
      </w:rPr>
      <w:fldChar w:fldCharType="separate"/>
    </w:r>
    <w:r w:rsidRPr="00D8343E">
      <w:rPr>
        <w:sz w:val="16"/>
        <w:szCs w:val="12"/>
      </w:rPr>
      <w:t>2</w:t>
    </w:r>
    <w:r w:rsidRPr="00D8343E">
      <w:rPr>
        <w:sz w:val="16"/>
        <w:szCs w:val="12"/>
      </w:rPr>
      <w:fldChar w:fldCharType="end"/>
    </w:r>
  </w:p>
  <w:p w14:paraId="2FD7BB8E" w14:textId="73718B96" w:rsidR="00D8343E" w:rsidRPr="00D8343E" w:rsidRDefault="00D8343E" w:rsidP="00D8343E">
    <w:pPr>
      <w:pStyle w:val="Footer"/>
      <w:rPr>
        <w:sz w:val="16"/>
        <w:szCs w:val="12"/>
      </w:rPr>
    </w:pPr>
    <w:r w:rsidRPr="00D8343E">
      <w:rPr>
        <w:sz w:val="16"/>
        <w:szCs w:val="12"/>
      </w:rPr>
      <w:t>Integrated performance report</w:t>
    </w:r>
    <w:r w:rsidR="009F6B83">
      <w:rPr>
        <w:sz w:val="16"/>
        <w:szCs w:val="12"/>
      </w:rPr>
      <w:t>: adde</w:t>
    </w:r>
    <w:r w:rsidR="007E12F5">
      <w:rPr>
        <w:sz w:val="16"/>
        <w:szCs w:val="12"/>
      </w:rPr>
      <w:t>n</w:t>
    </w:r>
    <w:r w:rsidR="009F6B83">
      <w:rPr>
        <w:sz w:val="16"/>
        <w:szCs w:val="12"/>
      </w:rPr>
      <w:t>dum</w:t>
    </w:r>
    <w:r w:rsidRPr="00D8343E">
      <w:rPr>
        <w:sz w:val="16"/>
        <w:szCs w:val="12"/>
      </w:rPr>
      <w:t xml:space="preserve"> </w:t>
    </w:r>
  </w:p>
  <w:p w14:paraId="02431287" w14:textId="77777777" w:rsidR="00D8343E" w:rsidRPr="00D8343E" w:rsidRDefault="00D8343E" w:rsidP="00D8343E">
    <w:pPr>
      <w:pStyle w:val="Footer"/>
      <w:rPr>
        <w:sz w:val="16"/>
        <w:szCs w:val="12"/>
      </w:rPr>
    </w:pPr>
    <w:r w:rsidRPr="00D8343E">
      <w:rPr>
        <w:sz w:val="16"/>
        <w:szCs w:val="12"/>
      </w:rPr>
      <w:t xml:space="preserve">22 July 2022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5A97B" w14:textId="77777777" w:rsidR="009F6B83" w:rsidRDefault="009F6B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DE633" w14:textId="77777777" w:rsidR="00FB5F57" w:rsidRDefault="00FB5F57" w:rsidP="00446BEE">
      <w:r>
        <w:separator/>
      </w:r>
    </w:p>
  </w:footnote>
  <w:footnote w:type="continuationSeparator" w:id="0">
    <w:p w14:paraId="2103A859" w14:textId="77777777" w:rsidR="00FB5F57" w:rsidRDefault="00FB5F57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DB4ED" w14:textId="77777777" w:rsidR="009F6B83" w:rsidRDefault="009F6B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B289F" w14:textId="2CE70F42" w:rsidR="008471AF" w:rsidRPr="00D8343E" w:rsidRDefault="008471AF" w:rsidP="008471AF">
    <w:pPr>
      <w:pStyle w:val="Header"/>
      <w:jc w:val="right"/>
      <w:rPr>
        <w:b/>
        <w:bCs/>
      </w:rPr>
    </w:pPr>
    <w:r>
      <w:t xml:space="preserve">   </w:t>
    </w:r>
    <w:r>
      <w:tab/>
    </w:r>
    <w:r w:rsidR="00D8343E" w:rsidRPr="00D8343E">
      <w:rPr>
        <w:b/>
        <w:bCs/>
        <w:noProof/>
      </w:rPr>
      <w:t>Item 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4DFFA" w14:textId="77777777" w:rsidR="009F6B83" w:rsidRDefault="009F6B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91902"/>
    <w:multiLevelType w:val="hybridMultilevel"/>
    <w:tmpl w:val="99D2B21A"/>
    <w:lvl w:ilvl="0" w:tplc="08090001">
      <w:start w:val="1"/>
      <w:numFmt w:val="bullet"/>
      <w:lvlText w:val=""/>
      <w:lvlJc w:val="left"/>
      <w:pPr>
        <w:ind w:left="1702" w:hanging="851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2" w15:restartNumberingAfterBreak="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640CA"/>
    <w:multiLevelType w:val="hybridMultilevel"/>
    <w:tmpl w:val="7668F58E"/>
    <w:lvl w:ilvl="0" w:tplc="5080A116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343C7"/>
    <w:multiLevelType w:val="hybridMultilevel"/>
    <w:tmpl w:val="F768DB7C"/>
    <w:lvl w:ilvl="0" w:tplc="0218C92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A0753"/>
    <w:multiLevelType w:val="hybridMultilevel"/>
    <w:tmpl w:val="60088356"/>
    <w:lvl w:ilvl="0" w:tplc="BC1048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93D14"/>
    <w:multiLevelType w:val="hybridMultilevel"/>
    <w:tmpl w:val="67FC9434"/>
    <w:lvl w:ilvl="0" w:tplc="21C4BD70">
      <w:start w:val="1"/>
      <w:numFmt w:val="decimal"/>
      <w:pStyle w:val="Paragraph"/>
      <w:lvlText w:val="%1."/>
      <w:lvlJc w:val="left"/>
      <w:pPr>
        <w:ind w:left="851" w:hanging="851"/>
      </w:pPr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96F2189"/>
    <w:multiLevelType w:val="hybridMultilevel"/>
    <w:tmpl w:val="DD246504"/>
    <w:lvl w:ilvl="0" w:tplc="9418D3B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316759">
    <w:abstractNumId w:val="16"/>
  </w:num>
  <w:num w:numId="2" w16cid:durableId="644899347">
    <w:abstractNumId w:val="18"/>
  </w:num>
  <w:num w:numId="3" w16cid:durableId="1228346521">
    <w:abstractNumId w:val="18"/>
    <w:lvlOverride w:ilvl="0">
      <w:startOverride w:val="1"/>
    </w:lvlOverride>
  </w:num>
  <w:num w:numId="4" w16cid:durableId="1155414419">
    <w:abstractNumId w:val="18"/>
    <w:lvlOverride w:ilvl="0">
      <w:startOverride w:val="1"/>
    </w:lvlOverride>
  </w:num>
  <w:num w:numId="5" w16cid:durableId="1399086254">
    <w:abstractNumId w:val="18"/>
    <w:lvlOverride w:ilvl="0">
      <w:startOverride w:val="1"/>
    </w:lvlOverride>
  </w:num>
  <w:num w:numId="6" w16cid:durableId="58870284">
    <w:abstractNumId w:val="18"/>
    <w:lvlOverride w:ilvl="0">
      <w:startOverride w:val="1"/>
    </w:lvlOverride>
  </w:num>
  <w:num w:numId="7" w16cid:durableId="147331920">
    <w:abstractNumId w:val="18"/>
    <w:lvlOverride w:ilvl="0">
      <w:startOverride w:val="1"/>
    </w:lvlOverride>
  </w:num>
  <w:num w:numId="8" w16cid:durableId="886988004">
    <w:abstractNumId w:val="9"/>
  </w:num>
  <w:num w:numId="9" w16cid:durableId="1218124936">
    <w:abstractNumId w:val="7"/>
  </w:num>
  <w:num w:numId="10" w16cid:durableId="331445874">
    <w:abstractNumId w:val="6"/>
  </w:num>
  <w:num w:numId="11" w16cid:durableId="1508985003">
    <w:abstractNumId w:val="5"/>
  </w:num>
  <w:num w:numId="12" w16cid:durableId="1000697624">
    <w:abstractNumId w:val="4"/>
  </w:num>
  <w:num w:numId="13" w16cid:durableId="470944219">
    <w:abstractNumId w:val="8"/>
  </w:num>
  <w:num w:numId="14" w16cid:durableId="31420502">
    <w:abstractNumId w:val="3"/>
  </w:num>
  <w:num w:numId="15" w16cid:durableId="809135611">
    <w:abstractNumId w:val="2"/>
  </w:num>
  <w:num w:numId="16" w16cid:durableId="1894192180">
    <w:abstractNumId w:val="1"/>
  </w:num>
  <w:num w:numId="17" w16cid:durableId="1198810403">
    <w:abstractNumId w:val="0"/>
  </w:num>
  <w:num w:numId="18" w16cid:durableId="1522039852">
    <w:abstractNumId w:val="12"/>
  </w:num>
  <w:num w:numId="19" w16cid:durableId="876506981">
    <w:abstractNumId w:val="12"/>
    <w:lvlOverride w:ilvl="0">
      <w:startOverride w:val="1"/>
    </w:lvlOverride>
  </w:num>
  <w:num w:numId="20" w16cid:durableId="1417290895">
    <w:abstractNumId w:val="16"/>
  </w:num>
  <w:num w:numId="21" w16cid:durableId="1527595069">
    <w:abstractNumId w:val="13"/>
  </w:num>
  <w:num w:numId="22" w16cid:durableId="399908632">
    <w:abstractNumId w:val="14"/>
  </w:num>
  <w:num w:numId="23" w16cid:durableId="1847866196">
    <w:abstractNumId w:val="15"/>
  </w:num>
  <w:num w:numId="24" w16cid:durableId="2023127046">
    <w:abstractNumId w:val="17"/>
  </w:num>
  <w:num w:numId="25" w16cid:durableId="2072002518">
    <w:abstractNumId w:val="11"/>
  </w:num>
  <w:num w:numId="26" w16cid:durableId="501242837">
    <w:abstractNumId w:val="10"/>
  </w:num>
  <w:num w:numId="27" w16cid:durableId="3763950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AF"/>
    <w:rsid w:val="000053F8"/>
    <w:rsid w:val="00005453"/>
    <w:rsid w:val="000137CF"/>
    <w:rsid w:val="00024D0A"/>
    <w:rsid w:val="00026A6D"/>
    <w:rsid w:val="000567E6"/>
    <w:rsid w:val="000646EA"/>
    <w:rsid w:val="00070065"/>
    <w:rsid w:val="00075E17"/>
    <w:rsid w:val="00094160"/>
    <w:rsid w:val="000956C5"/>
    <w:rsid w:val="000A4FEE"/>
    <w:rsid w:val="000B5939"/>
    <w:rsid w:val="000F329D"/>
    <w:rsid w:val="00113141"/>
    <w:rsid w:val="001134E7"/>
    <w:rsid w:val="00116B74"/>
    <w:rsid w:val="00163F73"/>
    <w:rsid w:val="0017169E"/>
    <w:rsid w:val="00184831"/>
    <w:rsid w:val="001B0697"/>
    <w:rsid w:val="001B0EE9"/>
    <w:rsid w:val="001B65B3"/>
    <w:rsid w:val="001E7089"/>
    <w:rsid w:val="001F023A"/>
    <w:rsid w:val="002364A3"/>
    <w:rsid w:val="002408EA"/>
    <w:rsid w:val="00244CB9"/>
    <w:rsid w:val="0026467D"/>
    <w:rsid w:val="002674B7"/>
    <w:rsid w:val="00272DD4"/>
    <w:rsid w:val="00277866"/>
    <w:rsid w:val="002819D7"/>
    <w:rsid w:val="00295785"/>
    <w:rsid w:val="0029637F"/>
    <w:rsid w:val="002C1A7E"/>
    <w:rsid w:val="002C53A9"/>
    <w:rsid w:val="002C595F"/>
    <w:rsid w:val="002D3376"/>
    <w:rsid w:val="002F45E6"/>
    <w:rsid w:val="002F749B"/>
    <w:rsid w:val="00311ED0"/>
    <w:rsid w:val="00331A56"/>
    <w:rsid w:val="0036080F"/>
    <w:rsid w:val="003648C5"/>
    <w:rsid w:val="003722FA"/>
    <w:rsid w:val="00385D29"/>
    <w:rsid w:val="003B0919"/>
    <w:rsid w:val="003C7AAF"/>
    <w:rsid w:val="003D501D"/>
    <w:rsid w:val="003F2B94"/>
    <w:rsid w:val="003F5EBF"/>
    <w:rsid w:val="00400FDB"/>
    <w:rsid w:val="004075B6"/>
    <w:rsid w:val="00420952"/>
    <w:rsid w:val="00441327"/>
    <w:rsid w:val="00446BEE"/>
    <w:rsid w:val="004501E0"/>
    <w:rsid w:val="004718AD"/>
    <w:rsid w:val="00474F31"/>
    <w:rsid w:val="004835D6"/>
    <w:rsid w:val="004B27F7"/>
    <w:rsid w:val="004D06D3"/>
    <w:rsid w:val="004E369E"/>
    <w:rsid w:val="005025A1"/>
    <w:rsid w:val="00531EE4"/>
    <w:rsid w:val="0053445E"/>
    <w:rsid w:val="005635FA"/>
    <w:rsid w:val="00571727"/>
    <w:rsid w:val="005A5798"/>
    <w:rsid w:val="00612712"/>
    <w:rsid w:val="0062102F"/>
    <w:rsid w:val="006214FB"/>
    <w:rsid w:val="00646998"/>
    <w:rsid w:val="0066139D"/>
    <w:rsid w:val="006921E1"/>
    <w:rsid w:val="006940AC"/>
    <w:rsid w:val="006F07B2"/>
    <w:rsid w:val="00705D71"/>
    <w:rsid w:val="00712D5C"/>
    <w:rsid w:val="00715AD0"/>
    <w:rsid w:val="00723C20"/>
    <w:rsid w:val="007275B5"/>
    <w:rsid w:val="00736348"/>
    <w:rsid w:val="007454FA"/>
    <w:rsid w:val="00785F33"/>
    <w:rsid w:val="007D2408"/>
    <w:rsid w:val="007E12F5"/>
    <w:rsid w:val="008471AF"/>
    <w:rsid w:val="00860AE0"/>
    <w:rsid w:val="00861B92"/>
    <w:rsid w:val="008814FB"/>
    <w:rsid w:val="00892AF2"/>
    <w:rsid w:val="008D395C"/>
    <w:rsid w:val="008E71B7"/>
    <w:rsid w:val="008F0BC2"/>
    <w:rsid w:val="008F5E30"/>
    <w:rsid w:val="008F6033"/>
    <w:rsid w:val="00907AFE"/>
    <w:rsid w:val="00914D7F"/>
    <w:rsid w:val="00934BFF"/>
    <w:rsid w:val="009A57A2"/>
    <w:rsid w:val="009E680B"/>
    <w:rsid w:val="009F0273"/>
    <w:rsid w:val="009F6B83"/>
    <w:rsid w:val="00A03C6E"/>
    <w:rsid w:val="00A04142"/>
    <w:rsid w:val="00A15A1F"/>
    <w:rsid w:val="00A309EB"/>
    <w:rsid w:val="00A3325A"/>
    <w:rsid w:val="00A43013"/>
    <w:rsid w:val="00A57713"/>
    <w:rsid w:val="00A947A8"/>
    <w:rsid w:val="00AA1B7D"/>
    <w:rsid w:val="00AD1E55"/>
    <w:rsid w:val="00AF108A"/>
    <w:rsid w:val="00B02E55"/>
    <w:rsid w:val="00B036C1"/>
    <w:rsid w:val="00B353CA"/>
    <w:rsid w:val="00B37079"/>
    <w:rsid w:val="00B3793B"/>
    <w:rsid w:val="00B5431F"/>
    <w:rsid w:val="00B75D4A"/>
    <w:rsid w:val="00B80E43"/>
    <w:rsid w:val="00BC4AD4"/>
    <w:rsid w:val="00BD0BA3"/>
    <w:rsid w:val="00BE4570"/>
    <w:rsid w:val="00BF471A"/>
    <w:rsid w:val="00BF5C55"/>
    <w:rsid w:val="00BF7FE0"/>
    <w:rsid w:val="00C1549E"/>
    <w:rsid w:val="00C54BA1"/>
    <w:rsid w:val="00C60900"/>
    <w:rsid w:val="00C6226D"/>
    <w:rsid w:val="00C9577D"/>
    <w:rsid w:val="00C96411"/>
    <w:rsid w:val="00CE4163"/>
    <w:rsid w:val="00CF58B7"/>
    <w:rsid w:val="00D03525"/>
    <w:rsid w:val="00D351C1"/>
    <w:rsid w:val="00D35EFB"/>
    <w:rsid w:val="00D504B3"/>
    <w:rsid w:val="00D53F5C"/>
    <w:rsid w:val="00D8343E"/>
    <w:rsid w:val="00D86BF0"/>
    <w:rsid w:val="00DB61BE"/>
    <w:rsid w:val="00DE6A66"/>
    <w:rsid w:val="00E51920"/>
    <w:rsid w:val="00E64120"/>
    <w:rsid w:val="00E660A1"/>
    <w:rsid w:val="00EC2D60"/>
    <w:rsid w:val="00ED7F68"/>
    <w:rsid w:val="00EF5160"/>
    <w:rsid w:val="00F04AC5"/>
    <w:rsid w:val="00F055F1"/>
    <w:rsid w:val="00F10F69"/>
    <w:rsid w:val="00F352CA"/>
    <w:rsid w:val="00F610AF"/>
    <w:rsid w:val="00F77C50"/>
    <w:rsid w:val="00FA2C5A"/>
    <w:rsid w:val="00FB5F57"/>
    <w:rsid w:val="00FC2D11"/>
    <w:rsid w:val="00FC6230"/>
    <w:rsid w:val="00FD3797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B8224"/>
  <w15:chartTrackingRefBased/>
  <w15:docId w15:val="{7CBF731C-3396-479F-A566-774C6F0A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uiPriority w:val="1"/>
    <w:qFormat/>
    <w:rsid w:val="00861B92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861B9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4"/>
    <w:qFormat/>
    <w:rsid w:val="00FF61E7"/>
    <w:pPr>
      <w:numPr>
        <w:numId w:val="1"/>
      </w:numPr>
      <w:spacing w:before="240" w:after="240" w:line="360" w:lineRule="auto"/>
    </w:pPr>
    <w:rPr>
      <w:rFonts w:ascii="Arial" w:hAnsi="Arial"/>
    </w:rPr>
  </w:style>
  <w:style w:type="paragraph" w:styleId="Title">
    <w:name w:val="Title"/>
    <w:basedOn w:val="Normal"/>
    <w:next w:val="Heading1"/>
    <w:link w:val="TitleChar"/>
    <w:qFormat/>
    <w:rsid w:val="00861B92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1B92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1"/>
    <w:rsid w:val="00861B92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F055F1"/>
    <w:pPr>
      <w:numPr>
        <w:numId w:val="2"/>
      </w:numPr>
      <w:spacing w:line="36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2"/>
    <w:rsid w:val="00861B92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B65B3"/>
    <w:pPr>
      <w:numPr>
        <w:numId w:val="18"/>
      </w:numPr>
      <w:spacing w:line="360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8814FB"/>
    <w:pPr>
      <w:spacing w:before="240" w:after="240" w:line="360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table" w:styleId="TableGrid">
    <w:name w:val="Table Grid"/>
    <w:basedOn w:val="TableNormal"/>
    <w:rsid w:val="00441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link w:val="TabletextChar"/>
    <w:qFormat/>
    <w:rsid w:val="000956C5"/>
    <w:pPr>
      <w:keepNext/>
      <w:spacing w:after="60"/>
    </w:pPr>
    <w:rPr>
      <w:rFonts w:ascii="Arial" w:hAnsi="Arial"/>
      <w:sz w:val="22"/>
      <w:lang w:eastAsia="en-US"/>
    </w:rPr>
  </w:style>
  <w:style w:type="paragraph" w:customStyle="1" w:styleId="Tableheadingboardreport">
    <w:name w:val="Table heading board report"/>
    <w:basedOn w:val="Tabletext"/>
    <w:qFormat/>
    <w:rsid w:val="000956C5"/>
    <w:rPr>
      <w:b/>
      <w:color w:val="00506A"/>
    </w:rPr>
  </w:style>
  <w:style w:type="paragraph" w:customStyle="1" w:styleId="Tablebullet">
    <w:name w:val="Table bullet"/>
    <w:basedOn w:val="Tabletext"/>
    <w:qFormat/>
    <w:rsid w:val="000956C5"/>
    <w:pPr>
      <w:numPr>
        <w:numId w:val="24"/>
      </w:numPr>
      <w:ind w:left="720"/>
    </w:pPr>
  </w:style>
  <w:style w:type="character" w:customStyle="1" w:styleId="TabletextChar">
    <w:name w:val="Table text Char"/>
    <w:basedOn w:val="DefaultParagraphFont"/>
    <w:link w:val="Tabletext"/>
    <w:rsid w:val="000956C5"/>
    <w:rPr>
      <w:rFonts w:ascii="Arial" w:hAnsi="Arial"/>
      <w:sz w:val="22"/>
      <w:szCs w:val="24"/>
      <w:lang w:eastAsia="en-US"/>
    </w:rPr>
  </w:style>
  <w:style w:type="paragraph" w:customStyle="1" w:styleId="NICEnormal">
    <w:name w:val="NICE normal"/>
    <w:link w:val="NICEnormalChar"/>
    <w:qFormat/>
    <w:rsid w:val="00ED7F68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paragraph" w:customStyle="1" w:styleId="Bulletleft2">
    <w:name w:val="Bullet left 2"/>
    <w:basedOn w:val="NICEnormal"/>
    <w:rsid w:val="00ED7F68"/>
    <w:pPr>
      <w:numPr>
        <w:ilvl w:val="1"/>
        <w:numId w:val="25"/>
      </w:numPr>
      <w:tabs>
        <w:tab w:val="clear" w:pos="567"/>
      </w:tabs>
      <w:spacing w:after="0"/>
      <w:ind w:left="568" w:hanging="284"/>
    </w:pPr>
  </w:style>
  <w:style w:type="paragraph" w:customStyle="1" w:styleId="Title2">
    <w:name w:val="Title 2"/>
    <w:basedOn w:val="Normal"/>
    <w:qFormat/>
    <w:rsid w:val="00ED7F68"/>
    <w:pPr>
      <w:keepNext/>
      <w:spacing w:before="240" w:after="240"/>
      <w:jc w:val="center"/>
      <w:outlineLvl w:val="0"/>
    </w:pPr>
    <w:rPr>
      <w:rFonts w:ascii="Arial" w:hAnsi="Arial" w:cs="Arial"/>
      <w:b/>
      <w:kern w:val="28"/>
      <w:sz w:val="32"/>
      <w:szCs w:val="32"/>
      <w:lang w:eastAsia="en-US"/>
    </w:rPr>
  </w:style>
  <w:style w:type="character" w:customStyle="1" w:styleId="NICEnormalChar">
    <w:name w:val="NICE normal Char"/>
    <w:link w:val="NICEnormal"/>
    <w:rsid w:val="00ED7F68"/>
    <w:rPr>
      <w:rFonts w:ascii="Arial" w:hAnsi="Arial"/>
      <w:sz w:val="24"/>
      <w:szCs w:val="24"/>
      <w:lang w:eastAsia="en-US"/>
    </w:rPr>
  </w:style>
  <w:style w:type="paragraph" w:customStyle="1" w:styleId="Title1">
    <w:name w:val="Title 1"/>
    <w:basedOn w:val="Normal"/>
    <w:qFormat/>
    <w:rsid w:val="00ED7F68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  <w:lang w:eastAsia="en-US"/>
    </w:rPr>
  </w:style>
  <w:style w:type="paragraph" w:customStyle="1" w:styleId="Heading1boardreport">
    <w:name w:val="Heading 1 board report"/>
    <w:basedOn w:val="Heading1"/>
    <w:next w:val="NICEnormal"/>
    <w:link w:val="Heading1boardreportChar"/>
    <w:qFormat/>
    <w:rsid w:val="00ED7F68"/>
    <w:pPr>
      <w:spacing w:line="360" w:lineRule="auto"/>
    </w:pPr>
    <w:rPr>
      <w:rFonts w:cs="Arial"/>
      <w:color w:val="00506A"/>
      <w:sz w:val="32"/>
      <w:lang w:eastAsia="en-US"/>
    </w:rPr>
  </w:style>
  <w:style w:type="character" w:customStyle="1" w:styleId="Heading1boardreportChar">
    <w:name w:val="Heading 1 board report Char"/>
    <w:basedOn w:val="Heading1Char"/>
    <w:link w:val="Heading1boardreport"/>
    <w:rsid w:val="00ED7F68"/>
    <w:rPr>
      <w:rFonts w:ascii="Arial" w:hAnsi="Arial" w:cs="Arial"/>
      <w:b/>
      <w:bCs/>
      <w:color w:val="00506A"/>
      <w:kern w:val="32"/>
      <w:sz w:val="32"/>
      <w:szCs w:val="32"/>
      <w:lang w:eastAsia="en-US"/>
    </w:rPr>
  </w:style>
  <w:style w:type="character" w:styleId="Hyperlink">
    <w:name w:val="Hyperlink"/>
    <w:basedOn w:val="DefaultParagraphFont"/>
    <w:semiHidden/>
    <w:rsid w:val="00DE6A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cer.com/content/dam/mercer/attachments/private/global-talent-trends/2022/gl-2022-global-talent-trends-report-english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9569B-A6D4-4C59-9560-86013A55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1157</Words>
  <Characters>6128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july-22-pbm-turnover-and-leaver-analsis</vt:lpstr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july-22-pbm-turnover-and-leaver-analsis</dc:title>
  <dc:subject/>
  <dc:creator>Tessa Robinson</dc:creator>
  <cp:keywords/>
  <dc:description/>
  <cp:lastModifiedBy>Trish Brennan</cp:lastModifiedBy>
  <cp:revision>2</cp:revision>
  <dcterms:created xsi:type="dcterms:W3CDTF">2022-07-19T14:48:00Z</dcterms:created>
  <dcterms:modified xsi:type="dcterms:W3CDTF">2022-07-19T14:48:00Z</dcterms:modified>
</cp:coreProperties>
</file>