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2185" w14:textId="6F70859C" w:rsidR="002735D1" w:rsidRDefault="002735D1" w:rsidP="002735D1">
      <w:pPr>
        <w:pStyle w:val="Heading1"/>
        <w:jc w:val="center"/>
        <w:rPr>
          <w:lang w:eastAsia="en-GB"/>
        </w:rPr>
      </w:pPr>
      <w:r w:rsidRPr="4442D706">
        <w:rPr>
          <w:lang w:eastAsia="en-GB"/>
        </w:rPr>
        <w:t xml:space="preserve">Scoping </w:t>
      </w:r>
    </w:p>
    <w:tbl>
      <w:tblPr>
        <w:tblStyle w:val="TableGridLight"/>
        <w:tblW w:w="8411" w:type="dxa"/>
        <w:tblInd w:w="-52" w:type="dxa"/>
        <w:tblLook w:val="04A0" w:firstRow="1" w:lastRow="0" w:firstColumn="1" w:lastColumn="0" w:noHBand="0" w:noVBand="1"/>
      </w:tblPr>
      <w:tblGrid>
        <w:gridCol w:w="2540"/>
        <w:gridCol w:w="5871"/>
      </w:tblGrid>
      <w:tr w:rsidR="002735D1" w14:paraId="4452EF46" w14:textId="77777777" w:rsidTr="05C52640">
        <w:tc>
          <w:tcPr>
            <w:tcW w:w="8411" w:type="dxa"/>
            <w:gridSpan w:val="2"/>
            <w:shd w:val="clear" w:color="auto" w:fill="EAD054" w:themeFill="accent3"/>
          </w:tcPr>
          <w:p w14:paraId="418271C2" w14:textId="77777777" w:rsidR="002735D1" w:rsidRPr="00284CD4" w:rsidRDefault="002735D1" w:rsidP="0002633F">
            <w:pPr>
              <w:pStyle w:val="Paragraph"/>
              <w:spacing w:after="0" w:line="276" w:lineRule="auto"/>
              <w:rPr>
                <w:b/>
                <w:bCs/>
                <w:color w:val="FFFFFF" w:themeColor="background1"/>
              </w:rPr>
            </w:pPr>
            <w:r w:rsidRPr="004A78E5">
              <w:rPr>
                <w:b/>
                <w:bCs/>
                <w:sz w:val="28"/>
                <w:szCs w:val="28"/>
              </w:rPr>
              <w:t xml:space="preserve">Details of suggested modular update </w:t>
            </w:r>
          </w:p>
        </w:tc>
      </w:tr>
      <w:tr w:rsidR="002735D1" w14:paraId="0E646704" w14:textId="77777777" w:rsidTr="05C52640">
        <w:tc>
          <w:tcPr>
            <w:tcW w:w="2540" w:type="dxa"/>
          </w:tcPr>
          <w:p w14:paraId="3CB23B6E" w14:textId="77777777" w:rsidR="002735D1" w:rsidRPr="00A605A1" w:rsidRDefault="002735D1" w:rsidP="0002633F">
            <w:pPr>
              <w:pStyle w:val="Paragraph"/>
              <w:spacing w:line="276" w:lineRule="auto"/>
              <w:rPr>
                <w:b/>
                <w:bCs/>
                <w:color w:val="000000" w:themeColor="text1"/>
              </w:rPr>
            </w:pPr>
            <w:r w:rsidRPr="403C479C">
              <w:rPr>
                <w:b/>
                <w:bCs/>
                <w:color w:val="000000" w:themeColor="text1"/>
              </w:rPr>
              <w:t>Modul</w:t>
            </w:r>
            <w:r>
              <w:rPr>
                <w:b/>
                <w:bCs/>
                <w:color w:val="000000" w:themeColor="text1"/>
              </w:rPr>
              <w:t>ar</w:t>
            </w:r>
            <w:r w:rsidRPr="403C479C">
              <w:rPr>
                <w:b/>
                <w:bCs/>
                <w:color w:val="000000" w:themeColor="text1"/>
              </w:rPr>
              <w:t xml:space="preserve"> update title</w:t>
            </w:r>
          </w:p>
        </w:tc>
        <w:tc>
          <w:tcPr>
            <w:tcW w:w="5871" w:type="dxa"/>
          </w:tcPr>
          <w:p w14:paraId="1C9EAD20" w14:textId="5A910327" w:rsidR="002735D1" w:rsidRPr="00043655" w:rsidRDefault="00043655" w:rsidP="0002633F">
            <w:pPr>
              <w:pStyle w:val="Paragraph"/>
              <w:spacing w:line="276" w:lineRule="auto"/>
            </w:pPr>
            <w:r w:rsidRPr="00043655">
              <w:t>EQ-5D-5L</w:t>
            </w:r>
            <w:r w:rsidR="003241D6">
              <w:t xml:space="preserve"> value set</w:t>
            </w:r>
          </w:p>
        </w:tc>
      </w:tr>
      <w:tr w:rsidR="002735D1" w14:paraId="66FA1C5A" w14:textId="77777777" w:rsidTr="05C52640">
        <w:tc>
          <w:tcPr>
            <w:tcW w:w="2540" w:type="dxa"/>
          </w:tcPr>
          <w:p w14:paraId="3CD0B562" w14:textId="77777777" w:rsidR="002735D1" w:rsidRPr="00401060" w:rsidRDefault="002735D1" w:rsidP="0002633F">
            <w:pPr>
              <w:pStyle w:val="Paragraph"/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Summary of suggested modular update </w:t>
            </w:r>
            <w:r w:rsidRPr="0040106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871" w:type="dxa"/>
          </w:tcPr>
          <w:p w14:paraId="68B79C75" w14:textId="35C4E530" w:rsidR="00883DBC" w:rsidRPr="00043655" w:rsidRDefault="004C09AD" w:rsidP="007026FF">
            <w:pPr>
              <w:pStyle w:val="Paragraph"/>
              <w:spacing w:line="276" w:lineRule="auto"/>
            </w:pPr>
            <w:r>
              <w:t xml:space="preserve">This update </w:t>
            </w:r>
            <w:r w:rsidR="001236CD">
              <w:t xml:space="preserve">to NICE’s methods </w:t>
            </w:r>
            <w:r>
              <w:t>will r</w:t>
            </w:r>
            <w:r w:rsidR="003A035B">
              <w:t xml:space="preserve">ecommend that the new EQ-5D-5L value set is used </w:t>
            </w:r>
            <w:r w:rsidR="007401FF">
              <w:t xml:space="preserve">for </w:t>
            </w:r>
            <w:r w:rsidR="003A035B">
              <w:t>reference-case analyses</w:t>
            </w:r>
            <w:r w:rsidR="00873779">
              <w:t xml:space="preserve"> in economic evaluations</w:t>
            </w:r>
            <w:r w:rsidR="00392B9E">
              <w:t xml:space="preserve">. </w:t>
            </w:r>
          </w:p>
        </w:tc>
      </w:tr>
      <w:tr w:rsidR="00C3B7E8" w14:paraId="47DB011D" w14:textId="77777777" w:rsidTr="05C52640">
        <w:trPr>
          <w:trHeight w:val="300"/>
        </w:trPr>
        <w:tc>
          <w:tcPr>
            <w:tcW w:w="2540" w:type="dxa"/>
          </w:tcPr>
          <w:p w14:paraId="19B577E4" w14:textId="263DE02A" w:rsidR="73A862EA" w:rsidRDefault="73A862EA" w:rsidP="6C43292C">
            <w:pPr>
              <w:pStyle w:val="Paragraph"/>
              <w:spacing w:line="276" w:lineRule="auto"/>
              <w:rPr>
                <w:b/>
                <w:bCs/>
                <w:color w:val="000000" w:themeColor="text1"/>
              </w:rPr>
            </w:pPr>
            <w:r w:rsidRPr="6C43292C">
              <w:rPr>
                <w:b/>
                <w:bCs/>
                <w:color w:val="000000" w:themeColor="text1"/>
              </w:rPr>
              <w:t>Will documents other than NICE manuals be created or updated? If yes, please describe</w:t>
            </w:r>
          </w:p>
        </w:tc>
        <w:tc>
          <w:tcPr>
            <w:tcW w:w="5871" w:type="dxa"/>
          </w:tcPr>
          <w:p w14:paraId="2CAB3973" w14:textId="300FF825" w:rsidR="1881507F" w:rsidRPr="00BD05C2" w:rsidRDefault="1881507F" w:rsidP="6C43292C">
            <w:pPr>
              <w:pStyle w:val="Paragraph"/>
              <w:spacing w:line="276" w:lineRule="auto"/>
              <w:rPr>
                <w:color w:val="000000" w:themeColor="text1"/>
              </w:rPr>
            </w:pPr>
            <w:r w:rsidRPr="00BD05C2">
              <w:rPr>
                <w:color w:val="000000" w:themeColor="text1"/>
              </w:rPr>
              <w:t xml:space="preserve">It is anticipated that a supplementary document </w:t>
            </w:r>
            <w:r w:rsidR="00463167" w:rsidRPr="00BD05C2">
              <w:rPr>
                <w:color w:val="000000" w:themeColor="text1"/>
              </w:rPr>
              <w:t xml:space="preserve">with </w:t>
            </w:r>
            <w:r w:rsidR="005A0D49" w:rsidRPr="00BD05C2">
              <w:rPr>
                <w:color w:val="000000" w:themeColor="text1"/>
              </w:rPr>
              <w:t xml:space="preserve">guidance on </w:t>
            </w:r>
            <w:r w:rsidRPr="00BD05C2">
              <w:rPr>
                <w:color w:val="000000" w:themeColor="text1"/>
              </w:rPr>
              <w:t>map</w:t>
            </w:r>
            <w:r w:rsidR="005A0D49" w:rsidRPr="00BD05C2">
              <w:rPr>
                <w:color w:val="000000" w:themeColor="text1"/>
              </w:rPr>
              <w:t>ping</w:t>
            </w:r>
            <w:r w:rsidRPr="00BD05C2">
              <w:rPr>
                <w:color w:val="000000" w:themeColor="text1"/>
              </w:rPr>
              <w:t xml:space="preserve"> data onto the EQ-5D-5</w:t>
            </w:r>
            <w:r w:rsidR="01B8E806" w:rsidRPr="00BD05C2">
              <w:rPr>
                <w:color w:val="000000" w:themeColor="text1"/>
              </w:rPr>
              <w:t>L</w:t>
            </w:r>
            <w:r w:rsidRPr="00BD05C2">
              <w:rPr>
                <w:color w:val="000000" w:themeColor="text1"/>
              </w:rPr>
              <w:t xml:space="preserve"> </w:t>
            </w:r>
            <w:r w:rsidR="00463167" w:rsidRPr="00BD05C2">
              <w:rPr>
                <w:color w:val="000000" w:themeColor="text1"/>
              </w:rPr>
              <w:t xml:space="preserve">value set </w:t>
            </w:r>
            <w:r w:rsidRPr="00BD05C2">
              <w:rPr>
                <w:color w:val="000000" w:themeColor="text1"/>
              </w:rPr>
              <w:t>will be created as part of the update</w:t>
            </w:r>
            <w:r w:rsidR="005017E4">
              <w:rPr>
                <w:color w:val="000000" w:themeColor="text1"/>
              </w:rPr>
              <w:t>.</w:t>
            </w:r>
          </w:p>
        </w:tc>
      </w:tr>
      <w:tr w:rsidR="002735D1" w14:paraId="45D82186" w14:textId="77777777" w:rsidTr="05C52640">
        <w:trPr>
          <w:trHeight w:val="300"/>
        </w:trPr>
        <w:tc>
          <w:tcPr>
            <w:tcW w:w="8411" w:type="dxa"/>
            <w:gridSpan w:val="2"/>
            <w:shd w:val="clear" w:color="auto" w:fill="37916D" w:themeFill="accent5"/>
          </w:tcPr>
          <w:p w14:paraId="241E9F75" w14:textId="77777777" w:rsidR="002735D1" w:rsidRDefault="002735D1" w:rsidP="0002633F">
            <w:pPr>
              <w:pStyle w:val="Paragraph"/>
              <w:spacing w:after="0" w:line="276" w:lineRule="auto"/>
              <w:rPr>
                <w:color w:val="FFFFFF" w:themeColor="background1"/>
              </w:rPr>
            </w:pPr>
            <w:r>
              <w:rPr>
                <w:rFonts w:ascii="Times New Roman" w:hAnsi="Times New Roman"/>
                <w:lang w:eastAsia="en-GB"/>
              </w:rPr>
              <w:br w:type="page"/>
            </w:r>
            <w:r w:rsidRPr="004A78E5">
              <w:rPr>
                <w:b/>
                <w:bCs/>
                <w:sz w:val="28"/>
                <w:szCs w:val="28"/>
              </w:rPr>
              <w:t>Scope of modular update</w:t>
            </w:r>
          </w:p>
        </w:tc>
      </w:tr>
      <w:tr w:rsidR="002735D1" w14:paraId="72C2689D" w14:textId="77777777" w:rsidTr="05C52640">
        <w:trPr>
          <w:trHeight w:val="841"/>
        </w:trPr>
        <w:tc>
          <w:tcPr>
            <w:tcW w:w="2540" w:type="dxa"/>
          </w:tcPr>
          <w:p w14:paraId="0F8AD93D" w14:textId="72C89E83" w:rsidR="002735D1" w:rsidRDefault="6B82C211" w:rsidP="348DB156">
            <w:pPr>
              <w:pStyle w:val="Paragraph"/>
              <w:spacing w:after="0" w:line="276" w:lineRule="auto"/>
            </w:pPr>
            <w:r w:rsidRPr="348DB156">
              <w:rPr>
                <w:b/>
                <w:bCs/>
              </w:rPr>
              <w:t>Areas that will be covered</w:t>
            </w:r>
          </w:p>
        </w:tc>
        <w:tc>
          <w:tcPr>
            <w:tcW w:w="5871" w:type="dxa"/>
          </w:tcPr>
          <w:p w14:paraId="37C63CCA" w14:textId="1E8C3EE7" w:rsidR="001236CD" w:rsidRDefault="00AF6B83" w:rsidP="00AF6B83">
            <w:pPr>
              <w:pStyle w:val="Paragraph"/>
              <w:spacing w:after="0" w:line="276" w:lineRule="auto"/>
            </w:pPr>
            <w:r>
              <w:t xml:space="preserve">This update will be relevant to </w:t>
            </w:r>
            <w:r w:rsidR="006756FA">
              <w:t xml:space="preserve">health technology evaluations </w:t>
            </w:r>
            <w:r>
              <w:t>and guidelines</w:t>
            </w:r>
            <w:r w:rsidR="006756FA">
              <w:t>.</w:t>
            </w:r>
            <w:r w:rsidR="005C688C">
              <w:t xml:space="preserve"> </w:t>
            </w:r>
          </w:p>
          <w:p w14:paraId="7E5E667E" w14:textId="77777777" w:rsidR="001236CD" w:rsidRDefault="001236CD" w:rsidP="00AF6B83">
            <w:pPr>
              <w:pStyle w:val="Paragraph"/>
              <w:spacing w:after="0" w:line="276" w:lineRule="auto"/>
            </w:pPr>
          </w:p>
          <w:p w14:paraId="1012BBC1" w14:textId="55D32183" w:rsidR="000E5E75" w:rsidRDefault="005C688C" w:rsidP="00AF6B83">
            <w:pPr>
              <w:pStyle w:val="Paragraph"/>
              <w:spacing w:after="0" w:line="276" w:lineRule="auto"/>
            </w:pPr>
            <w:r>
              <w:t>Before NICE consults on the adoption o</w:t>
            </w:r>
            <w:r w:rsidR="003253D5">
              <w:t>f</w:t>
            </w:r>
            <w:r>
              <w:t xml:space="preserve"> the new EQ-5D-5L value set</w:t>
            </w:r>
            <w:r w:rsidR="00FD4976">
              <w:t xml:space="preserve"> into our methods</w:t>
            </w:r>
            <w:r>
              <w:t>, we will</w:t>
            </w:r>
            <w:r w:rsidR="00E77575">
              <w:t>:</w:t>
            </w:r>
            <w:r w:rsidR="00AF6B83">
              <w:t xml:space="preserve"> </w:t>
            </w:r>
          </w:p>
          <w:p w14:paraId="4ECCD6F4" w14:textId="77777777" w:rsidR="00593BD6" w:rsidRDefault="00593BD6" w:rsidP="007026FF">
            <w:pPr>
              <w:pStyle w:val="ListParagraph"/>
            </w:pPr>
          </w:p>
          <w:p w14:paraId="401A23E1" w14:textId="5BDE4CD4" w:rsidR="007026FF" w:rsidRDefault="64D17E5C" w:rsidP="05C52640">
            <w:pPr>
              <w:pStyle w:val="Paragraph"/>
              <w:numPr>
                <w:ilvl w:val="0"/>
                <w:numId w:val="33"/>
              </w:numPr>
              <w:spacing w:after="0" w:line="276" w:lineRule="auto"/>
            </w:pPr>
            <w:r>
              <w:t>Review the results of an impact assessment analys</w:t>
            </w:r>
            <w:r w:rsidR="3F33D193">
              <w:t>ing</w:t>
            </w:r>
            <w:r>
              <w:t xml:space="preserve"> </w:t>
            </w:r>
            <w:r w:rsidR="6301E5FD">
              <w:t xml:space="preserve">whether </w:t>
            </w:r>
            <w:r>
              <w:t>incremental cost-effectiveness ratios (ICERs)</w:t>
            </w:r>
            <w:r w:rsidR="46170535">
              <w:t xml:space="preserve"> are sensitive</w:t>
            </w:r>
            <w:r>
              <w:t xml:space="preserve"> to </w:t>
            </w:r>
            <w:r w:rsidR="3F33D193">
              <w:t>using</w:t>
            </w:r>
            <w:r>
              <w:t xml:space="preserve"> the EQ-5D-</w:t>
            </w:r>
            <w:r w:rsidR="3F33D193">
              <w:t>5</w:t>
            </w:r>
            <w:r>
              <w:t xml:space="preserve">L value set </w:t>
            </w:r>
            <w:r w:rsidR="3F33D193">
              <w:t xml:space="preserve">instead of </w:t>
            </w:r>
            <w:r>
              <w:t>the EQ-5D-</w:t>
            </w:r>
            <w:r w:rsidR="3F33D193">
              <w:t>3</w:t>
            </w:r>
            <w:r>
              <w:t>L value set</w:t>
            </w:r>
            <w:r w:rsidR="46170535">
              <w:t xml:space="preserve">, using </w:t>
            </w:r>
            <w:r w:rsidR="674D0605">
              <w:t>37</w:t>
            </w:r>
            <w:r w:rsidR="46170535">
              <w:t xml:space="preserve"> published NICE Technology Appraisals as case studies</w:t>
            </w:r>
            <w:r>
              <w:t>.</w:t>
            </w:r>
            <w:r w:rsidR="05495C4E">
              <w:t xml:space="preserve"> This will be</w:t>
            </w:r>
            <w:r w:rsidR="63E54C9E">
              <w:t xml:space="preserve"> an educational exercise and not influence </w:t>
            </w:r>
            <w:r w:rsidR="00473776">
              <w:t xml:space="preserve">the </w:t>
            </w:r>
            <w:r w:rsidR="63E54C9E">
              <w:t xml:space="preserve">decision on </w:t>
            </w:r>
            <w:proofErr w:type="gramStart"/>
            <w:r w:rsidR="00473776">
              <w:t>whether or not</w:t>
            </w:r>
            <w:proofErr w:type="gramEnd"/>
            <w:r w:rsidR="00473776">
              <w:t xml:space="preserve"> to </w:t>
            </w:r>
            <w:r w:rsidR="63E54C9E">
              <w:t>adopt the EQ-5D-5L value set.</w:t>
            </w:r>
            <w:r>
              <w:t xml:space="preserve"> Th</w:t>
            </w:r>
            <w:r w:rsidR="57E0ABF9">
              <w:t xml:space="preserve">e </w:t>
            </w:r>
            <w:r>
              <w:t xml:space="preserve">impact assessment will be </w:t>
            </w:r>
            <w:r w:rsidR="4B6C271A">
              <w:t xml:space="preserve">completed </w:t>
            </w:r>
            <w:r>
              <w:t xml:space="preserve">by </w:t>
            </w:r>
            <w:r w:rsidR="00995949">
              <w:t>the National Institute for Health Research (NIHR) Policy Research Unit in Economic Methods of Evaluation of Health and Care Interventions (EEPRU</w:t>
            </w:r>
            <w:r>
              <w:t>)</w:t>
            </w:r>
            <w:r w:rsidR="00662F30">
              <w:t>. The impact assessment will be finalised and published once</w:t>
            </w:r>
            <w:r w:rsidR="4383C52E">
              <w:t xml:space="preserve"> </w:t>
            </w:r>
            <w:r>
              <w:t>the value set has</w:t>
            </w:r>
            <w:r w:rsidR="0076118C">
              <w:t xml:space="preserve"> undergone peer review as part of the journal publication process</w:t>
            </w:r>
            <w:r>
              <w:t xml:space="preserve"> (at time of issuing this scope</w:t>
            </w:r>
            <w:r w:rsidR="00287E39">
              <w:t xml:space="preserve"> (September 2025)</w:t>
            </w:r>
            <w:r w:rsidR="004F3F2F">
              <w:t>,</w:t>
            </w:r>
            <w:r>
              <w:t xml:space="preserve"> the value set publication is in preparation</w:t>
            </w:r>
            <w:r w:rsidR="00287E39">
              <w:t>)</w:t>
            </w:r>
            <w:r w:rsidR="00FA0568">
              <w:t>.</w:t>
            </w:r>
          </w:p>
          <w:p w14:paraId="6BFB830F" w14:textId="77777777" w:rsidR="003F0A54" w:rsidRDefault="003F0A54" w:rsidP="003F0A54">
            <w:pPr>
              <w:pStyle w:val="Paragraph"/>
              <w:spacing w:after="0" w:line="276" w:lineRule="auto"/>
            </w:pPr>
          </w:p>
          <w:p w14:paraId="282432C1" w14:textId="01652B39" w:rsidR="003253D5" w:rsidRDefault="007026FF" w:rsidP="003253D5">
            <w:pPr>
              <w:pStyle w:val="Paragraph"/>
              <w:numPr>
                <w:ilvl w:val="0"/>
                <w:numId w:val="33"/>
              </w:numPr>
              <w:spacing w:after="0" w:line="276" w:lineRule="auto"/>
            </w:pPr>
            <w:r>
              <w:t xml:space="preserve">Develop guidance on </w:t>
            </w:r>
            <w:r w:rsidR="0083182F">
              <w:t>mapping</w:t>
            </w:r>
            <w:r>
              <w:t xml:space="preserve"> onto </w:t>
            </w:r>
            <w:r w:rsidR="0083182F">
              <w:t xml:space="preserve">the </w:t>
            </w:r>
            <w:r w:rsidR="00DF67C3">
              <w:br/>
            </w:r>
            <w:r>
              <w:t>EQ-5D-5L value</w:t>
            </w:r>
            <w:r w:rsidR="0083182F">
              <w:t xml:space="preserve"> set</w:t>
            </w:r>
            <w:r>
              <w:t>.</w:t>
            </w:r>
          </w:p>
          <w:p w14:paraId="2ED31466" w14:textId="341F198E" w:rsidR="005865F8" w:rsidRDefault="007026FF" w:rsidP="00144D18">
            <w:pPr>
              <w:pStyle w:val="Paragraph"/>
              <w:numPr>
                <w:ilvl w:val="0"/>
                <w:numId w:val="33"/>
              </w:numPr>
              <w:spacing w:line="276" w:lineRule="auto"/>
              <w:ind w:left="714" w:hanging="357"/>
            </w:pPr>
            <w:r>
              <w:t>Conduct an e</w:t>
            </w:r>
            <w:r w:rsidR="002811DA" w:rsidRPr="002F63E1">
              <w:t>qualities and health inequalities impact assessment</w:t>
            </w:r>
            <w:r w:rsidR="002811DA">
              <w:t>.</w:t>
            </w:r>
          </w:p>
        </w:tc>
      </w:tr>
      <w:tr w:rsidR="003F0A54" w14:paraId="31C66961" w14:textId="77777777" w:rsidTr="05C52640">
        <w:trPr>
          <w:trHeight w:val="841"/>
        </w:trPr>
        <w:tc>
          <w:tcPr>
            <w:tcW w:w="2540" w:type="dxa"/>
          </w:tcPr>
          <w:p w14:paraId="35F9B43B" w14:textId="1FDA1860" w:rsidR="003F0A54" w:rsidRPr="348DB156" w:rsidRDefault="003F0A54" w:rsidP="003F0A54">
            <w:pPr>
              <w:pStyle w:val="Paragraph"/>
              <w:spacing w:after="0" w:line="276" w:lineRule="auto"/>
              <w:rPr>
                <w:b/>
                <w:bCs/>
              </w:rPr>
            </w:pPr>
            <w:r>
              <w:br w:type="page"/>
            </w:r>
            <w:r w:rsidRPr="4A8F7BB7">
              <w:rPr>
                <w:b/>
                <w:bCs/>
              </w:rPr>
              <w:t>Areas that will not be covered</w:t>
            </w:r>
          </w:p>
        </w:tc>
        <w:tc>
          <w:tcPr>
            <w:tcW w:w="5871" w:type="dxa"/>
          </w:tcPr>
          <w:p w14:paraId="0CE5E86E" w14:textId="77777777" w:rsidR="003F0A54" w:rsidRDefault="003F0A54" w:rsidP="003F0A54">
            <w:pPr>
              <w:pStyle w:val="Paragraph"/>
              <w:spacing w:line="276" w:lineRule="auto"/>
            </w:pPr>
            <w:r>
              <w:t>No further quality assurance of the value set will be conducted (</w:t>
            </w:r>
            <w:proofErr w:type="gramStart"/>
            <w:r>
              <w:t>with the exception of</w:t>
            </w:r>
            <w:proofErr w:type="gramEnd"/>
            <w:r>
              <w:t xml:space="preserve"> the journal peer review process). W</w:t>
            </w:r>
            <w:r w:rsidRPr="001C4D95">
              <w:t>e have had sufficient evidence of robust quality assurance throughout the study</w:t>
            </w:r>
            <w:r>
              <w:t xml:space="preserve"> (summarised in the </w:t>
            </w:r>
            <w:hyperlink r:id="rId8" w:history="1">
              <w:r w:rsidRPr="00431ACF">
                <w:rPr>
                  <w:rStyle w:val="Hyperlink"/>
                </w:rPr>
                <w:t>study governance document</w:t>
              </w:r>
            </w:hyperlink>
            <w:r>
              <w:t>)</w:t>
            </w:r>
            <w:r w:rsidRPr="001C4D95">
              <w:t>, as well as consensus from the study’s steering group that the data are high quality and the modelling approach is appropriate and well-justified.</w:t>
            </w:r>
            <w:r>
              <w:t xml:space="preserve"> </w:t>
            </w:r>
          </w:p>
          <w:p w14:paraId="6B12775C" w14:textId="77777777" w:rsidR="003F0A54" w:rsidRDefault="003F0A54" w:rsidP="003F0A54">
            <w:pPr>
              <w:pStyle w:val="Paragraph"/>
              <w:spacing w:line="276" w:lineRule="auto"/>
            </w:pPr>
            <w:r>
              <w:t xml:space="preserve">We recognise that cost-effectiveness results may be sensitive to using the EQ-5D-5L value set instead of the EQ-5D-3L value set (pending the results of EEPRU’s impact assessment). </w:t>
            </w:r>
            <w:r w:rsidRPr="00E831CB">
              <w:t xml:space="preserve">The introduction of </w:t>
            </w:r>
            <w:r>
              <w:t xml:space="preserve">the </w:t>
            </w:r>
            <w:r w:rsidRPr="00E831CB">
              <w:t>EQ-5D-5L value set will not trigger: </w:t>
            </w:r>
          </w:p>
          <w:p w14:paraId="3E79F57D" w14:textId="77777777" w:rsidR="00E007CF" w:rsidRDefault="003F0A54" w:rsidP="00E007CF">
            <w:pPr>
              <w:pStyle w:val="Paragraph"/>
              <w:numPr>
                <w:ilvl w:val="0"/>
                <w:numId w:val="34"/>
              </w:numPr>
              <w:spacing w:line="276" w:lineRule="auto"/>
            </w:pPr>
            <w:r>
              <w:t>Automatic reviews of existing NICE recommendations that were assessed using the EQ-5D-3L value set.</w:t>
            </w:r>
          </w:p>
          <w:p w14:paraId="4784192B" w14:textId="67CB99FE" w:rsidR="003F0A54" w:rsidRDefault="003F0A54" w:rsidP="00E007CF">
            <w:pPr>
              <w:pStyle w:val="Paragraph"/>
              <w:numPr>
                <w:ilvl w:val="0"/>
                <w:numId w:val="34"/>
              </w:numPr>
              <w:spacing w:line="276" w:lineRule="auto"/>
            </w:pPr>
            <w:r>
              <w:t xml:space="preserve">Review of our standard cost-effectiveness thresholds, which are set to remain at £20,000–£30,000 per quality-adjusted life year (QALY) for the duration of the </w:t>
            </w:r>
            <w:hyperlink r:id="rId9" w:history="1">
              <w:r w:rsidRPr="00381330">
                <w:rPr>
                  <w:rStyle w:val="Hyperlink"/>
                </w:rPr>
                <w:t>2024 Voluntary Scheme for Branded Medicines Pricing, Access and Growth (VPAG)</w:t>
              </w:r>
            </w:hyperlink>
            <w:r>
              <w:t xml:space="preserve">. </w:t>
            </w:r>
          </w:p>
        </w:tc>
      </w:tr>
    </w:tbl>
    <w:p w14:paraId="67F21567" w14:textId="77777777" w:rsidR="002735D1" w:rsidRPr="004375FA" w:rsidRDefault="002735D1" w:rsidP="002735D1">
      <w:pPr>
        <w:spacing w:line="276" w:lineRule="auto"/>
        <w:rPr>
          <w:rFonts w:ascii="Arial" w:hAnsi="Arial"/>
          <w:b/>
          <w:bCs/>
          <w:kern w:val="28"/>
          <w:sz w:val="40"/>
          <w:szCs w:val="40"/>
        </w:rPr>
      </w:pPr>
    </w:p>
    <w:p w14:paraId="55C3ED32" w14:textId="77777777" w:rsidR="00594C3A" w:rsidRDefault="00594C3A" w:rsidP="000F06D1">
      <w:pPr>
        <w:pStyle w:val="Title"/>
        <w:jc w:val="left"/>
      </w:pPr>
    </w:p>
    <w:p w14:paraId="3E5FD2D9" w14:textId="77777777" w:rsidR="000740FB" w:rsidRPr="000740FB" w:rsidRDefault="000740FB" w:rsidP="000740FB"/>
    <w:p w14:paraId="198B7ACD" w14:textId="77777777" w:rsidR="000740FB" w:rsidRPr="000740FB" w:rsidRDefault="000740FB" w:rsidP="000740FB"/>
    <w:p w14:paraId="67D6E672" w14:textId="77777777" w:rsidR="000740FB" w:rsidRPr="000740FB" w:rsidRDefault="000740FB" w:rsidP="000740FB"/>
    <w:p w14:paraId="3268BC39" w14:textId="77777777" w:rsidR="000740FB" w:rsidRPr="000740FB" w:rsidRDefault="000740FB" w:rsidP="000740FB"/>
    <w:p w14:paraId="20B70902" w14:textId="77777777" w:rsidR="000740FB" w:rsidRDefault="000740FB" w:rsidP="000740FB">
      <w:pPr>
        <w:rPr>
          <w:rFonts w:ascii="Arial" w:hAnsi="Arial"/>
          <w:b/>
          <w:bCs/>
          <w:kern w:val="28"/>
          <w:sz w:val="40"/>
          <w:szCs w:val="32"/>
        </w:rPr>
      </w:pPr>
    </w:p>
    <w:p w14:paraId="352C7DD2" w14:textId="77777777" w:rsidR="000740FB" w:rsidRPr="000740FB" w:rsidRDefault="000740FB" w:rsidP="000740FB"/>
    <w:p w14:paraId="6A0B154E" w14:textId="77777777" w:rsidR="000740FB" w:rsidRPr="000740FB" w:rsidRDefault="000740FB" w:rsidP="000740FB"/>
    <w:sectPr w:rsidR="000740FB" w:rsidRPr="000740FB" w:rsidSect="002D6A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D351" w14:textId="77777777" w:rsidR="00522DE3" w:rsidRDefault="00522DE3" w:rsidP="00446BEE">
      <w:r>
        <w:separator/>
      </w:r>
    </w:p>
  </w:endnote>
  <w:endnote w:type="continuationSeparator" w:id="0">
    <w:p w14:paraId="2260EC6B" w14:textId="77777777" w:rsidR="00522DE3" w:rsidRDefault="00522DE3" w:rsidP="00446BEE">
      <w:r>
        <w:continuationSeparator/>
      </w:r>
    </w:p>
  </w:endnote>
  <w:endnote w:type="continuationNotice" w:id="1">
    <w:p w14:paraId="5CE99069" w14:textId="77777777" w:rsidR="00522DE3" w:rsidRDefault="00522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mbria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49A2" w14:textId="65A59C3A" w:rsidR="00446BEE" w:rsidRDefault="27915549" w:rsidP="00446BEE">
    <w:pPr>
      <w:pStyle w:val="Footer"/>
    </w:pPr>
    <w:r>
      <w:t xml:space="preserve">EQ-5D-5L value set modular update scope – </w:t>
    </w:r>
    <w:r w:rsidR="0090709A">
      <w:t xml:space="preserve">September </w:t>
    </w:r>
    <w:r>
      <w:t>2025</w:t>
    </w:r>
    <w:r w:rsidR="004B5E54">
      <w:tab/>
    </w:r>
    <w:r w:rsidR="004B5E54">
      <w:tab/>
    </w:r>
    <w:r>
      <w:t xml:space="preserve">Page </w:t>
    </w:r>
    <w:r w:rsidR="004B5E54" w:rsidRPr="27915549">
      <w:rPr>
        <w:noProof/>
      </w:rPr>
      <w:fldChar w:fldCharType="begin"/>
    </w:r>
    <w:r w:rsidR="004B5E54">
      <w:instrText xml:space="preserve"> PAGE </w:instrText>
    </w:r>
    <w:r w:rsidR="004B5E54" w:rsidRPr="27915549">
      <w:rPr>
        <w:color w:val="2B579A"/>
      </w:rPr>
      <w:fldChar w:fldCharType="separate"/>
    </w:r>
    <w:r w:rsidRPr="27915549">
      <w:rPr>
        <w:noProof/>
      </w:rPr>
      <w:t>1</w:t>
    </w:r>
    <w:r w:rsidR="004B5E54" w:rsidRPr="27915549">
      <w:rPr>
        <w:noProof/>
      </w:rPr>
      <w:fldChar w:fldCharType="end"/>
    </w:r>
    <w:r>
      <w:t xml:space="preserve"> of </w:t>
    </w:r>
    <w:r w:rsidR="004B5E54" w:rsidRPr="27915549">
      <w:rPr>
        <w:noProof/>
      </w:rPr>
      <w:fldChar w:fldCharType="begin"/>
    </w:r>
    <w:r w:rsidR="004B5E54">
      <w:instrText xml:space="preserve"> NUMPAGES  </w:instrText>
    </w:r>
    <w:r w:rsidR="004B5E54" w:rsidRPr="27915549">
      <w:rPr>
        <w:color w:val="2B579A"/>
      </w:rPr>
      <w:fldChar w:fldCharType="separate"/>
    </w:r>
    <w:r w:rsidRPr="27915549">
      <w:rPr>
        <w:noProof/>
      </w:rPr>
      <w:t>1</w:t>
    </w:r>
    <w:r w:rsidR="004B5E54" w:rsidRPr="27915549">
      <w:rPr>
        <w:noProof/>
      </w:rPr>
      <w:fldChar w:fldCharType="end"/>
    </w:r>
  </w:p>
  <w:p w14:paraId="4E6BB0DB" w14:textId="77777777" w:rsidR="00446BEE" w:rsidRDefault="00446BEE">
    <w:pPr>
      <w:pStyle w:val="Footer"/>
    </w:pPr>
  </w:p>
  <w:p w14:paraId="146C95B5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9509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8546EE" w14:textId="4F3565C4" w:rsidR="008E7826" w:rsidRDefault="27915549" w:rsidP="008E7826">
            <w:pPr>
              <w:pStyle w:val="Footer"/>
            </w:pPr>
            <w:r>
              <w:t xml:space="preserve">EQ-5D-5L modular update scope – </w:t>
            </w:r>
            <w:r w:rsidR="00DA268C">
              <w:t xml:space="preserve">September </w:t>
            </w:r>
            <w:r>
              <w:t>2025</w:t>
            </w:r>
            <w:r w:rsidR="004B5E54">
              <w:tab/>
            </w:r>
            <w:r w:rsidR="004B5E54">
              <w:tab/>
            </w:r>
            <w:r w:rsidR="004B5E54">
              <w:br/>
            </w:r>
            <w:r>
              <w:t xml:space="preserve">Page </w:t>
            </w:r>
            <w:r w:rsidR="004B5E54" w:rsidRPr="27915549">
              <w:rPr>
                <w:noProof/>
              </w:rPr>
              <w:fldChar w:fldCharType="begin"/>
            </w:r>
            <w:r w:rsidR="004B5E54">
              <w:instrText xml:space="preserve"> PAGE </w:instrText>
            </w:r>
            <w:r w:rsidR="004B5E54" w:rsidRPr="27915549">
              <w:rPr>
                <w:color w:val="2B579A"/>
                <w:sz w:val="24"/>
              </w:rPr>
              <w:fldChar w:fldCharType="separate"/>
            </w:r>
            <w:r w:rsidRPr="27915549">
              <w:rPr>
                <w:noProof/>
              </w:rPr>
              <w:t>2</w:t>
            </w:r>
            <w:r w:rsidR="004B5E54" w:rsidRPr="27915549">
              <w:rPr>
                <w:noProof/>
              </w:rPr>
              <w:fldChar w:fldCharType="end"/>
            </w:r>
            <w:r>
              <w:t xml:space="preserve"> of </w:t>
            </w:r>
            <w:r w:rsidR="004B5E54" w:rsidRPr="27915549">
              <w:rPr>
                <w:noProof/>
              </w:rPr>
              <w:fldChar w:fldCharType="begin"/>
            </w:r>
            <w:r w:rsidR="004B5E54">
              <w:instrText xml:space="preserve"> NUMPAGES  </w:instrText>
            </w:r>
            <w:r w:rsidR="004B5E54" w:rsidRPr="27915549">
              <w:rPr>
                <w:color w:val="2B579A"/>
              </w:rPr>
              <w:fldChar w:fldCharType="separate"/>
            </w:r>
            <w:r w:rsidRPr="27915549">
              <w:rPr>
                <w:noProof/>
              </w:rPr>
              <w:t>2</w:t>
            </w:r>
            <w:r w:rsidR="004B5E54" w:rsidRPr="27915549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6E66" w14:textId="77777777" w:rsidR="00522DE3" w:rsidRDefault="00522DE3" w:rsidP="00446BEE">
      <w:r>
        <w:separator/>
      </w:r>
    </w:p>
  </w:footnote>
  <w:footnote w:type="continuationSeparator" w:id="0">
    <w:p w14:paraId="5B6812CA" w14:textId="77777777" w:rsidR="00522DE3" w:rsidRDefault="00522DE3" w:rsidP="00446BEE">
      <w:r>
        <w:continuationSeparator/>
      </w:r>
    </w:p>
  </w:footnote>
  <w:footnote w:type="continuationNotice" w:id="1">
    <w:p w14:paraId="678DAA8F" w14:textId="77777777" w:rsidR="00522DE3" w:rsidRDefault="00522D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7915549" w14:paraId="071BC164" w14:textId="77777777" w:rsidTr="27915549">
      <w:trPr>
        <w:trHeight w:val="300"/>
      </w:trPr>
      <w:tc>
        <w:tcPr>
          <w:tcW w:w="2765" w:type="dxa"/>
        </w:tcPr>
        <w:p w14:paraId="73794B41" w14:textId="4930B57B" w:rsidR="27915549" w:rsidRDefault="27915549" w:rsidP="27915549">
          <w:pPr>
            <w:pStyle w:val="Header"/>
            <w:ind w:left="-115"/>
          </w:pPr>
        </w:p>
      </w:tc>
      <w:tc>
        <w:tcPr>
          <w:tcW w:w="2765" w:type="dxa"/>
        </w:tcPr>
        <w:p w14:paraId="792817D2" w14:textId="7EFA43BD" w:rsidR="27915549" w:rsidRDefault="27915549" w:rsidP="27915549">
          <w:pPr>
            <w:pStyle w:val="Header"/>
            <w:jc w:val="center"/>
          </w:pPr>
        </w:p>
      </w:tc>
      <w:tc>
        <w:tcPr>
          <w:tcW w:w="2765" w:type="dxa"/>
        </w:tcPr>
        <w:p w14:paraId="32A6CBFA" w14:textId="08CF4017" w:rsidR="27915549" w:rsidRDefault="27915549" w:rsidP="27915549">
          <w:pPr>
            <w:pStyle w:val="Header"/>
            <w:ind w:right="-115"/>
            <w:jc w:val="right"/>
          </w:pPr>
        </w:p>
      </w:tc>
    </w:tr>
  </w:tbl>
  <w:p w14:paraId="2336B3DB" w14:textId="65066C02" w:rsidR="27915549" w:rsidRDefault="27915549" w:rsidP="27915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6E45" w14:textId="77777777" w:rsidR="008F6FB7" w:rsidRDefault="008F6FB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96C7A82" wp14:editId="11A4A725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1C98"/>
    <w:multiLevelType w:val="hybridMultilevel"/>
    <w:tmpl w:val="8AF45C3A"/>
    <w:lvl w:ilvl="0" w:tplc="0C965AD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512A"/>
    <w:multiLevelType w:val="hybridMultilevel"/>
    <w:tmpl w:val="0076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E1479"/>
    <w:multiLevelType w:val="hybridMultilevel"/>
    <w:tmpl w:val="52E48F80"/>
    <w:lvl w:ilvl="0" w:tplc="2DB61D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446F"/>
    <w:multiLevelType w:val="hybridMultilevel"/>
    <w:tmpl w:val="45903C46"/>
    <w:lvl w:ilvl="0" w:tplc="0C965AD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442"/>
    <w:multiLevelType w:val="hybridMultilevel"/>
    <w:tmpl w:val="D0D65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C2284"/>
    <w:multiLevelType w:val="hybridMultilevel"/>
    <w:tmpl w:val="461C0BAC"/>
    <w:lvl w:ilvl="0" w:tplc="2DB61D8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4593"/>
    <w:multiLevelType w:val="hybridMultilevel"/>
    <w:tmpl w:val="DEF29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B1A91"/>
    <w:multiLevelType w:val="hybridMultilevel"/>
    <w:tmpl w:val="B228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70EC54DE"/>
    <w:multiLevelType w:val="hybridMultilevel"/>
    <w:tmpl w:val="232C9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C0FD0"/>
    <w:multiLevelType w:val="hybridMultilevel"/>
    <w:tmpl w:val="813C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4370">
    <w:abstractNumId w:val="19"/>
  </w:num>
  <w:num w:numId="2" w16cid:durableId="1271931310">
    <w:abstractNumId w:val="21"/>
  </w:num>
  <w:num w:numId="3" w16cid:durableId="987441700">
    <w:abstractNumId w:val="21"/>
    <w:lvlOverride w:ilvl="0">
      <w:startOverride w:val="1"/>
    </w:lvlOverride>
  </w:num>
  <w:num w:numId="4" w16cid:durableId="1499422565">
    <w:abstractNumId w:val="21"/>
    <w:lvlOverride w:ilvl="0">
      <w:startOverride w:val="1"/>
    </w:lvlOverride>
  </w:num>
  <w:num w:numId="5" w16cid:durableId="2069916214">
    <w:abstractNumId w:val="21"/>
    <w:lvlOverride w:ilvl="0">
      <w:startOverride w:val="1"/>
    </w:lvlOverride>
  </w:num>
  <w:num w:numId="6" w16cid:durableId="1714303981">
    <w:abstractNumId w:val="21"/>
    <w:lvlOverride w:ilvl="0">
      <w:startOverride w:val="1"/>
    </w:lvlOverride>
  </w:num>
  <w:num w:numId="7" w16cid:durableId="1383334273">
    <w:abstractNumId w:val="21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2"/>
  </w:num>
  <w:num w:numId="19" w16cid:durableId="1373924523">
    <w:abstractNumId w:val="12"/>
    <w:lvlOverride w:ilvl="0">
      <w:startOverride w:val="1"/>
    </w:lvlOverride>
  </w:num>
  <w:num w:numId="20" w16cid:durableId="399716702">
    <w:abstractNumId w:val="19"/>
  </w:num>
  <w:num w:numId="21" w16cid:durableId="1595244151">
    <w:abstractNumId w:val="21"/>
  </w:num>
  <w:num w:numId="22" w16cid:durableId="368646558">
    <w:abstractNumId w:val="12"/>
  </w:num>
  <w:num w:numId="23" w16cid:durableId="534393170">
    <w:abstractNumId w:val="20"/>
  </w:num>
  <w:num w:numId="24" w16cid:durableId="609512517">
    <w:abstractNumId w:val="22"/>
  </w:num>
  <w:num w:numId="25" w16cid:durableId="104351748">
    <w:abstractNumId w:val="16"/>
  </w:num>
  <w:num w:numId="26" w16cid:durableId="1542746176">
    <w:abstractNumId w:val="13"/>
  </w:num>
  <w:num w:numId="27" w16cid:durableId="1959414558">
    <w:abstractNumId w:val="23"/>
  </w:num>
  <w:num w:numId="28" w16cid:durableId="1090354711">
    <w:abstractNumId w:val="11"/>
  </w:num>
  <w:num w:numId="29" w16cid:durableId="1511489033">
    <w:abstractNumId w:val="24"/>
  </w:num>
  <w:num w:numId="30" w16cid:durableId="1325546249">
    <w:abstractNumId w:val="10"/>
  </w:num>
  <w:num w:numId="31" w16cid:durableId="789207810">
    <w:abstractNumId w:val="14"/>
  </w:num>
  <w:num w:numId="32" w16cid:durableId="1317414778">
    <w:abstractNumId w:val="15"/>
  </w:num>
  <w:num w:numId="33" w16cid:durableId="1375960314">
    <w:abstractNumId w:val="18"/>
  </w:num>
  <w:num w:numId="34" w16cid:durableId="14045999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54"/>
    <w:rsid w:val="000018E0"/>
    <w:rsid w:val="000053F8"/>
    <w:rsid w:val="00012783"/>
    <w:rsid w:val="00012A4D"/>
    <w:rsid w:val="000164F5"/>
    <w:rsid w:val="00021344"/>
    <w:rsid w:val="00021BBD"/>
    <w:rsid w:val="00023A59"/>
    <w:rsid w:val="00024D0A"/>
    <w:rsid w:val="0002633F"/>
    <w:rsid w:val="00043655"/>
    <w:rsid w:val="000475A2"/>
    <w:rsid w:val="00053061"/>
    <w:rsid w:val="00070065"/>
    <w:rsid w:val="000740FB"/>
    <w:rsid w:val="00077D56"/>
    <w:rsid w:val="00096DC6"/>
    <w:rsid w:val="000A4FEE"/>
    <w:rsid w:val="000B2980"/>
    <w:rsid w:val="000B5939"/>
    <w:rsid w:val="000C7AE7"/>
    <w:rsid w:val="000D0B64"/>
    <w:rsid w:val="000E5E75"/>
    <w:rsid w:val="000F06D1"/>
    <w:rsid w:val="000F0EEE"/>
    <w:rsid w:val="00103412"/>
    <w:rsid w:val="00105099"/>
    <w:rsid w:val="001075D0"/>
    <w:rsid w:val="001134E7"/>
    <w:rsid w:val="001236CD"/>
    <w:rsid w:val="001262EF"/>
    <w:rsid w:val="00130440"/>
    <w:rsid w:val="001336FF"/>
    <w:rsid w:val="00136206"/>
    <w:rsid w:val="00137DA9"/>
    <w:rsid w:val="00140741"/>
    <w:rsid w:val="00144D18"/>
    <w:rsid w:val="00146429"/>
    <w:rsid w:val="00155288"/>
    <w:rsid w:val="00157BBE"/>
    <w:rsid w:val="0017169E"/>
    <w:rsid w:val="00183FFB"/>
    <w:rsid w:val="001903A7"/>
    <w:rsid w:val="0019457F"/>
    <w:rsid w:val="001A6635"/>
    <w:rsid w:val="001B0EE9"/>
    <w:rsid w:val="001B36F8"/>
    <w:rsid w:val="001B65B3"/>
    <w:rsid w:val="001B65E7"/>
    <w:rsid w:val="001C0393"/>
    <w:rsid w:val="001C0EAB"/>
    <w:rsid w:val="001D4985"/>
    <w:rsid w:val="001E2100"/>
    <w:rsid w:val="001E29B9"/>
    <w:rsid w:val="001E60D6"/>
    <w:rsid w:val="001E6B2E"/>
    <w:rsid w:val="00203F88"/>
    <w:rsid w:val="00206EB1"/>
    <w:rsid w:val="002124D5"/>
    <w:rsid w:val="002149EB"/>
    <w:rsid w:val="002150BF"/>
    <w:rsid w:val="00223612"/>
    <w:rsid w:val="0023227D"/>
    <w:rsid w:val="002343C6"/>
    <w:rsid w:val="002408EA"/>
    <w:rsid w:val="00246BFE"/>
    <w:rsid w:val="0025603E"/>
    <w:rsid w:val="00270249"/>
    <w:rsid w:val="002735D1"/>
    <w:rsid w:val="00274E83"/>
    <w:rsid w:val="002811DA"/>
    <w:rsid w:val="002819D7"/>
    <w:rsid w:val="00287E39"/>
    <w:rsid w:val="002A5693"/>
    <w:rsid w:val="002B6178"/>
    <w:rsid w:val="002C1A7E"/>
    <w:rsid w:val="002D3376"/>
    <w:rsid w:val="002D6A6E"/>
    <w:rsid w:val="002E726C"/>
    <w:rsid w:val="002F1C5F"/>
    <w:rsid w:val="002F79EE"/>
    <w:rsid w:val="003013F7"/>
    <w:rsid w:val="00311ED0"/>
    <w:rsid w:val="003241D6"/>
    <w:rsid w:val="003253D5"/>
    <w:rsid w:val="00343A8E"/>
    <w:rsid w:val="003648C5"/>
    <w:rsid w:val="00365014"/>
    <w:rsid w:val="0036540A"/>
    <w:rsid w:val="003722FA"/>
    <w:rsid w:val="003728B3"/>
    <w:rsid w:val="00381330"/>
    <w:rsid w:val="00392B9E"/>
    <w:rsid w:val="003942F1"/>
    <w:rsid w:val="0039624F"/>
    <w:rsid w:val="00397FA5"/>
    <w:rsid w:val="003A035B"/>
    <w:rsid w:val="003B4C5B"/>
    <w:rsid w:val="003C1F36"/>
    <w:rsid w:val="003C40E5"/>
    <w:rsid w:val="003C7AAF"/>
    <w:rsid w:val="003D04ED"/>
    <w:rsid w:val="003D34BD"/>
    <w:rsid w:val="003E584B"/>
    <w:rsid w:val="003F0A04"/>
    <w:rsid w:val="003F0A54"/>
    <w:rsid w:val="003F1C1C"/>
    <w:rsid w:val="003F73D9"/>
    <w:rsid w:val="004075B6"/>
    <w:rsid w:val="00415424"/>
    <w:rsid w:val="00420952"/>
    <w:rsid w:val="00431ACF"/>
    <w:rsid w:val="00445AED"/>
    <w:rsid w:val="00446BEE"/>
    <w:rsid w:val="00463167"/>
    <w:rsid w:val="0046635C"/>
    <w:rsid w:val="00473776"/>
    <w:rsid w:val="004769B5"/>
    <w:rsid w:val="004A2821"/>
    <w:rsid w:val="004A64BA"/>
    <w:rsid w:val="004B117B"/>
    <w:rsid w:val="004B3636"/>
    <w:rsid w:val="004B5E54"/>
    <w:rsid w:val="004B7246"/>
    <w:rsid w:val="004C09AD"/>
    <w:rsid w:val="004D0684"/>
    <w:rsid w:val="004E745E"/>
    <w:rsid w:val="004F3F2F"/>
    <w:rsid w:val="005017E4"/>
    <w:rsid w:val="005025A1"/>
    <w:rsid w:val="00522DE3"/>
    <w:rsid w:val="00526B70"/>
    <w:rsid w:val="00532D3D"/>
    <w:rsid w:val="005364E7"/>
    <w:rsid w:val="005537F4"/>
    <w:rsid w:val="005865F8"/>
    <w:rsid w:val="00593BD6"/>
    <w:rsid w:val="00594C3A"/>
    <w:rsid w:val="005A02D5"/>
    <w:rsid w:val="005A0D49"/>
    <w:rsid w:val="005B6CE8"/>
    <w:rsid w:val="005C688C"/>
    <w:rsid w:val="005D52D0"/>
    <w:rsid w:val="005E4464"/>
    <w:rsid w:val="005F45F0"/>
    <w:rsid w:val="005F502A"/>
    <w:rsid w:val="0060187A"/>
    <w:rsid w:val="00606DBD"/>
    <w:rsid w:val="00620E33"/>
    <w:rsid w:val="00624140"/>
    <w:rsid w:val="00662F30"/>
    <w:rsid w:val="006709A9"/>
    <w:rsid w:val="0067151D"/>
    <w:rsid w:val="006756FA"/>
    <w:rsid w:val="0067677C"/>
    <w:rsid w:val="006802A7"/>
    <w:rsid w:val="006921E1"/>
    <w:rsid w:val="00696C0A"/>
    <w:rsid w:val="006A27E9"/>
    <w:rsid w:val="006A28FB"/>
    <w:rsid w:val="006B1A4B"/>
    <w:rsid w:val="006C6EC9"/>
    <w:rsid w:val="006E1461"/>
    <w:rsid w:val="006F5622"/>
    <w:rsid w:val="00702489"/>
    <w:rsid w:val="007026FF"/>
    <w:rsid w:val="00703DCA"/>
    <w:rsid w:val="007122B8"/>
    <w:rsid w:val="007260A1"/>
    <w:rsid w:val="00736348"/>
    <w:rsid w:val="007401FF"/>
    <w:rsid w:val="007530F2"/>
    <w:rsid w:val="00757171"/>
    <w:rsid w:val="00757225"/>
    <w:rsid w:val="00760D97"/>
    <w:rsid w:val="0076118C"/>
    <w:rsid w:val="007631E2"/>
    <w:rsid w:val="00765602"/>
    <w:rsid w:val="0077376B"/>
    <w:rsid w:val="00781C41"/>
    <w:rsid w:val="007844D1"/>
    <w:rsid w:val="00795762"/>
    <w:rsid w:val="007E30C1"/>
    <w:rsid w:val="007E67B1"/>
    <w:rsid w:val="007F1523"/>
    <w:rsid w:val="00810F98"/>
    <w:rsid w:val="00822CA8"/>
    <w:rsid w:val="0083182F"/>
    <w:rsid w:val="00833D8A"/>
    <w:rsid w:val="00834A14"/>
    <w:rsid w:val="008358A9"/>
    <w:rsid w:val="008466B3"/>
    <w:rsid w:val="00851D30"/>
    <w:rsid w:val="00852FAA"/>
    <w:rsid w:val="00854D63"/>
    <w:rsid w:val="00855E54"/>
    <w:rsid w:val="00861B92"/>
    <w:rsid w:val="00873779"/>
    <w:rsid w:val="00877EA1"/>
    <w:rsid w:val="008814FB"/>
    <w:rsid w:val="00882F59"/>
    <w:rsid w:val="00883DBC"/>
    <w:rsid w:val="008957A5"/>
    <w:rsid w:val="00896619"/>
    <w:rsid w:val="008A41BF"/>
    <w:rsid w:val="008A592B"/>
    <w:rsid w:val="008B1027"/>
    <w:rsid w:val="008D10AA"/>
    <w:rsid w:val="008E7826"/>
    <w:rsid w:val="008F00F3"/>
    <w:rsid w:val="008F3872"/>
    <w:rsid w:val="008F5E30"/>
    <w:rsid w:val="008F6FB7"/>
    <w:rsid w:val="009030F8"/>
    <w:rsid w:val="0090709A"/>
    <w:rsid w:val="00914D7F"/>
    <w:rsid w:val="009377E0"/>
    <w:rsid w:val="00963A73"/>
    <w:rsid w:val="009647F1"/>
    <w:rsid w:val="009711D7"/>
    <w:rsid w:val="0097161A"/>
    <w:rsid w:val="0097305A"/>
    <w:rsid w:val="00977CEF"/>
    <w:rsid w:val="00994EE8"/>
    <w:rsid w:val="00995949"/>
    <w:rsid w:val="009B7D33"/>
    <w:rsid w:val="009E680B"/>
    <w:rsid w:val="009E70E6"/>
    <w:rsid w:val="009F71A4"/>
    <w:rsid w:val="00A15A1F"/>
    <w:rsid w:val="00A3325A"/>
    <w:rsid w:val="00A43013"/>
    <w:rsid w:val="00A86E17"/>
    <w:rsid w:val="00A907D2"/>
    <w:rsid w:val="00A915B7"/>
    <w:rsid w:val="00AD15AF"/>
    <w:rsid w:val="00AF108A"/>
    <w:rsid w:val="00AF56D3"/>
    <w:rsid w:val="00AF6B83"/>
    <w:rsid w:val="00B02E55"/>
    <w:rsid w:val="00B036C1"/>
    <w:rsid w:val="00B1286E"/>
    <w:rsid w:val="00B32DCC"/>
    <w:rsid w:val="00B43C95"/>
    <w:rsid w:val="00B5431F"/>
    <w:rsid w:val="00B632EC"/>
    <w:rsid w:val="00B6444B"/>
    <w:rsid w:val="00B65A11"/>
    <w:rsid w:val="00B71D97"/>
    <w:rsid w:val="00B90A17"/>
    <w:rsid w:val="00B9654E"/>
    <w:rsid w:val="00BA01A3"/>
    <w:rsid w:val="00BC184B"/>
    <w:rsid w:val="00BC629B"/>
    <w:rsid w:val="00BD05C2"/>
    <w:rsid w:val="00BD76D7"/>
    <w:rsid w:val="00BF106B"/>
    <w:rsid w:val="00BF773F"/>
    <w:rsid w:val="00BF7931"/>
    <w:rsid w:val="00BF7FE0"/>
    <w:rsid w:val="00C01B91"/>
    <w:rsid w:val="00C36044"/>
    <w:rsid w:val="00C3B7E8"/>
    <w:rsid w:val="00C77C66"/>
    <w:rsid w:val="00C8470C"/>
    <w:rsid w:val="00C85682"/>
    <w:rsid w:val="00C96411"/>
    <w:rsid w:val="00CA5F79"/>
    <w:rsid w:val="00CB2369"/>
    <w:rsid w:val="00CD606D"/>
    <w:rsid w:val="00CE2049"/>
    <w:rsid w:val="00CE7860"/>
    <w:rsid w:val="00CE7F65"/>
    <w:rsid w:val="00CF2E5C"/>
    <w:rsid w:val="00CF58B7"/>
    <w:rsid w:val="00CF6443"/>
    <w:rsid w:val="00CF6A34"/>
    <w:rsid w:val="00D02A8F"/>
    <w:rsid w:val="00D02CE5"/>
    <w:rsid w:val="00D0371A"/>
    <w:rsid w:val="00D1170A"/>
    <w:rsid w:val="00D1699D"/>
    <w:rsid w:val="00D351C1"/>
    <w:rsid w:val="00D35EFB"/>
    <w:rsid w:val="00D361AD"/>
    <w:rsid w:val="00D40542"/>
    <w:rsid w:val="00D4182B"/>
    <w:rsid w:val="00D47D55"/>
    <w:rsid w:val="00D504B3"/>
    <w:rsid w:val="00D541CE"/>
    <w:rsid w:val="00D72056"/>
    <w:rsid w:val="00D80EFF"/>
    <w:rsid w:val="00D86BF0"/>
    <w:rsid w:val="00DA268C"/>
    <w:rsid w:val="00DA3B3E"/>
    <w:rsid w:val="00DC367F"/>
    <w:rsid w:val="00DE6BC5"/>
    <w:rsid w:val="00DF67C3"/>
    <w:rsid w:val="00E007CF"/>
    <w:rsid w:val="00E01CC4"/>
    <w:rsid w:val="00E11713"/>
    <w:rsid w:val="00E242BC"/>
    <w:rsid w:val="00E36321"/>
    <w:rsid w:val="00E408E3"/>
    <w:rsid w:val="00E5055C"/>
    <w:rsid w:val="00E51079"/>
    <w:rsid w:val="00E51920"/>
    <w:rsid w:val="00E64120"/>
    <w:rsid w:val="00E660A1"/>
    <w:rsid w:val="00E72AE9"/>
    <w:rsid w:val="00E77575"/>
    <w:rsid w:val="00E831CB"/>
    <w:rsid w:val="00E851C4"/>
    <w:rsid w:val="00EA398E"/>
    <w:rsid w:val="00EB096F"/>
    <w:rsid w:val="00EB28E1"/>
    <w:rsid w:val="00EC2621"/>
    <w:rsid w:val="00EC4FD2"/>
    <w:rsid w:val="00ED254A"/>
    <w:rsid w:val="00ED2CEA"/>
    <w:rsid w:val="00EF16DA"/>
    <w:rsid w:val="00F055F1"/>
    <w:rsid w:val="00F07E0E"/>
    <w:rsid w:val="00F414B6"/>
    <w:rsid w:val="00F4245E"/>
    <w:rsid w:val="00F42F1B"/>
    <w:rsid w:val="00F610AF"/>
    <w:rsid w:val="00F7646D"/>
    <w:rsid w:val="00F976EA"/>
    <w:rsid w:val="00FA0568"/>
    <w:rsid w:val="00FA2C5A"/>
    <w:rsid w:val="00FA4328"/>
    <w:rsid w:val="00FC2D11"/>
    <w:rsid w:val="00FC6230"/>
    <w:rsid w:val="00FC7DDB"/>
    <w:rsid w:val="00FD4976"/>
    <w:rsid w:val="00FE02FE"/>
    <w:rsid w:val="00FE2F7B"/>
    <w:rsid w:val="00FF009A"/>
    <w:rsid w:val="00FF61E7"/>
    <w:rsid w:val="01B8E806"/>
    <w:rsid w:val="02955EF5"/>
    <w:rsid w:val="040F772E"/>
    <w:rsid w:val="05495C4E"/>
    <w:rsid w:val="05C52640"/>
    <w:rsid w:val="06C78C13"/>
    <w:rsid w:val="08E8E503"/>
    <w:rsid w:val="0EAEE132"/>
    <w:rsid w:val="133599DE"/>
    <w:rsid w:val="1881507F"/>
    <w:rsid w:val="1B319250"/>
    <w:rsid w:val="1D5930E7"/>
    <w:rsid w:val="231DEEAF"/>
    <w:rsid w:val="24F8FA38"/>
    <w:rsid w:val="27915549"/>
    <w:rsid w:val="27FC1508"/>
    <w:rsid w:val="2CF5E17B"/>
    <w:rsid w:val="30C51C1F"/>
    <w:rsid w:val="30D13356"/>
    <w:rsid w:val="314D4884"/>
    <w:rsid w:val="348DB156"/>
    <w:rsid w:val="3F33D193"/>
    <w:rsid w:val="4383C52E"/>
    <w:rsid w:val="4442D706"/>
    <w:rsid w:val="46170535"/>
    <w:rsid w:val="4B6C271A"/>
    <w:rsid w:val="4BF29348"/>
    <w:rsid w:val="52761E5B"/>
    <w:rsid w:val="54450855"/>
    <w:rsid w:val="56651BAF"/>
    <w:rsid w:val="575A6178"/>
    <w:rsid w:val="579F8D2D"/>
    <w:rsid w:val="57E0ABF9"/>
    <w:rsid w:val="6301E5FD"/>
    <w:rsid w:val="63E54C9E"/>
    <w:rsid w:val="6404E04A"/>
    <w:rsid w:val="64D17E5C"/>
    <w:rsid w:val="66130AFB"/>
    <w:rsid w:val="674D0605"/>
    <w:rsid w:val="6B82C211"/>
    <w:rsid w:val="6C43292C"/>
    <w:rsid w:val="71CE9FA0"/>
    <w:rsid w:val="73A8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8B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735D1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F106B"/>
    <w:rPr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83F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qol.org/wp-content/uploads/2023/12/New-UK-EQ-5D-5L-valuation-study-Governance-v1-06FEB2020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2024-voluntary-scheme-for-branded-medicines-pricing-access-and-growt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2025-09-10T11:01:00Z</dcterms:created>
  <dcterms:modified xsi:type="dcterms:W3CDTF">2025-09-10T11:03:00Z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2025-09-10T11:01:31Z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dc0212d5-6a9e-415c-b167-85780a4a6cd5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