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7503" w14:textId="77777777" w:rsidR="000C2770" w:rsidRDefault="000C2770" w:rsidP="0022402B">
      <w:pPr>
        <w:pStyle w:val="Title1"/>
        <w:jc w:val="left"/>
        <w:rPr>
          <w:sz w:val="44"/>
          <w:szCs w:val="44"/>
          <w:lang w:eastAsia="en-GB"/>
        </w:rPr>
      </w:pPr>
      <w:bookmarkStart w:id="0" w:name="_Toc177990550"/>
      <w:bookmarkStart w:id="1" w:name="_Toc177994673"/>
      <w:bookmarkStart w:id="2" w:name="_Toc177995078"/>
      <w:bookmarkStart w:id="3" w:name="_Toc217335282"/>
      <w:bookmarkStart w:id="4" w:name="_Toc217393611"/>
      <w:bookmarkStart w:id="5" w:name="_Toc219153693"/>
      <w:bookmarkStart w:id="6" w:name="_Toc219480741"/>
      <w:bookmarkStart w:id="7" w:name="_Hlk217397982"/>
      <w:bookmarkStart w:id="8" w:name="_Hlk221090508"/>
    </w:p>
    <w:p w14:paraId="639B2EA4" w14:textId="027D2EC3" w:rsidR="007400D7" w:rsidRPr="007B1C5F" w:rsidRDefault="00436481" w:rsidP="00F93F21">
      <w:pPr>
        <w:pStyle w:val="Title1"/>
        <w:rPr>
          <w:szCs w:val="40"/>
          <w:lang w:eastAsia="en-GB"/>
        </w:rPr>
      </w:pPr>
      <w:bookmarkStart w:id="9" w:name="_Toc221097890"/>
      <w:bookmarkStart w:id="10" w:name="_Toc226454909"/>
      <w:r w:rsidRPr="007B1C5F">
        <w:rPr>
          <w:szCs w:val="40"/>
          <w:lang w:eastAsia="en-GB"/>
        </w:rPr>
        <w:t>Infrastructure and service redesign: examining the methods for capturing implementation costs</w:t>
      </w:r>
      <w:bookmarkEnd w:id="0"/>
      <w:bookmarkEnd w:id="1"/>
      <w:bookmarkEnd w:id="2"/>
      <w:bookmarkEnd w:id="3"/>
      <w:bookmarkEnd w:id="4"/>
      <w:bookmarkEnd w:id="5"/>
      <w:bookmarkEnd w:id="6"/>
      <w:bookmarkEnd w:id="9"/>
      <w:bookmarkEnd w:id="10"/>
    </w:p>
    <w:p w14:paraId="2AB88A71" w14:textId="03D1F920" w:rsidR="00846A36" w:rsidRPr="007B1C5F" w:rsidRDefault="00846A36" w:rsidP="00846A36">
      <w:pPr>
        <w:pStyle w:val="Heading1"/>
        <w:jc w:val="center"/>
        <w:rPr>
          <w:sz w:val="40"/>
          <w:szCs w:val="40"/>
        </w:rPr>
      </w:pPr>
      <w:bookmarkStart w:id="11" w:name="_Toc219153694"/>
      <w:bookmarkStart w:id="12" w:name="_Toc219480742"/>
      <w:bookmarkStart w:id="13" w:name="_Toc221097891"/>
      <w:bookmarkStart w:id="14" w:name="_Toc226454910"/>
      <w:r w:rsidRPr="007B1C5F">
        <w:rPr>
          <w:sz w:val="40"/>
          <w:szCs w:val="40"/>
        </w:rPr>
        <w:t xml:space="preserve">Appendix </w:t>
      </w:r>
      <w:r w:rsidR="00544117">
        <w:rPr>
          <w:sz w:val="40"/>
          <w:szCs w:val="40"/>
        </w:rPr>
        <w:t>E</w:t>
      </w:r>
      <w:r w:rsidR="00945FF7">
        <w:rPr>
          <w:sz w:val="40"/>
          <w:szCs w:val="40"/>
        </w:rPr>
        <w:t>.</w:t>
      </w:r>
      <w:r w:rsidR="001F5CA5" w:rsidRPr="007B1C5F">
        <w:rPr>
          <w:sz w:val="40"/>
          <w:szCs w:val="40"/>
        </w:rPr>
        <w:t xml:space="preserve"> </w:t>
      </w:r>
      <w:r w:rsidRPr="007B1C5F">
        <w:rPr>
          <w:sz w:val="40"/>
          <w:szCs w:val="40"/>
        </w:rPr>
        <w:t>Case studies</w:t>
      </w:r>
      <w:bookmarkEnd w:id="11"/>
      <w:bookmarkEnd w:id="12"/>
      <w:bookmarkEnd w:id="13"/>
      <w:bookmarkEnd w:id="14"/>
    </w:p>
    <w:p w14:paraId="3D63C4DE" w14:textId="55BEAC58" w:rsidR="007400D7" w:rsidRDefault="12ADDAF3" w:rsidP="00A6176E">
      <w:pPr>
        <w:pStyle w:val="Title1"/>
        <w:rPr>
          <w:lang w:eastAsia="en-GB"/>
        </w:rPr>
      </w:pPr>
      <w:bookmarkStart w:id="15" w:name="_Toc177990551"/>
      <w:bookmarkStart w:id="16" w:name="_Toc177994674"/>
      <w:bookmarkStart w:id="17" w:name="_Toc177995079"/>
      <w:bookmarkStart w:id="18" w:name="_Toc217335283"/>
      <w:bookmarkStart w:id="19" w:name="_Toc217393612"/>
      <w:bookmarkStart w:id="20" w:name="_Toc219153695"/>
      <w:bookmarkStart w:id="21" w:name="_Toc219480743"/>
      <w:bookmarkStart w:id="22" w:name="_Toc221097892"/>
      <w:bookmarkStart w:id="23" w:name="_Toc226454911"/>
      <w:bookmarkEnd w:id="7"/>
      <w:r w:rsidRPr="3392959B">
        <w:rPr>
          <w:sz w:val="32"/>
        </w:rPr>
        <w:t>HTA Innovation Laborator</w:t>
      </w:r>
      <w:r w:rsidR="5E261F86" w:rsidRPr="3392959B">
        <w:rPr>
          <w:sz w:val="32"/>
        </w:rPr>
        <w:t>y</w:t>
      </w:r>
      <w:bookmarkEnd w:id="15"/>
      <w:bookmarkEnd w:id="16"/>
      <w:bookmarkEnd w:id="17"/>
      <w:bookmarkEnd w:id="18"/>
      <w:bookmarkEnd w:id="19"/>
      <w:bookmarkEnd w:id="20"/>
      <w:bookmarkEnd w:id="21"/>
      <w:bookmarkEnd w:id="22"/>
      <w:bookmarkEnd w:id="23"/>
    </w:p>
    <w:p w14:paraId="6A7A15C9" w14:textId="77777777" w:rsidR="007400D7" w:rsidRDefault="007400D7" w:rsidP="006A14A8">
      <w:pPr>
        <w:pStyle w:val="Paragraph"/>
        <w:rPr>
          <w:lang w:eastAsia="en-GB"/>
        </w:rPr>
      </w:pPr>
    </w:p>
    <w:p w14:paraId="4636A212" w14:textId="15B7A168" w:rsidR="007400D7" w:rsidRDefault="0022402B" w:rsidP="006A14A8">
      <w:pPr>
        <w:pStyle w:val="Paragraph"/>
        <w:rPr>
          <w:lang w:eastAsia="en-GB"/>
        </w:rPr>
      </w:pPr>
      <w:r>
        <w:rPr>
          <w:lang w:eastAsia="en-GB"/>
        </w:rPr>
        <w:t>June</w:t>
      </w:r>
      <w:r w:rsidR="00371735">
        <w:rPr>
          <w:lang w:eastAsia="en-GB"/>
        </w:rPr>
        <w:t xml:space="preserve"> </w:t>
      </w:r>
      <w:r w:rsidR="00436481">
        <w:rPr>
          <w:lang w:eastAsia="en-GB"/>
        </w:rPr>
        <w:t>2026</w:t>
      </w:r>
    </w:p>
    <w:p w14:paraId="6BDECCE3" w14:textId="77777777" w:rsidR="006D4C33" w:rsidRDefault="006D4C33" w:rsidP="00914E6C">
      <w:pPr>
        <w:pStyle w:val="Heading1"/>
      </w:pPr>
    </w:p>
    <w:p w14:paraId="3AF977B1" w14:textId="67A4A25E" w:rsidR="00CD2E3B" w:rsidRPr="00CD2E3B" w:rsidRDefault="00CD2E3B" w:rsidP="00CD2E3B">
      <w:pPr>
        <w:pStyle w:val="Paragraph"/>
        <w:rPr>
          <w:b/>
          <w:bCs/>
        </w:rPr>
      </w:pPr>
      <w:bookmarkStart w:id="24" w:name="_Toc146884454"/>
      <w:bookmarkStart w:id="25" w:name="_Toc146976372"/>
      <w:bookmarkStart w:id="26" w:name="_Toc177990552"/>
      <w:bookmarkStart w:id="27" w:name="_Toc177994675"/>
      <w:bookmarkStart w:id="28" w:name="_Toc177995080"/>
      <w:bookmarkStart w:id="29" w:name="_Toc216093733"/>
      <w:r w:rsidRPr="00CD2E3B">
        <w:rPr>
          <w:b/>
          <w:bCs/>
        </w:rPr>
        <w:t>Disclaimer</w:t>
      </w:r>
      <w:bookmarkEnd w:id="24"/>
      <w:bookmarkEnd w:id="25"/>
      <w:bookmarkEnd w:id="26"/>
      <w:bookmarkEnd w:id="27"/>
      <w:bookmarkEnd w:id="28"/>
      <w:bookmarkEnd w:id="29"/>
    </w:p>
    <w:p w14:paraId="0F71A688" w14:textId="77777777" w:rsidR="00CD2E3B" w:rsidRPr="00CD2E3B" w:rsidRDefault="00CD2E3B" w:rsidP="00CD2E3B">
      <w:pPr>
        <w:pStyle w:val="Paragraph"/>
      </w:pPr>
      <w:bookmarkStart w:id="30" w:name="_Hlk146880619"/>
      <w:r w:rsidRPr="00CD2E3B">
        <w:t>Readers should be aware that issues and considerations outlined in HTA Lab reports cannot be taken as indicative or suggestive of any future position and will not be regarded as relevant to any future decision that may be taken by NICE.</w:t>
      </w:r>
    </w:p>
    <w:p w14:paraId="160E7218" w14:textId="77777777" w:rsidR="00CD2E3B" w:rsidRPr="00CD2E3B" w:rsidRDefault="00CD2E3B" w:rsidP="00CD2E3B">
      <w:pPr>
        <w:pStyle w:val="Paragraph"/>
      </w:pPr>
      <w:r w:rsidRPr="00CD2E3B">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30"/>
    </w:p>
    <w:p w14:paraId="0C82D6BB" w14:textId="2F84FD42" w:rsidR="00F44443" w:rsidRPr="00F44443" w:rsidRDefault="00F44443" w:rsidP="00F44443">
      <w:pPr>
        <w:pStyle w:val="Paragraph"/>
        <w:sectPr w:rsidR="00F44443" w:rsidRPr="00F44443" w:rsidSect="002B4F3E">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7004E4D5" w14:textId="24B06451" w:rsidR="007400D7" w:rsidRDefault="007400D7" w:rsidP="00373E7F">
      <w:pPr>
        <w:pStyle w:val="Heading1"/>
      </w:pPr>
      <w:bookmarkStart w:id="31" w:name="_Toc177990553"/>
      <w:bookmarkStart w:id="32" w:name="_Toc177994676"/>
      <w:bookmarkStart w:id="33" w:name="_Toc177995081"/>
      <w:bookmarkStart w:id="34" w:name="_Toc217393613"/>
      <w:bookmarkStart w:id="35" w:name="_Toc219153696"/>
      <w:bookmarkStart w:id="36" w:name="_Toc219480744"/>
      <w:bookmarkStart w:id="37" w:name="_Toc221097893"/>
      <w:bookmarkStart w:id="38" w:name="_Toc226454912"/>
      <w:r>
        <w:t>Contents</w:t>
      </w:r>
      <w:bookmarkEnd w:id="31"/>
      <w:bookmarkEnd w:id="32"/>
      <w:bookmarkEnd w:id="33"/>
      <w:bookmarkEnd w:id="34"/>
      <w:bookmarkEnd w:id="35"/>
      <w:bookmarkEnd w:id="36"/>
      <w:bookmarkEnd w:id="37"/>
      <w:bookmarkEnd w:id="38"/>
    </w:p>
    <w:sdt>
      <w:sdtPr>
        <w:rPr>
          <w:rFonts w:ascii="Arial" w:hAnsi="Arial" w:cs="Arial"/>
        </w:rPr>
        <w:id w:val="-1128930595"/>
        <w:docPartObj>
          <w:docPartGallery w:val="Table of Contents"/>
          <w:docPartUnique/>
        </w:docPartObj>
      </w:sdtPr>
      <w:sdtContent>
        <w:p w14:paraId="3681D4A8" w14:textId="1E8A8853" w:rsidR="001735A2" w:rsidRPr="00A6176E" w:rsidRDefault="00F93F21" w:rsidP="001735A2">
          <w:pPr>
            <w:pStyle w:val="TOC1"/>
            <w:tabs>
              <w:tab w:val="right" w:leader="dot" w:pos="8296"/>
            </w:tabs>
            <w:rPr>
              <w:rFonts w:ascii="Arial" w:eastAsiaTheme="minorEastAsia" w:hAnsi="Arial" w:cs="Arial"/>
              <w:noProof/>
              <w:kern w:val="2"/>
              <w:lang w:eastAsia="en-GB"/>
              <w14:ligatures w14:val="standardContextual"/>
            </w:rPr>
          </w:pPr>
          <w:r w:rsidRPr="1F61F7DD">
            <w:rPr>
              <w:rFonts w:ascii="Arial" w:hAnsi="Arial" w:cs="Arial"/>
            </w:rPr>
            <w:fldChar w:fldCharType="begin"/>
          </w:r>
          <w:r w:rsidRPr="00A6176E">
            <w:rPr>
              <w:rFonts w:ascii="Arial" w:hAnsi="Arial" w:cs="Arial"/>
            </w:rPr>
            <w:instrText xml:space="preserve"> TOC \o "1-3" \h \z \u </w:instrText>
          </w:r>
          <w:r w:rsidRPr="1F61F7DD">
            <w:rPr>
              <w:rFonts w:ascii="Arial" w:hAnsi="Arial" w:cs="Arial"/>
            </w:rPr>
            <w:fldChar w:fldCharType="separate"/>
          </w:r>
        </w:p>
        <w:p w14:paraId="2DC80CAC" w14:textId="5F85D85B"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13" w:history="1">
            <w:r w:rsidRPr="00A6176E">
              <w:rPr>
                <w:rStyle w:val="Hyperlink"/>
                <w:rFonts w:ascii="Arial" w:hAnsi="Arial" w:cs="Arial"/>
                <w:noProof/>
              </w:rPr>
              <w:t>1</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Purpose of the case studies</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_Toc226454913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3</w:t>
            </w:r>
            <w:r w:rsidRPr="00A6176E">
              <w:rPr>
                <w:rFonts w:ascii="Arial" w:hAnsi="Arial" w:cs="Arial"/>
                <w:noProof/>
                <w:webHidden/>
              </w:rPr>
              <w:fldChar w:fldCharType="end"/>
            </w:r>
          </w:hyperlink>
        </w:p>
        <w:p w14:paraId="6E9ADB94" w14:textId="5F70B76D"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14" w:history="1">
            <w:r w:rsidRPr="00A6176E">
              <w:rPr>
                <w:rStyle w:val="Hyperlink"/>
                <w:rFonts w:ascii="Arial" w:hAnsi="Arial" w:cs="Arial"/>
                <w:noProof/>
              </w:rPr>
              <w:t>2</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Case study 1: molecular radiotherapy</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_Toc226454914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3</w:t>
            </w:r>
            <w:r w:rsidRPr="00A6176E">
              <w:rPr>
                <w:rFonts w:ascii="Arial" w:hAnsi="Arial" w:cs="Arial"/>
                <w:noProof/>
                <w:webHidden/>
              </w:rPr>
              <w:fldChar w:fldCharType="end"/>
            </w:r>
          </w:hyperlink>
        </w:p>
        <w:p w14:paraId="45E6A657" w14:textId="7B070871" w:rsidR="001735A2" w:rsidRPr="00A6176E" w:rsidRDefault="001735A2">
          <w:pPr>
            <w:pStyle w:val="TOC2"/>
            <w:tabs>
              <w:tab w:val="right" w:leader="dot" w:pos="8296"/>
            </w:tabs>
            <w:rPr>
              <w:rFonts w:eastAsiaTheme="minorEastAsia" w:cs="Arial"/>
              <w:noProof/>
              <w:kern w:val="2"/>
              <w:lang w:eastAsia="en-GB"/>
              <w14:ligatures w14:val="standardContextual"/>
            </w:rPr>
          </w:pPr>
          <w:hyperlink w:anchor="_Toc226454915" w:history="1">
            <w:r w:rsidRPr="001735A2">
              <w:rPr>
                <w:rStyle w:val="Hyperlink"/>
                <w:rFonts w:cs="Arial"/>
                <w:noProof/>
              </w:rPr>
              <w:t>2.1 Rationale for selection</w:t>
            </w:r>
            <w:r w:rsidRPr="001735A2">
              <w:rPr>
                <w:rFonts w:cs="Arial"/>
                <w:noProof/>
                <w:webHidden/>
              </w:rPr>
              <w:tab/>
            </w:r>
            <w:r w:rsidRPr="001735A2">
              <w:rPr>
                <w:rFonts w:cs="Arial"/>
                <w:noProof/>
                <w:webHidden/>
              </w:rPr>
              <w:fldChar w:fldCharType="begin"/>
            </w:r>
            <w:r w:rsidRPr="001735A2">
              <w:rPr>
                <w:rFonts w:cs="Arial"/>
                <w:noProof/>
                <w:webHidden/>
              </w:rPr>
              <w:instrText xml:space="preserve"> PAGEREF _Toc226454915 \h </w:instrText>
            </w:r>
            <w:r w:rsidRPr="001735A2">
              <w:rPr>
                <w:rFonts w:cs="Arial"/>
                <w:noProof/>
                <w:webHidden/>
              </w:rPr>
            </w:r>
            <w:r w:rsidRPr="001735A2">
              <w:rPr>
                <w:rFonts w:cs="Arial"/>
                <w:noProof/>
                <w:webHidden/>
              </w:rPr>
              <w:fldChar w:fldCharType="separate"/>
            </w:r>
            <w:r w:rsidRPr="001735A2">
              <w:rPr>
                <w:rFonts w:cs="Arial"/>
                <w:noProof/>
                <w:webHidden/>
              </w:rPr>
              <w:t>3</w:t>
            </w:r>
            <w:r w:rsidRPr="001735A2">
              <w:rPr>
                <w:rFonts w:cs="Arial"/>
                <w:noProof/>
                <w:webHidden/>
              </w:rPr>
              <w:fldChar w:fldCharType="end"/>
            </w:r>
          </w:hyperlink>
        </w:p>
        <w:p w14:paraId="3C882EE6" w14:textId="24AD6605" w:rsidR="001735A2" w:rsidRPr="00A6176E" w:rsidRDefault="001735A2">
          <w:pPr>
            <w:pStyle w:val="TOC2"/>
            <w:tabs>
              <w:tab w:val="right" w:leader="dot" w:pos="8296"/>
            </w:tabs>
            <w:rPr>
              <w:rFonts w:eastAsiaTheme="minorEastAsia" w:cs="Arial"/>
              <w:noProof/>
              <w:kern w:val="2"/>
              <w:lang w:eastAsia="en-GB"/>
              <w14:ligatures w14:val="standardContextual"/>
            </w:rPr>
          </w:pPr>
          <w:hyperlink w:anchor="_Toc226454916" w:history="1">
            <w:r w:rsidRPr="001735A2">
              <w:rPr>
                <w:rStyle w:val="Hyperlink"/>
                <w:rFonts w:cs="Arial"/>
                <w:noProof/>
              </w:rPr>
              <w:t>2.2 Testing the taxonomy and preliminary recommendations in MRT</w:t>
            </w:r>
            <w:r w:rsidRPr="001735A2">
              <w:rPr>
                <w:rFonts w:cs="Arial"/>
                <w:noProof/>
                <w:webHidden/>
              </w:rPr>
              <w:tab/>
            </w:r>
            <w:r w:rsidRPr="001735A2">
              <w:rPr>
                <w:rFonts w:cs="Arial"/>
                <w:noProof/>
                <w:webHidden/>
              </w:rPr>
              <w:fldChar w:fldCharType="begin"/>
            </w:r>
            <w:r w:rsidRPr="001735A2">
              <w:rPr>
                <w:rFonts w:cs="Arial"/>
                <w:noProof/>
                <w:webHidden/>
              </w:rPr>
              <w:instrText xml:space="preserve"> PAGEREF _Toc226454916 \h </w:instrText>
            </w:r>
            <w:r w:rsidRPr="001735A2">
              <w:rPr>
                <w:rFonts w:cs="Arial"/>
                <w:noProof/>
                <w:webHidden/>
              </w:rPr>
            </w:r>
            <w:r w:rsidRPr="001735A2">
              <w:rPr>
                <w:rFonts w:cs="Arial"/>
                <w:noProof/>
                <w:webHidden/>
              </w:rPr>
              <w:fldChar w:fldCharType="separate"/>
            </w:r>
            <w:r w:rsidRPr="001735A2">
              <w:rPr>
                <w:rFonts w:cs="Arial"/>
                <w:noProof/>
                <w:webHidden/>
              </w:rPr>
              <w:t>4</w:t>
            </w:r>
            <w:r w:rsidRPr="001735A2">
              <w:rPr>
                <w:rFonts w:cs="Arial"/>
                <w:noProof/>
                <w:webHidden/>
              </w:rPr>
              <w:fldChar w:fldCharType="end"/>
            </w:r>
          </w:hyperlink>
        </w:p>
        <w:p w14:paraId="4F7BF87B" w14:textId="59FE3AB7"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17" w:history="1">
            <w:r w:rsidRPr="00A6176E">
              <w:rPr>
                <w:rStyle w:val="Hyperlink"/>
                <w:rFonts w:ascii="Arial" w:hAnsi="Arial" w:cs="Arial"/>
                <w:noProof/>
              </w:rPr>
              <w:t>3</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Case study 2: geographic atrophy</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_Toc226454917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11</w:t>
            </w:r>
            <w:r w:rsidRPr="00A6176E">
              <w:rPr>
                <w:rFonts w:ascii="Arial" w:hAnsi="Arial" w:cs="Arial"/>
                <w:noProof/>
                <w:webHidden/>
              </w:rPr>
              <w:fldChar w:fldCharType="end"/>
            </w:r>
          </w:hyperlink>
        </w:p>
        <w:p w14:paraId="61F87919" w14:textId="16940509" w:rsidR="001735A2" w:rsidRPr="00A6176E" w:rsidRDefault="001735A2">
          <w:pPr>
            <w:pStyle w:val="TOC2"/>
            <w:tabs>
              <w:tab w:val="right" w:leader="dot" w:pos="8296"/>
            </w:tabs>
            <w:rPr>
              <w:rFonts w:eastAsiaTheme="minorEastAsia" w:cs="Arial"/>
              <w:noProof/>
              <w:kern w:val="2"/>
              <w:lang w:eastAsia="en-GB"/>
              <w14:ligatures w14:val="standardContextual"/>
            </w:rPr>
          </w:pPr>
          <w:hyperlink w:anchor="_Toc226454918" w:history="1">
            <w:r w:rsidRPr="001735A2">
              <w:rPr>
                <w:rStyle w:val="Hyperlink"/>
                <w:rFonts w:cs="Arial"/>
                <w:noProof/>
              </w:rPr>
              <w:t>3.1 Rationale for selection</w:t>
            </w:r>
            <w:r w:rsidRPr="001735A2">
              <w:rPr>
                <w:rFonts w:cs="Arial"/>
                <w:noProof/>
                <w:webHidden/>
              </w:rPr>
              <w:tab/>
            </w:r>
            <w:r w:rsidRPr="001735A2">
              <w:rPr>
                <w:rFonts w:cs="Arial"/>
                <w:noProof/>
                <w:webHidden/>
              </w:rPr>
              <w:fldChar w:fldCharType="begin"/>
            </w:r>
            <w:r w:rsidRPr="001735A2">
              <w:rPr>
                <w:rFonts w:cs="Arial"/>
                <w:noProof/>
                <w:webHidden/>
              </w:rPr>
              <w:instrText xml:space="preserve"> PAGEREF _Toc226454918 \h </w:instrText>
            </w:r>
            <w:r w:rsidRPr="001735A2">
              <w:rPr>
                <w:rFonts w:cs="Arial"/>
                <w:noProof/>
                <w:webHidden/>
              </w:rPr>
            </w:r>
            <w:r w:rsidRPr="001735A2">
              <w:rPr>
                <w:rFonts w:cs="Arial"/>
                <w:noProof/>
                <w:webHidden/>
              </w:rPr>
              <w:fldChar w:fldCharType="separate"/>
            </w:r>
            <w:r w:rsidRPr="001735A2">
              <w:rPr>
                <w:rFonts w:cs="Arial"/>
                <w:noProof/>
                <w:webHidden/>
              </w:rPr>
              <w:t>11</w:t>
            </w:r>
            <w:r w:rsidRPr="001735A2">
              <w:rPr>
                <w:rFonts w:cs="Arial"/>
                <w:noProof/>
                <w:webHidden/>
              </w:rPr>
              <w:fldChar w:fldCharType="end"/>
            </w:r>
          </w:hyperlink>
        </w:p>
        <w:p w14:paraId="144A9BF0" w14:textId="44647DFF" w:rsidR="001735A2" w:rsidRPr="00A6176E" w:rsidRDefault="001735A2">
          <w:pPr>
            <w:pStyle w:val="TOC2"/>
            <w:tabs>
              <w:tab w:val="right" w:leader="dot" w:pos="8296"/>
            </w:tabs>
            <w:rPr>
              <w:rFonts w:eastAsiaTheme="minorEastAsia" w:cs="Arial"/>
              <w:noProof/>
              <w:kern w:val="2"/>
              <w:lang w:eastAsia="en-GB"/>
              <w14:ligatures w14:val="standardContextual"/>
            </w:rPr>
          </w:pPr>
          <w:hyperlink w:anchor="_Toc226454919" w:history="1">
            <w:r w:rsidRPr="001735A2">
              <w:rPr>
                <w:rStyle w:val="Hyperlink"/>
                <w:rFonts w:cs="Arial"/>
                <w:noProof/>
              </w:rPr>
              <w:t>3.2 Testing the taxonomy and preliminary recommendations in geographic atrophy</w:t>
            </w:r>
            <w:r w:rsidRPr="001735A2">
              <w:rPr>
                <w:rFonts w:cs="Arial"/>
                <w:noProof/>
                <w:webHidden/>
              </w:rPr>
              <w:tab/>
            </w:r>
            <w:r w:rsidRPr="001735A2">
              <w:rPr>
                <w:rFonts w:cs="Arial"/>
                <w:noProof/>
                <w:webHidden/>
              </w:rPr>
              <w:fldChar w:fldCharType="begin"/>
            </w:r>
            <w:r w:rsidRPr="001735A2">
              <w:rPr>
                <w:rFonts w:cs="Arial"/>
                <w:noProof/>
                <w:webHidden/>
              </w:rPr>
              <w:instrText xml:space="preserve"> PAGEREF _Toc226454919 \h </w:instrText>
            </w:r>
            <w:r w:rsidRPr="001735A2">
              <w:rPr>
                <w:rFonts w:cs="Arial"/>
                <w:noProof/>
                <w:webHidden/>
              </w:rPr>
            </w:r>
            <w:r w:rsidRPr="001735A2">
              <w:rPr>
                <w:rFonts w:cs="Arial"/>
                <w:noProof/>
                <w:webHidden/>
              </w:rPr>
              <w:fldChar w:fldCharType="separate"/>
            </w:r>
            <w:r w:rsidRPr="001735A2">
              <w:rPr>
                <w:rFonts w:cs="Arial"/>
                <w:noProof/>
                <w:webHidden/>
              </w:rPr>
              <w:t>12</w:t>
            </w:r>
            <w:r w:rsidRPr="001735A2">
              <w:rPr>
                <w:rFonts w:cs="Arial"/>
                <w:noProof/>
                <w:webHidden/>
              </w:rPr>
              <w:fldChar w:fldCharType="end"/>
            </w:r>
          </w:hyperlink>
        </w:p>
        <w:p w14:paraId="0D4CF03A" w14:textId="3560C455"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20" w:history="1">
            <w:r w:rsidRPr="00A6176E">
              <w:rPr>
                <w:rStyle w:val="Hyperlink"/>
                <w:rFonts w:ascii="Arial" w:hAnsi="Arial" w:cs="Arial"/>
                <w:noProof/>
              </w:rPr>
              <w:t>4</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Evaluating the appropriateness of our recommendations through the case studies</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_Toc226454920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17</w:t>
            </w:r>
            <w:r w:rsidRPr="00A6176E">
              <w:rPr>
                <w:rFonts w:ascii="Arial" w:hAnsi="Arial" w:cs="Arial"/>
                <w:noProof/>
                <w:webHidden/>
              </w:rPr>
              <w:fldChar w:fldCharType="end"/>
            </w:r>
          </w:hyperlink>
        </w:p>
        <w:p w14:paraId="5BA890B9" w14:textId="53BF3987"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21" w:history="1">
            <w:r w:rsidRPr="00A6176E">
              <w:rPr>
                <w:rStyle w:val="Hyperlink"/>
                <w:rFonts w:ascii="Arial" w:hAnsi="Arial" w:cs="Arial"/>
                <w:noProof/>
              </w:rPr>
              <w:t>5</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Proposed approaches to using findings from case studies</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_Toc226454921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18</w:t>
            </w:r>
            <w:r w:rsidRPr="00A6176E">
              <w:rPr>
                <w:rFonts w:ascii="Arial" w:hAnsi="Arial" w:cs="Arial"/>
                <w:noProof/>
                <w:webHidden/>
              </w:rPr>
              <w:fldChar w:fldCharType="end"/>
            </w:r>
          </w:hyperlink>
        </w:p>
        <w:p w14:paraId="6CC4F720" w14:textId="531EE363"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22" w:history="1">
            <w:r w:rsidRPr="00A6176E">
              <w:rPr>
                <w:rStyle w:val="Hyperlink"/>
                <w:rFonts w:ascii="Arial" w:hAnsi="Arial" w:cs="Arial"/>
                <w:noProof/>
              </w:rPr>
              <w:t>6</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Conclusion</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_Toc226454922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18</w:t>
            </w:r>
            <w:r w:rsidRPr="00A6176E">
              <w:rPr>
                <w:rFonts w:ascii="Arial" w:hAnsi="Arial" w:cs="Arial"/>
                <w:noProof/>
                <w:webHidden/>
              </w:rPr>
              <w:fldChar w:fldCharType="end"/>
            </w:r>
          </w:hyperlink>
        </w:p>
        <w:p w14:paraId="5B49725F" w14:textId="7EC65619" w:rsidR="001735A2" w:rsidRPr="00A6176E" w:rsidRDefault="001735A2">
          <w:pPr>
            <w:pStyle w:val="TOC1"/>
            <w:tabs>
              <w:tab w:val="left" w:pos="480"/>
              <w:tab w:val="right" w:leader="dot" w:pos="8296"/>
            </w:tabs>
            <w:rPr>
              <w:rFonts w:ascii="Arial" w:eastAsiaTheme="minorEastAsia" w:hAnsi="Arial" w:cs="Arial"/>
              <w:noProof/>
              <w:kern w:val="2"/>
              <w:lang w:eastAsia="en-GB"/>
              <w14:ligatures w14:val="standardContextual"/>
            </w:rPr>
          </w:pPr>
          <w:hyperlink w:anchor="_Toc226454923" w:history="1">
            <w:r w:rsidRPr="00A6176E">
              <w:rPr>
                <w:rStyle w:val="Hyperlink"/>
                <w:rFonts w:ascii="Arial" w:hAnsi="Arial" w:cs="Arial"/>
                <w:noProof/>
              </w:rPr>
              <w:t>7</w:t>
            </w:r>
            <w:r w:rsidRPr="00A6176E">
              <w:rPr>
                <w:rFonts w:ascii="Arial" w:eastAsiaTheme="minorEastAsia" w:hAnsi="Arial" w:cs="Arial"/>
                <w:noProof/>
                <w:kern w:val="2"/>
                <w:lang w:eastAsia="en-GB"/>
                <w14:ligatures w14:val="standardContextual"/>
              </w:rPr>
              <w:tab/>
            </w:r>
            <w:r w:rsidRPr="00A6176E">
              <w:rPr>
                <w:rStyle w:val="Hyperlink"/>
                <w:rFonts w:ascii="Arial" w:hAnsi="Arial" w:cs="Arial"/>
                <w:noProof/>
              </w:rPr>
              <w:t>References</w:t>
            </w:r>
            <w:r w:rsidRPr="00A6176E">
              <w:rPr>
                <w:rFonts w:ascii="Arial" w:hAnsi="Arial" w:cs="Arial"/>
                <w:noProof/>
                <w:webHidden/>
              </w:rPr>
              <w:tab/>
            </w:r>
            <w:r w:rsidRPr="00A6176E">
              <w:rPr>
                <w:rFonts w:ascii="Arial" w:hAnsi="Arial" w:cs="Arial"/>
                <w:noProof/>
                <w:webHidden/>
              </w:rPr>
              <w:fldChar w:fldCharType="begin"/>
            </w:r>
            <w:r w:rsidRPr="00A6176E">
              <w:rPr>
                <w:rFonts w:ascii="Arial" w:hAnsi="Arial" w:cs="Arial"/>
                <w:noProof/>
                <w:webHidden/>
              </w:rPr>
              <w:instrText xml:space="preserve"> PAGEREF _Toc226454923 \h </w:instrText>
            </w:r>
            <w:r w:rsidRPr="00A6176E">
              <w:rPr>
                <w:rFonts w:ascii="Arial" w:hAnsi="Arial" w:cs="Arial"/>
                <w:noProof/>
                <w:webHidden/>
              </w:rPr>
            </w:r>
            <w:r w:rsidRPr="00A6176E">
              <w:rPr>
                <w:rFonts w:ascii="Arial" w:hAnsi="Arial" w:cs="Arial"/>
                <w:noProof/>
                <w:webHidden/>
              </w:rPr>
              <w:fldChar w:fldCharType="separate"/>
            </w:r>
            <w:r w:rsidRPr="00A6176E">
              <w:rPr>
                <w:rFonts w:ascii="Arial" w:hAnsi="Arial" w:cs="Arial"/>
                <w:noProof/>
                <w:webHidden/>
              </w:rPr>
              <w:t>19</w:t>
            </w:r>
            <w:r w:rsidRPr="00A6176E">
              <w:rPr>
                <w:rFonts w:ascii="Arial" w:hAnsi="Arial" w:cs="Arial"/>
                <w:noProof/>
                <w:webHidden/>
              </w:rPr>
              <w:fldChar w:fldCharType="end"/>
            </w:r>
          </w:hyperlink>
        </w:p>
        <w:p w14:paraId="027CA6BB" w14:textId="319DFFD5" w:rsidR="007400D7" w:rsidRDefault="00F93F21" w:rsidP="1F61F7DD">
          <w:pPr>
            <w:pStyle w:val="Bulletleft1last"/>
            <w:numPr>
              <w:ilvl w:val="0"/>
              <w:numId w:val="0"/>
            </w:numPr>
            <w:ind w:left="284"/>
          </w:pPr>
          <w:r w:rsidRPr="1F61F7DD">
            <w:rPr>
              <w:b/>
              <w:bCs/>
              <w:noProof/>
            </w:rPr>
            <w:fldChar w:fldCharType="end"/>
          </w:r>
        </w:p>
      </w:sdtContent>
    </w:sdt>
    <w:p w14:paraId="3F490E6B" w14:textId="77777777" w:rsidR="00F93F21" w:rsidRDefault="00F93F21" w:rsidP="00F93F21">
      <w:pPr>
        <w:pStyle w:val="NICEnormal"/>
      </w:pPr>
    </w:p>
    <w:p w14:paraId="3EF041FA" w14:textId="77777777" w:rsidR="00F93F21" w:rsidRDefault="00F93F21" w:rsidP="006E462F">
      <w:pPr>
        <w:pStyle w:val="Paragraph"/>
        <w:sectPr w:rsidR="00F93F21" w:rsidSect="002B4F3E">
          <w:headerReference w:type="default" r:id="rId12"/>
          <w:pgSz w:w="11906" w:h="16838"/>
          <w:pgMar w:top="1440" w:right="1800" w:bottom="1440" w:left="1800" w:header="708" w:footer="708" w:gutter="0"/>
          <w:cols w:space="708"/>
          <w:docGrid w:linePitch="360"/>
        </w:sectPr>
      </w:pPr>
    </w:p>
    <w:p w14:paraId="35E48CD1" w14:textId="3F109685" w:rsidR="00C41A0D" w:rsidRDefault="00DE4F00" w:rsidP="0095279F">
      <w:pPr>
        <w:pStyle w:val="Numberedheading1"/>
      </w:pPr>
      <w:bookmarkStart w:id="39" w:name="_Toc226454913"/>
      <w:r>
        <w:t>P</w:t>
      </w:r>
      <w:r w:rsidR="00282974">
        <w:t>urpose of the case studies</w:t>
      </w:r>
      <w:bookmarkEnd w:id="39"/>
    </w:p>
    <w:p w14:paraId="39451A92" w14:textId="5EB58145" w:rsidR="001F021F" w:rsidRDefault="001F021F" w:rsidP="00282974">
      <w:pPr>
        <w:pStyle w:val="Paragraph"/>
      </w:pPr>
      <w:r>
        <w:t>This appendix outlines the case studies e</w:t>
      </w:r>
      <w:r w:rsidR="0024173D">
        <w:t xml:space="preserve">xplored in the project and informed by the stakeholder engagement outlined in </w:t>
      </w:r>
      <w:r w:rsidR="008607A5">
        <w:t>appendix F.</w:t>
      </w:r>
    </w:p>
    <w:p w14:paraId="61EE91FD" w14:textId="22719F26" w:rsidR="0023166F" w:rsidRDefault="00282974" w:rsidP="00282974">
      <w:pPr>
        <w:pStyle w:val="Paragraph"/>
      </w:pPr>
      <w:r>
        <w:t xml:space="preserve">The purpose of the case studies </w:t>
      </w:r>
      <w:r w:rsidR="001F021F">
        <w:t>was</w:t>
      </w:r>
      <w:r w:rsidR="004A15FA">
        <w:t xml:space="preserve"> to</w:t>
      </w:r>
      <w:r w:rsidR="001F021F">
        <w:t>:</w:t>
      </w:r>
    </w:p>
    <w:p w14:paraId="3E9D615A" w14:textId="04AF0817" w:rsidR="0023166F" w:rsidRDefault="00282974" w:rsidP="002E2AAD">
      <w:pPr>
        <w:pStyle w:val="Bulletleft1"/>
      </w:pPr>
      <w:r>
        <w:t>pilot the taxonomy of implementation costs developed as part of the HTA Lab project</w:t>
      </w:r>
    </w:p>
    <w:p w14:paraId="4CFE47FF" w14:textId="49F03EFF" w:rsidR="006E6625" w:rsidRDefault="00282974" w:rsidP="002E2AAD">
      <w:pPr>
        <w:pStyle w:val="Bulletleft1last"/>
      </w:pPr>
      <w:r>
        <w:t xml:space="preserve">assess the appropriateness of </w:t>
      </w:r>
      <w:r w:rsidR="004B1A44">
        <w:t xml:space="preserve">the </w:t>
      </w:r>
      <w:r>
        <w:t>recommendations.</w:t>
      </w:r>
    </w:p>
    <w:bookmarkStart w:id="40" w:name="_Toc226454914"/>
    <w:p w14:paraId="127EA055" w14:textId="131B26AA" w:rsidR="002B66B6" w:rsidRPr="00F93F21" w:rsidRDefault="00000000" w:rsidP="00F93F21">
      <w:pPr>
        <w:pStyle w:val="Numberedheading1"/>
      </w:pPr>
      <w:sdt>
        <w:sdtPr>
          <w:id w:val="1371190021"/>
          <w:placeholder>
            <w:docPart w:val="FB7A5EF0EE184221BB11A440B2A509AE"/>
          </w:placeholder>
          <w:text/>
        </w:sdtPr>
        <w:sdtContent>
          <w:r w:rsidR="00454EAB">
            <w:t>Case study 1: molecular radiotherapy</w:t>
          </w:r>
        </w:sdtContent>
      </w:sdt>
      <w:bookmarkEnd w:id="40"/>
    </w:p>
    <w:p w14:paraId="566C4B69" w14:textId="4E88E18F" w:rsidR="004566D2" w:rsidRPr="00126D7E" w:rsidRDefault="00454EAB" w:rsidP="00E22299">
      <w:pPr>
        <w:pStyle w:val="Numberedheading2"/>
      </w:pPr>
      <w:bookmarkStart w:id="41" w:name="_Toc226454915"/>
      <w:bookmarkStart w:id="42" w:name="_Hlk217325739"/>
      <w:r w:rsidRPr="19388D11">
        <w:t>Rationale for selection</w:t>
      </w:r>
      <w:bookmarkEnd w:id="41"/>
    </w:p>
    <w:bookmarkEnd w:id="42"/>
    <w:p w14:paraId="3659135A" w14:textId="7BD96E7F" w:rsidR="00EA08BB" w:rsidRPr="00EA08BB" w:rsidRDefault="00393C97" w:rsidP="00B74E90">
      <w:pPr>
        <w:pStyle w:val="Paragraph"/>
        <w:rPr>
          <w:rFonts w:eastAsia="MS Mincho" w:cs="Arial"/>
          <w:lang w:eastAsia="ja-JP"/>
        </w:rPr>
      </w:pPr>
      <w:r>
        <w:t>The first case study</w:t>
      </w:r>
      <w:r w:rsidR="00331545">
        <w:t xml:space="preserve"> selected was </w:t>
      </w:r>
      <w:r w:rsidR="00F50EE7">
        <w:rPr>
          <w:rFonts w:eastAsia="MS Mincho" w:cs="Arial"/>
          <w:lang w:eastAsia="ja-JP"/>
        </w:rPr>
        <w:t>mo</w:t>
      </w:r>
      <w:r w:rsidR="00EA08BB" w:rsidRPr="00EA08BB">
        <w:rPr>
          <w:rFonts w:eastAsia="MS Mincho" w:cs="Arial"/>
          <w:lang w:eastAsia="ja-JP"/>
        </w:rPr>
        <w:t xml:space="preserve">lecular radiotherapy (MRT), also known as radioligand therapy, radionuclide </w:t>
      </w:r>
      <w:r w:rsidR="00E438F9" w:rsidRPr="00EA08BB">
        <w:rPr>
          <w:rFonts w:eastAsia="MS Mincho" w:cs="Arial"/>
          <w:lang w:eastAsia="ja-JP"/>
        </w:rPr>
        <w:t>therapy</w:t>
      </w:r>
      <w:r w:rsidR="00EA08BB" w:rsidRPr="00EA08BB">
        <w:rPr>
          <w:rFonts w:eastAsia="MS Mincho" w:cs="Arial"/>
          <w:lang w:eastAsia="ja-JP"/>
        </w:rPr>
        <w:t xml:space="preserve"> or nuclear medicine therapy</w:t>
      </w:r>
      <w:r w:rsidR="00126D7E">
        <w:rPr>
          <w:rFonts w:eastAsia="MS Mincho" w:cs="Arial"/>
          <w:lang w:eastAsia="ja-JP"/>
        </w:rPr>
        <w:t>. It</w:t>
      </w:r>
      <w:r w:rsidR="00EA08BB" w:rsidRPr="00EA08BB">
        <w:rPr>
          <w:rFonts w:eastAsia="MS Mincho" w:cs="Arial"/>
          <w:lang w:eastAsia="ja-JP"/>
        </w:rPr>
        <w:t xml:space="preserve"> is composed of </w:t>
      </w:r>
      <w:r w:rsidR="00800279">
        <w:rPr>
          <w:rFonts w:eastAsia="MS Mincho" w:cs="Arial"/>
          <w:lang w:eastAsia="ja-JP"/>
        </w:rPr>
        <w:t>2</w:t>
      </w:r>
      <w:r w:rsidR="00800279" w:rsidRPr="00EA08BB">
        <w:rPr>
          <w:rFonts w:eastAsia="MS Mincho" w:cs="Arial"/>
          <w:lang w:eastAsia="ja-JP"/>
        </w:rPr>
        <w:t xml:space="preserve"> </w:t>
      </w:r>
      <w:r w:rsidR="00EA08BB" w:rsidRPr="00EA08BB">
        <w:rPr>
          <w:rFonts w:eastAsia="MS Mincho" w:cs="Arial"/>
          <w:lang w:eastAsia="ja-JP"/>
        </w:rPr>
        <w:t>parts</w:t>
      </w:r>
      <w:r w:rsidR="00126D7E">
        <w:rPr>
          <w:rFonts w:eastAsia="MS Mincho" w:cs="Arial"/>
          <w:lang w:eastAsia="ja-JP"/>
        </w:rPr>
        <w:t xml:space="preserve">; a cancer targeting ligand and a radioactive substance </w:t>
      </w:r>
      <w:r w:rsidR="00EA08BB" w:rsidRPr="00EA08BB">
        <w:rPr>
          <w:rFonts w:eastAsia="MS Mincho" w:cs="Arial"/>
          <w:lang w:eastAsia="ja-JP"/>
        </w:rPr>
        <w:t>(</w:t>
      </w:r>
      <w:r w:rsidR="007B4484">
        <w:rPr>
          <w:rFonts w:eastAsia="MS Mincho" w:cs="Arial"/>
          <w:lang w:eastAsia="ja-JP"/>
        </w:rPr>
        <w:t xml:space="preserve">see </w:t>
      </w:r>
      <w:hyperlink r:id="rId13">
        <w:r w:rsidR="006A6ED8" w:rsidRPr="002E2AAD">
          <w:rPr>
            <w:rStyle w:val="Hyperlink"/>
            <w:rFonts w:eastAsia="MS Mincho"/>
          </w:rPr>
          <w:t>The Health Policy Partnership</w:t>
        </w:r>
        <w:r w:rsidR="00996AA1" w:rsidRPr="002E2AAD">
          <w:rPr>
            <w:rStyle w:val="Hyperlink"/>
            <w:rFonts w:eastAsia="MS Mincho"/>
          </w:rPr>
          <w:t xml:space="preserve"> Health system readiness report</w:t>
        </w:r>
        <w:r w:rsidR="006A6ED8" w:rsidRPr="002E2AAD">
          <w:rPr>
            <w:rStyle w:val="Hyperlink"/>
            <w:rFonts w:eastAsia="MS Mincho"/>
          </w:rPr>
          <w:t xml:space="preserve"> [PDF only]</w:t>
        </w:r>
      </w:hyperlink>
      <w:r w:rsidR="00EA08BB" w:rsidRPr="00EA08BB">
        <w:rPr>
          <w:rFonts w:eastAsia="MS Mincho" w:cs="Arial"/>
          <w:lang w:eastAsia="ja-JP"/>
        </w:rPr>
        <w:t>)</w:t>
      </w:r>
      <w:r w:rsidR="0089752D">
        <w:rPr>
          <w:rFonts w:eastAsia="MS Mincho" w:cs="Arial"/>
          <w:lang w:eastAsia="ja-JP"/>
        </w:rPr>
        <w:t>.</w:t>
      </w:r>
    </w:p>
    <w:p w14:paraId="3F86118D" w14:textId="7744D50F" w:rsidR="00EA08BB" w:rsidRPr="00F50EE7" w:rsidRDefault="00EA08BB" w:rsidP="002E2AAD">
      <w:pPr>
        <w:pStyle w:val="NICEnormal"/>
        <w:rPr>
          <w:rFonts w:eastAsia="MS Mincho"/>
          <w:lang w:eastAsia="ja-JP"/>
        </w:rPr>
      </w:pPr>
      <w:r w:rsidRPr="19388D11">
        <w:rPr>
          <w:rFonts w:eastAsia="MS Mincho"/>
          <w:lang w:eastAsia="ja-JP"/>
        </w:rPr>
        <w:t>MRT</w:t>
      </w:r>
      <w:r w:rsidR="00126D7E" w:rsidRPr="19388D11">
        <w:rPr>
          <w:rFonts w:eastAsia="MS Mincho"/>
          <w:lang w:eastAsia="ja-JP"/>
        </w:rPr>
        <w:t>s</w:t>
      </w:r>
      <w:r w:rsidRPr="19388D11">
        <w:rPr>
          <w:rFonts w:eastAsia="MS Mincho"/>
          <w:lang w:eastAsia="ja-JP"/>
        </w:rPr>
        <w:t xml:space="preserve"> deliver radiation directly to cancer cells</w:t>
      </w:r>
      <w:r w:rsidR="006A6ED8">
        <w:rPr>
          <w:rFonts w:eastAsia="MS Mincho"/>
          <w:lang w:eastAsia="ja-JP"/>
        </w:rPr>
        <w:t>.</w:t>
      </w:r>
      <w:r w:rsidRPr="19388D11">
        <w:rPr>
          <w:rFonts w:eastAsia="MS Mincho"/>
          <w:lang w:eastAsia="ja-JP"/>
        </w:rPr>
        <w:t xml:space="preserve"> </w:t>
      </w:r>
      <w:r w:rsidR="006A6ED8">
        <w:rPr>
          <w:rFonts w:eastAsia="MS Mincho"/>
          <w:lang w:eastAsia="ja-JP"/>
        </w:rPr>
        <w:t>MRT</w:t>
      </w:r>
      <w:r w:rsidRPr="19388D11">
        <w:rPr>
          <w:rFonts w:eastAsia="MS Mincho"/>
          <w:lang w:eastAsia="ja-JP"/>
        </w:rPr>
        <w:t xml:space="preserve">s </w:t>
      </w:r>
      <w:r w:rsidR="006A6ED8">
        <w:rPr>
          <w:rFonts w:eastAsia="MS Mincho"/>
          <w:lang w:eastAsia="ja-JP"/>
        </w:rPr>
        <w:t xml:space="preserve">are </w:t>
      </w:r>
      <w:r w:rsidR="00333933">
        <w:rPr>
          <w:rFonts w:eastAsia="MS Mincho"/>
          <w:lang w:eastAsia="ja-JP"/>
        </w:rPr>
        <w:t xml:space="preserve">currently </w:t>
      </w:r>
      <w:r w:rsidRPr="19388D11">
        <w:rPr>
          <w:rFonts w:eastAsia="MS Mincho"/>
          <w:lang w:eastAsia="ja-JP"/>
        </w:rPr>
        <w:t>licensed for tumour types</w:t>
      </w:r>
      <w:r w:rsidR="006A6ED8">
        <w:rPr>
          <w:rFonts w:eastAsia="MS Mincho"/>
          <w:lang w:eastAsia="ja-JP"/>
        </w:rPr>
        <w:t xml:space="preserve"> </w:t>
      </w:r>
      <w:r w:rsidRPr="19388D11">
        <w:rPr>
          <w:rFonts w:eastAsia="MS Mincho"/>
          <w:lang w:eastAsia="ja-JP"/>
        </w:rPr>
        <w:t>including neuroendocrine tumours</w:t>
      </w:r>
      <w:r w:rsidR="006A6ED8">
        <w:rPr>
          <w:rFonts w:eastAsia="MS Mincho"/>
          <w:lang w:eastAsia="ja-JP"/>
        </w:rPr>
        <w:t xml:space="preserve"> and</w:t>
      </w:r>
      <w:r w:rsidR="00775065" w:rsidRPr="19388D11">
        <w:rPr>
          <w:rFonts w:eastAsia="MS Mincho"/>
          <w:lang w:eastAsia="ja-JP"/>
        </w:rPr>
        <w:t xml:space="preserve"> prostate </w:t>
      </w:r>
      <w:r w:rsidR="00E438F9" w:rsidRPr="19388D11">
        <w:rPr>
          <w:rFonts w:eastAsia="MS Mincho"/>
          <w:lang w:eastAsia="ja-JP"/>
        </w:rPr>
        <w:t>cancer</w:t>
      </w:r>
      <w:r w:rsidRPr="19388D11">
        <w:rPr>
          <w:rFonts w:eastAsia="MS Mincho"/>
          <w:lang w:eastAsia="ja-JP"/>
        </w:rPr>
        <w:t xml:space="preserve">. So far, NICE has recommended </w:t>
      </w:r>
      <w:r w:rsidR="006A6ED8">
        <w:rPr>
          <w:rFonts w:eastAsia="MS Mincho"/>
          <w:lang w:eastAsia="ja-JP"/>
        </w:rPr>
        <w:t>1</w:t>
      </w:r>
      <w:r w:rsidR="006A6ED8" w:rsidRPr="19388D11">
        <w:rPr>
          <w:rFonts w:eastAsia="MS Mincho"/>
          <w:lang w:eastAsia="ja-JP"/>
        </w:rPr>
        <w:t xml:space="preserve"> </w:t>
      </w:r>
      <w:r w:rsidRPr="19388D11">
        <w:rPr>
          <w:rFonts w:eastAsia="MS Mincho"/>
          <w:lang w:eastAsia="ja-JP"/>
        </w:rPr>
        <w:t>MRT</w:t>
      </w:r>
      <w:r w:rsidR="006A6ED8">
        <w:rPr>
          <w:rFonts w:eastAsia="MS Mincho"/>
          <w:lang w:eastAsia="ja-JP"/>
        </w:rPr>
        <w:t xml:space="preserve">. See </w:t>
      </w:r>
      <w:hyperlink r:id="rId14" w:history="1">
        <w:r w:rsidR="006A6ED8" w:rsidRPr="00333933">
          <w:rPr>
            <w:rStyle w:val="Hyperlink"/>
            <w:rFonts w:eastAsia="MS Mincho" w:cs="Arial"/>
            <w:lang w:eastAsia="ja-JP"/>
          </w:rPr>
          <w:t>NICE’s technology appraisal guidance on</w:t>
        </w:r>
        <w:r w:rsidR="00333933" w:rsidRPr="00333933">
          <w:rPr>
            <w:rStyle w:val="Hyperlink"/>
            <w:rFonts w:eastAsia="MS Mincho" w:cs="Arial"/>
            <w:lang w:eastAsia="ja-JP"/>
          </w:rPr>
          <w:t xml:space="preserve"> lutetium (177Lu) oxodotreotide for treating unresectable or metastatic neuroendocrine tumours</w:t>
        </w:r>
      </w:hyperlink>
      <w:r w:rsidR="00333933">
        <w:rPr>
          <w:rFonts w:eastAsia="MS Mincho"/>
          <w:lang w:eastAsia="ja-JP"/>
        </w:rPr>
        <w:t xml:space="preserve">. </w:t>
      </w:r>
      <w:r w:rsidR="00333933" w:rsidRPr="002E2AAD">
        <w:rPr>
          <w:rFonts w:eastAsia="MS Mincho"/>
        </w:rPr>
        <w:t xml:space="preserve">MRTs </w:t>
      </w:r>
      <w:r w:rsidR="00333933">
        <w:rPr>
          <w:rFonts w:eastAsia="MS Mincho"/>
          <w:lang w:eastAsia="ja-JP"/>
        </w:rPr>
        <w:t xml:space="preserve">are expected to </w:t>
      </w:r>
      <w:r w:rsidRPr="19388D11">
        <w:rPr>
          <w:rFonts w:eastAsia="MS Mincho"/>
          <w:lang w:eastAsia="ja-JP"/>
        </w:rPr>
        <w:t>expand to other cancer types in the coming years</w:t>
      </w:r>
      <w:r w:rsidR="00E438F9" w:rsidRPr="19388D11">
        <w:rPr>
          <w:rFonts w:eastAsia="MS Mincho"/>
          <w:lang w:eastAsia="ja-JP"/>
        </w:rPr>
        <w:t>.</w:t>
      </w:r>
    </w:p>
    <w:p w14:paraId="1BE3E585" w14:textId="06D69973" w:rsidR="00C06B8A" w:rsidRPr="00C06B8A" w:rsidRDefault="00C06B8A" w:rsidP="00E22299">
      <w:pPr>
        <w:pStyle w:val="Paragraph"/>
        <w:rPr>
          <w:rFonts w:eastAsia="MS Mincho"/>
          <w:lang w:eastAsia="ja-JP"/>
        </w:rPr>
      </w:pPr>
      <w:r w:rsidRPr="00C06B8A">
        <w:rPr>
          <w:rFonts w:eastAsia="MS Mincho"/>
          <w:lang w:eastAsia="ja-JP"/>
        </w:rPr>
        <w:t>In July 2025, the horizon scanning team at NICE analys</w:t>
      </w:r>
      <w:r w:rsidR="00827424">
        <w:rPr>
          <w:rFonts w:eastAsia="MS Mincho"/>
          <w:lang w:eastAsia="ja-JP"/>
        </w:rPr>
        <w:t>ed</w:t>
      </w:r>
      <w:r w:rsidRPr="00C06B8A">
        <w:rPr>
          <w:rFonts w:eastAsia="MS Mincho"/>
          <w:lang w:eastAsia="ja-JP"/>
        </w:rPr>
        <w:t xml:space="preserve"> the pipeline of </w:t>
      </w:r>
      <w:r w:rsidR="00827424">
        <w:rPr>
          <w:rFonts w:eastAsia="MS Mincho"/>
          <w:lang w:eastAsia="ja-JP"/>
        </w:rPr>
        <w:t>MRT</w:t>
      </w:r>
      <w:r w:rsidRPr="00C06B8A">
        <w:rPr>
          <w:rFonts w:eastAsia="MS Mincho"/>
          <w:lang w:eastAsia="ja-JP"/>
        </w:rPr>
        <w:t xml:space="preserve">s. The analysis </w:t>
      </w:r>
      <w:r w:rsidR="00827424">
        <w:rPr>
          <w:rFonts w:eastAsia="MS Mincho"/>
          <w:lang w:eastAsia="ja-JP"/>
        </w:rPr>
        <w:t>found</w:t>
      </w:r>
      <w:r w:rsidR="00827424" w:rsidRPr="00C06B8A">
        <w:rPr>
          <w:rFonts w:eastAsia="MS Mincho"/>
          <w:lang w:eastAsia="ja-JP"/>
        </w:rPr>
        <w:t xml:space="preserve"> </w:t>
      </w:r>
      <w:r w:rsidRPr="00C06B8A">
        <w:rPr>
          <w:rFonts w:eastAsia="MS Mincho"/>
          <w:lang w:eastAsia="ja-JP"/>
        </w:rPr>
        <w:t xml:space="preserve">that over 60 treatments were being investigated in clinical trials </w:t>
      </w:r>
      <w:r w:rsidR="0067630D">
        <w:rPr>
          <w:rFonts w:eastAsia="MS Mincho"/>
          <w:lang w:eastAsia="ja-JP"/>
        </w:rPr>
        <w:t>at</w:t>
      </w:r>
      <w:r w:rsidRPr="00C06B8A">
        <w:rPr>
          <w:rFonts w:eastAsia="MS Mincho"/>
          <w:lang w:eastAsia="ja-JP"/>
        </w:rPr>
        <w:t xml:space="preserve"> different phases of development. Of those, 7 assets were in phase </w:t>
      </w:r>
      <w:r w:rsidR="00617BBA">
        <w:rPr>
          <w:rFonts w:eastAsia="MS Mincho"/>
          <w:lang w:eastAsia="ja-JP"/>
        </w:rPr>
        <w:t>3</w:t>
      </w:r>
      <w:r w:rsidR="00C653FB" w:rsidRPr="00C06B8A">
        <w:rPr>
          <w:rFonts w:eastAsia="MS Mincho"/>
          <w:lang w:eastAsia="ja-JP"/>
        </w:rPr>
        <w:t xml:space="preserve"> </w:t>
      </w:r>
      <w:r w:rsidRPr="00C06B8A">
        <w:rPr>
          <w:rFonts w:eastAsia="MS Mincho"/>
          <w:lang w:eastAsia="ja-JP"/>
        </w:rPr>
        <w:t xml:space="preserve">trials, 16 in phase </w:t>
      </w:r>
      <w:r w:rsidR="00C653FB">
        <w:rPr>
          <w:rFonts w:eastAsia="MS Mincho"/>
          <w:lang w:eastAsia="ja-JP"/>
        </w:rPr>
        <w:t>2</w:t>
      </w:r>
      <w:r w:rsidR="00C653FB" w:rsidRPr="00C06B8A">
        <w:rPr>
          <w:rFonts w:eastAsia="MS Mincho"/>
          <w:lang w:eastAsia="ja-JP"/>
        </w:rPr>
        <w:t xml:space="preserve"> </w:t>
      </w:r>
      <w:r w:rsidRPr="00C06B8A">
        <w:rPr>
          <w:rFonts w:eastAsia="MS Mincho"/>
          <w:lang w:eastAsia="ja-JP"/>
        </w:rPr>
        <w:t xml:space="preserve">and the rest in phase </w:t>
      </w:r>
      <w:r w:rsidR="00C653FB">
        <w:rPr>
          <w:rFonts w:eastAsia="MS Mincho"/>
          <w:lang w:eastAsia="ja-JP"/>
        </w:rPr>
        <w:t>1</w:t>
      </w:r>
      <w:r w:rsidRPr="00C06B8A">
        <w:rPr>
          <w:rFonts w:eastAsia="MS Mincho"/>
          <w:lang w:eastAsia="ja-JP"/>
        </w:rPr>
        <w:t>.</w:t>
      </w:r>
    </w:p>
    <w:p w14:paraId="10E8D93D" w14:textId="2EAB08B1" w:rsidR="00C06B8A" w:rsidRPr="00C06B8A" w:rsidRDefault="00161A8C" w:rsidP="00E22299">
      <w:pPr>
        <w:pStyle w:val="Paragraph"/>
        <w:rPr>
          <w:rFonts w:eastAsia="MS Mincho"/>
          <w:lang w:eastAsia="ja-JP"/>
        </w:rPr>
      </w:pPr>
      <w:r>
        <w:rPr>
          <w:rFonts w:eastAsia="MS Mincho"/>
          <w:lang w:eastAsia="ja-JP"/>
        </w:rPr>
        <w:t>A</w:t>
      </w:r>
      <w:r w:rsidR="00C06B8A" w:rsidRPr="00C06B8A">
        <w:rPr>
          <w:rFonts w:eastAsia="MS Mincho"/>
          <w:lang w:eastAsia="ja-JP"/>
        </w:rPr>
        <w:t xml:space="preserve">ssets were being investigated across a range of tumour sites, including gastroenteropancreatic neuroendocrine tumours (GEP-NETs), </w:t>
      </w:r>
      <w:r w:rsidR="00C54E36">
        <w:rPr>
          <w:rFonts w:eastAsia="MS Mincho"/>
          <w:lang w:eastAsia="ja-JP"/>
        </w:rPr>
        <w:t xml:space="preserve">and </w:t>
      </w:r>
      <w:r w:rsidR="00C06B8A" w:rsidRPr="00C06B8A">
        <w:rPr>
          <w:rFonts w:eastAsia="MS Mincho"/>
          <w:lang w:eastAsia="ja-JP"/>
        </w:rPr>
        <w:t xml:space="preserve">breast, colorectal and pancreatic tumours. </w:t>
      </w:r>
      <w:r w:rsidRPr="00C06B8A">
        <w:rPr>
          <w:rFonts w:eastAsia="MS Mincho"/>
          <w:lang w:eastAsia="ja-JP"/>
        </w:rPr>
        <w:t xml:space="preserve">The </w:t>
      </w:r>
      <w:proofErr w:type="gramStart"/>
      <w:r w:rsidRPr="00C06B8A">
        <w:rPr>
          <w:rFonts w:eastAsia="MS Mincho"/>
          <w:lang w:eastAsia="ja-JP"/>
        </w:rPr>
        <w:t>most commonly targeted</w:t>
      </w:r>
      <w:proofErr w:type="gramEnd"/>
      <w:r w:rsidRPr="00C06B8A">
        <w:rPr>
          <w:rFonts w:eastAsia="MS Mincho"/>
          <w:lang w:eastAsia="ja-JP"/>
        </w:rPr>
        <w:t xml:space="preserve"> single tumour </w:t>
      </w:r>
      <w:r>
        <w:rPr>
          <w:rFonts w:eastAsia="MS Mincho"/>
          <w:lang w:eastAsia="ja-JP"/>
        </w:rPr>
        <w:t>site</w:t>
      </w:r>
      <w:r w:rsidRPr="00C06B8A">
        <w:rPr>
          <w:rFonts w:eastAsia="MS Mincho"/>
          <w:lang w:eastAsia="ja-JP"/>
        </w:rPr>
        <w:t xml:space="preserve"> was prostate cancer</w:t>
      </w:r>
      <w:r w:rsidR="00D426B6">
        <w:rPr>
          <w:rFonts w:eastAsia="MS Mincho"/>
          <w:lang w:eastAsia="ja-JP"/>
        </w:rPr>
        <w:t>.</w:t>
      </w:r>
      <w:r w:rsidRPr="00C06B8A">
        <w:rPr>
          <w:rFonts w:eastAsia="MS Mincho"/>
          <w:lang w:eastAsia="ja-JP"/>
        </w:rPr>
        <w:t xml:space="preserve"> </w:t>
      </w:r>
      <w:r w:rsidR="00D426B6">
        <w:rPr>
          <w:rFonts w:eastAsia="MS Mincho"/>
          <w:lang w:eastAsia="ja-JP"/>
        </w:rPr>
        <w:t xml:space="preserve">There were </w:t>
      </w:r>
      <w:r w:rsidRPr="00C06B8A">
        <w:rPr>
          <w:rFonts w:eastAsia="MS Mincho"/>
          <w:lang w:eastAsia="ja-JP"/>
        </w:rPr>
        <w:t xml:space="preserve">23 assets investigated </w:t>
      </w:r>
      <w:r w:rsidR="00D426B6">
        <w:rPr>
          <w:rFonts w:eastAsia="MS Mincho"/>
          <w:lang w:eastAsia="ja-JP"/>
        </w:rPr>
        <w:t xml:space="preserve">only </w:t>
      </w:r>
      <w:r w:rsidRPr="00C06B8A">
        <w:rPr>
          <w:rFonts w:eastAsia="MS Mincho"/>
          <w:lang w:eastAsia="ja-JP"/>
        </w:rPr>
        <w:t>in prostate cancer.</w:t>
      </w:r>
    </w:p>
    <w:p w14:paraId="4C4E895B" w14:textId="1CF5A203" w:rsidR="00EA08BB" w:rsidRDefault="0037415C" w:rsidP="00A12673">
      <w:pPr>
        <w:pStyle w:val="Paragraph"/>
      </w:pPr>
      <w:r>
        <w:t xml:space="preserve">Given the number of products in development, </w:t>
      </w:r>
      <w:r w:rsidR="00DF0193">
        <w:t xml:space="preserve">we considered </w:t>
      </w:r>
      <w:r w:rsidR="00D426B6">
        <w:t>MRTs</w:t>
      </w:r>
      <w:r w:rsidR="00B604E3">
        <w:t xml:space="preserve"> </w:t>
      </w:r>
      <w:r>
        <w:t xml:space="preserve">a </w:t>
      </w:r>
      <w:r w:rsidR="00021FA2">
        <w:t xml:space="preserve">useful </w:t>
      </w:r>
      <w:r>
        <w:t>case study</w:t>
      </w:r>
      <w:r w:rsidR="00DF0193">
        <w:t>. T</w:t>
      </w:r>
      <w:r>
        <w:t>here is a</w:t>
      </w:r>
      <w:r w:rsidR="00DD2D18">
        <w:t xml:space="preserve"> good possibility that some </w:t>
      </w:r>
      <w:r w:rsidR="00C87901">
        <w:t>treatments</w:t>
      </w:r>
      <w:r w:rsidR="00DD2D18">
        <w:t xml:space="preserve"> </w:t>
      </w:r>
      <w:r w:rsidR="00B604E3">
        <w:t xml:space="preserve">will </w:t>
      </w:r>
      <w:r w:rsidR="00C54E36">
        <w:t xml:space="preserve">get </w:t>
      </w:r>
      <w:r w:rsidR="00DF0193">
        <w:t xml:space="preserve">marketing authorisations </w:t>
      </w:r>
      <w:r w:rsidR="00B604E3">
        <w:t>and be evaluated by NICE across</w:t>
      </w:r>
      <w:r w:rsidR="00DF0193">
        <w:t xml:space="preserve"> a</w:t>
      </w:r>
      <w:r w:rsidR="00B604E3">
        <w:t xml:space="preserve"> broader range of indications. </w:t>
      </w:r>
      <w:r w:rsidR="00C54E36">
        <w:t>Also</w:t>
      </w:r>
      <w:r w:rsidR="00A12673">
        <w:t xml:space="preserve">, </w:t>
      </w:r>
      <w:r w:rsidR="00CD6FB7">
        <w:t xml:space="preserve">based on </w:t>
      </w:r>
      <w:r w:rsidR="009C5960">
        <w:t xml:space="preserve">background research, it </w:t>
      </w:r>
      <w:r w:rsidR="00C90AB8">
        <w:t xml:space="preserve">was </w:t>
      </w:r>
      <w:r w:rsidR="003A410D">
        <w:t>expected</w:t>
      </w:r>
      <w:r w:rsidR="009C5960">
        <w:t xml:space="preserve"> that </w:t>
      </w:r>
      <w:r w:rsidR="00B604E3">
        <w:t>implement</w:t>
      </w:r>
      <w:r w:rsidR="00DF0193">
        <w:t xml:space="preserve">ing </w:t>
      </w:r>
      <w:r w:rsidR="00B604E3">
        <w:t>MRT</w:t>
      </w:r>
      <w:r w:rsidR="009C5960">
        <w:t>s</w:t>
      </w:r>
      <w:r w:rsidR="00B604E3">
        <w:t xml:space="preserve"> at scale across multiple indications </w:t>
      </w:r>
      <w:r w:rsidR="003A410D">
        <w:t>would pose</w:t>
      </w:r>
      <w:r w:rsidR="00B604E3">
        <w:t xml:space="preserve"> complex infrastructure and service</w:t>
      </w:r>
      <w:r w:rsidR="00DF0193">
        <w:t>-</w:t>
      </w:r>
      <w:r w:rsidR="00B604E3">
        <w:t>design challenges</w:t>
      </w:r>
      <w:r w:rsidR="00D40C64">
        <w:t xml:space="preserve">. These </w:t>
      </w:r>
      <w:r w:rsidR="00B604E3">
        <w:t>includ</w:t>
      </w:r>
      <w:r w:rsidR="00D40C64">
        <w:t>e</w:t>
      </w:r>
      <w:r w:rsidR="00B604E3">
        <w:t>, among others, access to specialised diagnostics and supply chain issues linked to short</w:t>
      </w:r>
      <w:r w:rsidR="00DF0193">
        <w:t xml:space="preserve"> half-lives</w:t>
      </w:r>
      <w:r w:rsidR="00B604E3">
        <w:t>.</w:t>
      </w:r>
    </w:p>
    <w:p w14:paraId="01353DD6" w14:textId="27508589" w:rsidR="00031C61" w:rsidRPr="00031C61" w:rsidRDefault="00A97A12" w:rsidP="00E22299">
      <w:pPr>
        <w:pStyle w:val="Numberedheading2"/>
      </w:pPr>
      <w:bookmarkStart w:id="43" w:name="_Toc226454916"/>
      <w:r w:rsidRPr="19388D11">
        <w:t xml:space="preserve">Testing the taxonomy and preliminary recommendations </w:t>
      </w:r>
      <w:r w:rsidR="00F82AF2" w:rsidRPr="19388D11">
        <w:t>in</w:t>
      </w:r>
      <w:r w:rsidR="00FB38AD">
        <w:t xml:space="preserve"> MRT</w:t>
      </w:r>
      <w:bookmarkEnd w:id="43"/>
    </w:p>
    <w:p w14:paraId="6518F8BF" w14:textId="16168B5E" w:rsidR="00031C61" w:rsidRDefault="009C6184" w:rsidP="00031C61">
      <w:pPr>
        <w:pStyle w:val="Paragraph"/>
      </w:pPr>
      <w:r>
        <w:t>W</w:t>
      </w:r>
      <w:r w:rsidR="00D931D8">
        <w:t xml:space="preserve">e </w:t>
      </w:r>
      <w:r w:rsidR="00031C61" w:rsidRPr="00031C61">
        <w:t xml:space="preserve">engaged with a range of </w:t>
      </w:r>
      <w:r w:rsidR="00FB38AD">
        <w:t>people</w:t>
      </w:r>
      <w:r w:rsidR="00FB38AD" w:rsidRPr="00031C61">
        <w:t xml:space="preserve"> </w:t>
      </w:r>
      <w:r w:rsidR="00031C61" w:rsidRPr="00031C61">
        <w:t>with expertise in MRT to gain insights into infrastructure and service</w:t>
      </w:r>
      <w:r w:rsidR="00976DA5">
        <w:t>-</w:t>
      </w:r>
      <w:r w:rsidR="00031C61" w:rsidRPr="00031C61">
        <w:t>redesign cost considerations related to the</w:t>
      </w:r>
      <w:r w:rsidR="009D0554">
        <w:t>ir</w:t>
      </w:r>
      <w:r w:rsidR="00031C61" w:rsidRPr="00031C61">
        <w:t xml:space="preserve"> implementation. Expertise included</w:t>
      </w:r>
      <w:r w:rsidR="007135C1">
        <w:t xml:space="preserve"> people from</w:t>
      </w:r>
      <w:r w:rsidR="00031C61" w:rsidRPr="00031C61">
        <w:t xml:space="preserve"> radiophysics, radiation and clinical oncology, </w:t>
      </w:r>
      <w:r w:rsidR="00E438F9" w:rsidRPr="00031C61">
        <w:t>radiology</w:t>
      </w:r>
      <w:r w:rsidR="00031C61" w:rsidRPr="00031C61">
        <w:t xml:space="preserve"> and nuclear medicine</w:t>
      </w:r>
      <w:r w:rsidR="007135C1">
        <w:t>. There were also</w:t>
      </w:r>
      <w:r w:rsidR="00031C61" w:rsidRPr="00031C61">
        <w:t xml:space="preserve"> perspectives from industry and patient organisations (see </w:t>
      </w:r>
      <w:r w:rsidR="0085186C">
        <w:t xml:space="preserve">appendix </w:t>
      </w:r>
      <w:r w:rsidR="009A1494">
        <w:t>F</w:t>
      </w:r>
      <w:r w:rsidR="009A1494" w:rsidRPr="00031C61">
        <w:t xml:space="preserve"> </w:t>
      </w:r>
      <w:r w:rsidR="00031C61" w:rsidRPr="00031C61">
        <w:t>for more detail).</w:t>
      </w:r>
    </w:p>
    <w:p w14:paraId="20ABC52F" w14:textId="4E22A47D" w:rsidR="00031C61" w:rsidRDefault="00C62C34" w:rsidP="00390BB5">
      <w:pPr>
        <w:pStyle w:val="Paragraph"/>
      </w:pPr>
      <w:r>
        <w:t>We used a</w:t>
      </w:r>
      <w:r w:rsidR="00231822">
        <w:t>n iterative approach for engagement</w:t>
      </w:r>
      <w:r w:rsidR="00FF6693">
        <w:t>.</w:t>
      </w:r>
      <w:r w:rsidR="00231822">
        <w:t xml:space="preserve"> </w:t>
      </w:r>
      <w:r w:rsidR="00FF6693">
        <w:t>We</w:t>
      </w:r>
      <w:r>
        <w:t xml:space="preserve"> held </w:t>
      </w:r>
      <w:r w:rsidR="00231822">
        <w:t xml:space="preserve">virtual meetings with individual stakeholders to understand their </w:t>
      </w:r>
      <w:r w:rsidR="00FF6693">
        <w:t xml:space="preserve">opinions </w:t>
      </w:r>
      <w:r w:rsidR="00231822">
        <w:t xml:space="preserve">of the current pathway, key implementation challenges, resource needed and </w:t>
      </w:r>
      <w:r w:rsidR="003D1C0D">
        <w:t xml:space="preserve">priority areas for </w:t>
      </w:r>
      <w:r w:rsidR="00FF6693">
        <w:t xml:space="preserve">supporting </w:t>
      </w:r>
      <w:r w:rsidR="003D1C0D">
        <w:t xml:space="preserve">implementation. </w:t>
      </w:r>
      <w:r w:rsidR="00FF6693">
        <w:t xml:space="preserve">We mapped </w:t>
      </w:r>
      <w:r w:rsidR="00F662DD">
        <w:t>i</w:t>
      </w:r>
      <w:r w:rsidR="00031C61" w:rsidRPr="00031C61">
        <w:t>ssues raised by stakeholders</w:t>
      </w:r>
      <w:r w:rsidR="00316DE5">
        <w:t xml:space="preserve"> </w:t>
      </w:r>
      <w:r w:rsidR="00031C61" w:rsidRPr="00031C61">
        <w:t xml:space="preserve">onto the taxonomy of costs (see </w:t>
      </w:r>
      <w:r w:rsidR="00FF6693">
        <w:t>t</w:t>
      </w:r>
      <w:r w:rsidR="00FF6693" w:rsidRPr="00031C61">
        <w:t xml:space="preserve">able </w:t>
      </w:r>
      <w:r w:rsidR="00031C61" w:rsidRPr="00031C61">
        <w:t>1)</w:t>
      </w:r>
      <w:r w:rsidR="00FF6693">
        <w:t>.</w:t>
      </w:r>
      <w:r w:rsidR="00F662DD">
        <w:t xml:space="preserve"> </w:t>
      </w:r>
      <w:r w:rsidR="00FF6693">
        <w:t>We held a</w:t>
      </w:r>
      <w:r w:rsidR="00F662DD">
        <w:t xml:space="preserve"> multi</w:t>
      </w:r>
      <w:r w:rsidR="00F34CD7">
        <w:t>stakeholder</w:t>
      </w:r>
      <w:r w:rsidR="00F662DD">
        <w:t xml:space="preserve"> workshop </w:t>
      </w:r>
      <w:r w:rsidR="00FF6693">
        <w:t>for</w:t>
      </w:r>
      <w:r w:rsidR="00F662DD">
        <w:t xml:space="preserve"> stakeholders </w:t>
      </w:r>
      <w:r w:rsidR="008E0A4B">
        <w:t xml:space="preserve">to reach consensus on the main issues and </w:t>
      </w:r>
      <w:r w:rsidR="00FF6693">
        <w:t xml:space="preserve">relevant </w:t>
      </w:r>
      <w:r w:rsidR="008E0A4B">
        <w:t>implementation cost components</w:t>
      </w:r>
      <w:r w:rsidR="002115A8">
        <w:t>.</w:t>
      </w:r>
    </w:p>
    <w:p w14:paraId="6D7C90A2" w14:textId="6A7159E8" w:rsidR="009622B2" w:rsidRDefault="00CE5E24" w:rsidP="00DB792B">
      <w:pPr>
        <w:pStyle w:val="Paragraph"/>
      </w:pPr>
      <w:r w:rsidRPr="00CE5E24">
        <w:t>The key issues relat</w:t>
      </w:r>
      <w:r w:rsidR="00FF6693">
        <w:t>ing</w:t>
      </w:r>
      <w:r w:rsidRPr="00CE5E24">
        <w:t xml:space="preserve"> to </w:t>
      </w:r>
      <w:r w:rsidR="001E76A5">
        <w:t>MRT</w:t>
      </w:r>
      <w:r w:rsidR="00FF6693" w:rsidRPr="00FF6693">
        <w:t xml:space="preserve"> </w:t>
      </w:r>
      <w:r w:rsidR="00FF6693" w:rsidRPr="00CE5E24">
        <w:t>implementation</w:t>
      </w:r>
      <w:r w:rsidR="00FF6693">
        <w:t xml:space="preserve"> </w:t>
      </w:r>
      <w:r w:rsidRPr="00CE5E24">
        <w:t>were:</w:t>
      </w:r>
    </w:p>
    <w:p w14:paraId="2312E231" w14:textId="14BC2CC8" w:rsidR="00FF6693" w:rsidRDefault="00865A12" w:rsidP="00FF6693">
      <w:pPr>
        <w:pStyle w:val="Bulletleft1"/>
      </w:pPr>
      <w:r>
        <w:rPr>
          <w:b/>
          <w:bCs/>
        </w:rPr>
        <w:t xml:space="preserve">Infrastructure </w:t>
      </w:r>
      <w:r w:rsidRPr="000B74C7">
        <w:rPr>
          <w:b/>
          <w:bCs/>
        </w:rPr>
        <w:t>needs</w:t>
      </w:r>
      <w:r w:rsidR="003F242E">
        <w:rPr>
          <w:b/>
          <w:bCs/>
        </w:rPr>
        <w:t xml:space="preserve">: </w:t>
      </w:r>
      <w:r w:rsidR="003F242E">
        <w:t>s</w:t>
      </w:r>
      <w:r w:rsidR="00F0718D">
        <w:t xml:space="preserve">takeholders </w:t>
      </w:r>
      <w:r w:rsidR="00FC4D72">
        <w:t xml:space="preserve">confirmed that the main barriers to </w:t>
      </w:r>
      <w:r w:rsidR="00FF6693">
        <w:t>MRT implementation</w:t>
      </w:r>
      <w:r w:rsidR="00FC4D72">
        <w:t xml:space="preserve"> are</w:t>
      </w:r>
      <w:r w:rsidR="00FF6693">
        <w:t xml:space="preserve"> the:</w:t>
      </w:r>
    </w:p>
    <w:p w14:paraId="5B4777A2" w14:textId="0D0561C1" w:rsidR="00FF6693" w:rsidRDefault="00681202" w:rsidP="002E2AAD">
      <w:pPr>
        <w:pStyle w:val="Bulletleft2"/>
      </w:pPr>
      <w:r>
        <w:t>lack of</w:t>
      </w:r>
      <w:r w:rsidR="00FC4D72">
        <w:t xml:space="preserve"> </w:t>
      </w:r>
      <w:r>
        <w:t>availability of diagnostic</w:t>
      </w:r>
      <w:r w:rsidR="0085386E">
        <w:t xml:space="preserve"> test</w:t>
      </w:r>
      <w:r>
        <w:t>s</w:t>
      </w:r>
      <w:r w:rsidR="00FF6693">
        <w:t>,</w:t>
      </w:r>
      <w:r>
        <w:t xml:space="preserve"> </w:t>
      </w:r>
      <w:r w:rsidR="0C088A84">
        <w:t>namely</w:t>
      </w:r>
      <w:r>
        <w:t xml:space="preserve"> </w:t>
      </w:r>
      <w:r w:rsidR="79EEFE05">
        <w:t>posit</w:t>
      </w:r>
      <w:r w:rsidR="50922A67">
        <w:t>r</w:t>
      </w:r>
      <w:r w:rsidR="79EEFE05">
        <w:t xml:space="preserve">on </w:t>
      </w:r>
      <w:r w:rsidR="2BB5F6F0">
        <w:t>emission tomography (</w:t>
      </w:r>
      <w:r>
        <w:t>PET</w:t>
      </w:r>
      <w:r w:rsidR="63A8FE7D">
        <w:t>)</w:t>
      </w:r>
      <w:r w:rsidR="00FF6693">
        <w:t xml:space="preserve">, </w:t>
      </w:r>
      <w:r w:rsidR="00AA49BE">
        <w:t xml:space="preserve">and </w:t>
      </w:r>
      <w:r w:rsidR="60805DB3">
        <w:t>combin</w:t>
      </w:r>
      <w:r w:rsidR="57FCA301">
        <w:t xml:space="preserve">ed </w:t>
      </w:r>
      <w:r w:rsidR="00AA49BE">
        <w:t>PET</w:t>
      </w:r>
      <w:r w:rsidR="2A02EDCC">
        <w:t xml:space="preserve"> and </w:t>
      </w:r>
      <w:r w:rsidR="2568F024">
        <w:t>computerised tomograph</w:t>
      </w:r>
      <w:r w:rsidR="75220B82">
        <w:t xml:space="preserve">y </w:t>
      </w:r>
      <w:r>
        <w:t>scans</w:t>
      </w:r>
      <w:r w:rsidR="698E4BD1">
        <w:t xml:space="preserve"> (PET</w:t>
      </w:r>
      <w:r w:rsidR="00E90102">
        <w:t>–</w:t>
      </w:r>
      <w:r w:rsidR="698E4BD1">
        <w:t>CT)</w:t>
      </w:r>
    </w:p>
    <w:p w14:paraId="19CCADB0" w14:textId="04359BAB" w:rsidR="00FF6693" w:rsidRDefault="00BC02E4" w:rsidP="002E2AAD">
      <w:pPr>
        <w:pStyle w:val="Bulletleft2"/>
      </w:pPr>
      <w:r>
        <w:t>need for additional facilities equipped for handling the administration and disposal of radioactive therapies</w:t>
      </w:r>
    </w:p>
    <w:p w14:paraId="625F26CF" w14:textId="39D7F837" w:rsidR="002046CF" w:rsidRDefault="00FF6693" w:rsidP="002E2AAD">
      <w:pPr>
        <w:pStyle w:val="Bulletleft2"/>
      </w:pPr>
      <w:r>
        <w:t xml:space="preserve">need for </w:t>
      </w:r>
      <w:r w:rsidR="00B8456D">
        <w:t>additional trained and licensed staff.</w:t>
      </w:r>
      <w:r w:rsidR="004B2C6E">
        <w:br/>
      </w:r>
      <w:r>
        <w:br/>
      </w:r>
      <w:r w:rsidR="00B10BDC">
        <w:t>T</w:t>
      </w:r>
      <w:r w:rsidR="00B02160">
        <w:t xml:space="preserve">here are currently </w:t>
      </w:r>
      <w:r w:rsidR="00D50778">
        <w:t>centres</w:t>
      </w:r>
      <w:r w:rsidR="009622B2">
        <w:t xml:space="preserve"> </w:t>
      </w:r>
      <w:r w:rsidR="00B02160">
        <w:t>that</w:t>
      </w:r>
      <w:r w:rsidR="009622B2">
        <w:t xml:space="preserve"> deliver </w:t>
      </w:r>
      <w:r w:rsidR="00D164B5">
        <w:t>MRT</w:t>
      </w:r>
      <w:r w:rsidR="009622B2">
        <w:t xml:space="preserve">, so the system should </w:t>
      </w:r>
      <w:r w:rsidR="0085386E">
        <w:t xml:space="preserve">use </w:t>
      </w:r>
      <w:r w:rsidR="009622B2">
        <w:t xml:space="preserve">existing pathways rather than </w:t>
      </w:r>
      <w:r w:rsidR="00D164B5">
        <w:t>‘</w:t>
      </w:r>
      <w:r w:rsidR="009622B2">
        <w:t>reinvent the wheel</w:t>
      </w:r>
      <w:r w:rsidR="00D164B5">
        <w:t>’</w:t>
      </w:r>
      <w:r w:rsidR="009622B2">
        <w:t>.</w:t>
      </w:r>
    </w:p>
    <w:p w14:paraId="611D296E" w14:textId="2AEF6323" w:rsidR="00C50E96" w:rsidRDefault="00AA2E29" w:rsidP="002E2AAD">
      <w:pPr>
        <w:pStyle w:val="Bulletleft1"/>
      </w:pPr>
      <w:r>
        <w:rPr>
          <w:b/>
          <w:bCs/>
        </w:rPr>
        <w:t>Varia</w:t>
      </w:r>
      <w:r w:rsidR="00C409F4">
        <w:rPr>
          <w:b/>
          <w:bCs/>
        </w:rPr>
        <w:t>bility</w:t>
      </w:r>
      <w:r>
        <w:rPr>
          <w:b/>
          <w:bCs/>
        </w:rPr>
        <w:t xml:space="preserve"> of </w:t>
      </w:r>
      <w:r w:rsidR="00C50E96">
        <w:rPr>
          <w:b/>
          <w:bCs/>
        </w:rPr>
        <w:t xml:space="preserve">infrastructure needs according to </w:t>
      </w:r>
      <w:r w:rsidR="00FD575B">
        <w:rPr>
          <w:b/>
          <w:bCs/>
        </w:rPr>
        <w:t>isotope</w:t>
      </w:r>
      <w:r w:rsidR="008E3D97">
        <w:rPr>
          <w:b/>
          <w:bCs/>
        </w:rPr>
        <w:t>:</w:t>
      </w:r>
      <w:r w:rsidR="00C50E96">
        <w:t xml:space="preserve"> </w:t>
      </w:r>
      <w:r w:rsidR="008E3D97">
        <w:t>s</w:t>
      </w:r>
      <w:r w:rsidR="001276F5">
        <w:t>takeholders</w:t>
      </w:r>
      <w:r w:rsidR="00C50E96">
        <w:t xml:space="preserve"> </w:t>
      </w:r>
      <w:r w:rsidR="001C4B49">
        <w:t>clarified</w:t>
      </w:r>
      <w:r w:rsidR="00C50E96">
        <w:t xml:space="preserve"> that lead-lined rooms </w:t>
      </w:r>
      <w:r w:rsidR="006C3A05">
        <w:t xml:space="preserve">are </w:t>
      </w:r>
      <w:r w:rsidR="001276F5">
        <w:t xml:space="preserve">needed </w:t>
      </w:r>
      <w:r w:rsidR="00C50E96">
        <w:t xml:space="preserve">for </w:t>
      </w:r>
      <w:r w:rsidR="001276F5">
        <w:t xml:space="preserve">administering </w:t>
      </w:r>
      <w:r w:rsidR="00C50E96">
        <w:t xml:space="preserve">iodine-131 </w:t>
      </w:r>
      <w:r w:rsidR="00244E5F">
        <w:t>and</w:t>
      </w:r>
      <w:r w:rsidR="00C50E96">
        <w:t xml:space="preserve"> lutetium-</w:t>
      </w:r>
      <w:r w:rsidR="00487503">
        <w:t>177</w:t>
      </w:r>
      <w:r w:rsidR="001276F5">
        <w:t>.</w:t>
      </w:r>
      <w:r w:rsidR="00C50E96">
        <w:t xml:space="preserve"> </w:t>
      </w:r>
      <w:r w:rsidR="001276F5">
        <w:t>B</w:t>
      </w:r>
      <w:r w:rsidR="00B13CEA">
        <w:t xml:space="preserve">ut </w:t>
      </w:r>
      <w:r w:rsidR="001276F5">
        <w:t xml:space="preserve">they said that </w:t>
      </w:r>
      <w:r w:rsidR="00B13CEA">
        <w:t>the requirements are less stringent for</w:t>
      </w:r>
      <w:r w:rsidR="00C50E96">
        <w:t xml:space="preserve"> alpha emitters</w:t>
      </w:r>
      <w:r w:rsidR="00C409F4">
        <w:t xml:space="preserve">. </w:t>
      </w:r>
      <w:r w:rsidR="001276F5">
        <w:t>So</w:t>
      </w:r>
      <w:r w:rsidR="00C409F4">
        <w:t xml:space="preserve">, it is important to account for this variability across </w:t>
      </w:r>
      <w:r w:rsidR="00FD575B">
        <w:t>isotope</w:t>
      </w:r>
      <w:r w:rsidR="00C409F4">
        <w:t>s.</w:t>
      </w:r>
    </w:p>
    <w:p w14:paraId="40872293" w14:textId="64E565DE" w:rsidR="002D77C8" w:rsidRDefault="002D77C8" w:rsidP="002E2AAD">
      <w:pPr>
        <w:pStyle w:val="Bulletleft1"/>
      </w:pPr>
      <w:r w:rsidRPr="6BCEEF07">
        <w:rPr>
          <w:b/>
          <w:bCs/>
        </w:rPr>
        <w:t>Gaps in services that should be part of standard care</w:t>
      </w:r>
      <w:r w:rsidR="008E3D97">
        <w:rPr>
          <w:b/>
          <w:bCs/>
        </w:rPr>
        <w:t>:</w:t>
      </w:r>
      <w:r>
        <w:t xml:space="preserve"> </w:t>
      </w:r>
      <w:r w:rsidR="008E3D97">
        <w:t>s</w:t>
      </w:r>
      <w:r w:rsidR="001276F5">
        <w:t>takeholders</w:t>
      </w:r>
      <w:r>
        <w:t xml:space="preserve"> raised that there </w:t>
      </w:r>
      <w:bookmarkStart w:id="44" w:name="_Int_gPviMxs9"/>
      <w:r w:rsidR="2C4E2A0D">
        <w:t>are</w:t>
      </w:r>
      <w:bookmarkEnd w:id="44"/>
      <w:r w:rsidR="2C4E2A0D">
        <w:t xml:space="preserve"> </w:t>
      </w:r>
      <w:r>
        <w:t xml:space="preserve">existing </w:t>
      </w:r>
      <w:r w:rsidR="00EE59E3" w:rsidRPr="002E2AAD">
        <w:t xml:space="preserve">commissioning policies that </w:t>
      </w:r>
      <w:r w:rsidR="008E3D97">
        <w:t>need</w:t>
      </w:r>
      <w:r w:rsidR="008E3D97" w:rsidRPr="002E2AAD">
        <w:t xml:space="preserve"> </w:t>
      </w:r>
      <w:r w:rsidR="00EE59E3" w:rsidRPr="002E2AAD">
        <w:t>prostate-specific membrane antigen (PSMA) PET</w:t>
      </w:r>
      <w:r w:rsidR="00417658">
        <w:t>–CT</w:t>
      </w:r>
      <w:r w:rsidR="00EE59E3" w:rsidRPr="002E2AAD">
        <w:t xml:space="preserve"> scans for </w:t>
      </w:r>
      <w:r w:rsidR="008E3D97">
        <w:t>people</w:t>
      </w:r>
      <w:r w:rsidR="008E3D97" w:rsidRPr="002E2AAD">
        <w:t xml:space="preserve"> </w:t>
      </w:r>
      <w:r w:rsidR="00EE59E3" w:rsidRPr="002E2AAD">
        <w:t>with high-risk primary and recurrent prostate cancer</w:t>
      </w:r>
      <w:r w:rsidR="0078004B">
        <w:t xml:space="preserve"> (</w:t>
      </w:r>
      <w:r w:rsidR="008C029B">
        <w:t xml:space="preserve">see the </w:t>
      </w:r>
      <w:hyperlink r:id="rId15" w:history="1">
        <w:r w:rsidR="008C029B">
          <w:rPr>
            <w:rStyle w:val="Hyperlink"/>
          </w:rPr>
          <w:t>NHS England commissioning policy on PSMA radiotracers in PET–CT imaging [PDF only]</w:t>
        </w:r>
      </w:hyperlink>
      <w:r w:rsidR="0078004B">
        <w:t>).</w:t>
      </w:r>
      <w:r w:rsidR="00410A58">
        <w:t xml:space="preserve"> </w:t>
      </w:r>
      <w:r w:rsidR="00EE59E3">
        <w:t>But</w:t>
      </w:r>
      <w:r w:rsidR="00410A58">
        <w:t xml:space="preserve"> they are not routinely available. </w:t>
      </w:r>
      <w:r w:rsidR="003E3F1D">
        <w:t xml:space="preserve">Similarly, </w:t>
      </w:r>
      <w:r w:rsidR="00531376">
        <w:t xml:space="preserve">dosimetry is supported by current </w:t>
      </w:r>
      <w:r w:rsidR="00566300">
        <w:t xml:space="preserve">UK </w:t>
      </w:r>
      <w:r w:rsidR="00531376">
        <w:t>regulations</w:t>
      </w:r>
      <w:r w:rsidR="00975AB3">
        <w:t xml:space="preserve"> (</w:t>
      </w:r>
      <w:r w:rsidR="008C029B">
        <w:t xml:space="preserve">see </w:t>
      </w:r>
      <w:hyperlink r:id="rId16" w:history="1">
        <w:r w:rsidR="00975AB3" w:rsidRPr="00EE74A0">
          <w:rPr>
            <w:rStyle w:val="Hyperlink"/>
          </w:rPr>
          <w:t xml:space="preserve">HM Government [2017] </w:t>
        </w:r>
        <w:proofErr w:type="gramStart"/>
        <w:r w:rsidR="00975AB3" w:rsidRPr="00EE74A0">
          <w:rPr>
            <w:rStyle w:val="Hyperlink"/>
          </w:rPr>
          <w:t>The</w:t>
        </w:r>
        <w:proofErr w:type="gramEnd"/>
        <w:r w:rsidR="00975AB3" w:rsidRPr="00EE74A0">
          <w:rPr>
            <w:rStyle w:val="Hyperlink"/>
          </w:rPr>
          <w:t xml:space="preserve"> Ionising Radiation [Medical Exposure] Regulations</w:t>
        </w:r>
      </w:hyperlink>
      <w:r w:rsidR="00975AB3">
        <w:t>).</w:t>
      </w:r>
      <w:r w:rsidR="00531376">
        <w:t xml:space="preserve"> </w:t>
      </w:r>
      <w:r w:rsidR="00EE74A0">
        <w:t>The regulations</w:t>
      </w:r>
      <w:r w:rsidR="001764D2">
        <w:t xml:space="preserve"> </w:t>
      </w:r>
      <w:r w:rsidR="00531376">
        <w:t>including a statement</w:t>
      </w:r>
      <w:r w:rsidR="00504A5A">
        <w:t xml:space="preserve"> that </w:t>
      </w:r>
      <w:r w:rsidR="00127EA2">
        <w:t>exposures</w:t>
      </w:r>
      <w:r w:rsidR="008E1E42">
        <w:t xml:space="preserve"> to radiation</w:t>
      </w:r>
      <w:r w:rsidR="00127EA2">
        <w:t xml:space="preserve"> should be individually planned</w:t>
      </w:r>
      <w:r w:rsidR="008E1E42">
        <w:t>,</w:t>
      </w:r>
      <w:r w:rsidR="00127EA2">
        <w:t xml:space="preserve"> and </w:t>
      </w:r>
      <w:r w:rsidR="006E704E">
        <w:t xml:space="preserve">their </w:t>
      </w:r>
      <w:r w:rsidR="00B34342">
        <w:t>delivery appropriately verified</w:t>
      </w:r>
      <w:r w:rsidR="008E1E42">
        <w:t>. This</w:t>
      </w:r>
      <w:r w:rsidR="004D4345">
        <w:t xml:space="preserve"> is </w:t>
      </w:r>
      <w:r w:rsidR="008E1E42">
        <w:t xml:space="preserve">also </w:t>
      </w:r>
      <w:r w:rsidR="004D4345">
        <w:t xml:space="preserve">supported by the </w:t>
      </w:r>
      <w:hyperlink r:id="rId17" w:history="1">
        <w:r w:rsidR="00AA4D1C">
          <w:rPr>
            <w:rStyle w:val="Hyperlink"/>
          </w:rPr>
          <w:t>Care Quality Commission IR(ME)R annual report 2020 to 2021</w:t>
        </w:r>
      </w:hyperlink>
      <w:r w:rsidR="00AB689A">
        <w:t>. But</w:t>
      </w:r>
      <w:r w:rsidR="008E3D97">
        <w:t>,</w:t>
      </w:r>
      <w:r w:rsidR="004D4345">
        <w:t xml:space="preserve"> despite the regulations being in place for years, </w:t>
      </w:r>
      <w:r w:rsidR="00902777">
        <w:t xml:space="preserve">stakeholders reported that the </w:t>
      </w:r>
      <w:r w:rsidR="004D4345">
        <w:t xml:space="preserve">procedure </w:t>
      </w:r>
      <w:r w:rsidR="00295CC0">
        <w:t>is not reimbursed</w:t>
      </w:r>
      <w:r w:rsidR="001F5596">
        <w:t>,</w:t>
      </w:r>
      <w:r w:rsidR="00295CC0">
        <w:t xml:space="preserve"> which makes centres reluctant to </w:t>
      </w:r>
      <w:r w:rsidR="001F5596">
        <w:t xml:space="preserve">do them. </w:t>
      </w:r>
      <w:r w:rsidR="00E85B07">
        <w:t>S</w:t>
      </w:r>
      <w:r w:rsidR="008A2613">
        <w:t xml:space="preserve">takeholders did not think it would be appropriate to ask </w:t>
      </w:r>
      <w:r w:rsidR="00E85B07">
        <w:t>companies</w:t>
      </w:r>
      <w:r w:rsidR="008A2613">
        <w:t xml:space="preserve"> to include th</w:t>
      </w:r>
      <w:r w:rsidR="00E85B07">
        <w:t>e</w:t>
      </w:r>
      <w:r w:rsidR="008A2613">
        <w:t xml:space="preserve"> cost</w:t>
      </w:r>
      <w:r w:rsidR="00E85B07">
        <w:t>s of PSMA PET</w:t>
      </w:r>
      <w:r w:rsidR="00E90102">
        <w:t>–</w:t>
      </w:r>
      <w:r w:rsidR="00E85B07">
        <w:t>CT scans or dosimetry</w:t>
      </w:r>
      <w:r w:rsidR="008A2613">
        <w:t xml:space="preserve"> in </w:t>
      </w:r>
      <w:r w:rsidR="00E85B07">
        <w:t>their</w:t>
      </w:r>
      <w:r w:rsidR="008A2613">
        <w:t xml:space="preserve"> </w:t>
      </w:r>
      <w:r w:rsidR="00E85B07">
        <w:t xml:space="preserve">economic </w:t>
      </w:r>
      <w:r w:rsidR="008A2613">
        <w:t>model</w:t>
      </w:r>
      <w:r w:rsidR="00E85B07">
        <w:t>s</w:t>
      </w:r>
      <w:r w:rsidR="00AA3C28">
        <w:t xml:space="preserve"> because they </w:t>
      </w:r>
      <w:r w:rsidR="008A2613">
        <w:t>should be part of baseline care.</w:t>
      </w:r>
    </w:p>
    <w:p w14:paraId="1F956975" w14:textId="76E58E7A" w:rsidR="00865A12" w:rsidRDefault="00865A12" w:rsidP="002E2AAD">
      <w:pPr>
        <w:pStyle w:val="Bulletleft1"/>
      </w:pPr>
      <w:r>
        <w:rPr>
          <w:b/>
          <w:bCs/>
        </w:rPr>
        <w:t>Need for proactive</w:t>
      </w:r>
      <w:r w:rsidR="002D77C8">
        <w:rPr>
          <w:b/>
          <w:bCs/>
        </w:rPr>
        <w:t xml:space="preserve"> approaches to support implementation</w:t>
      </w:r>
      <w:r w:rsidR="007D3149">
        <w:rPr>
          <w:b/>
          <w:bCs/>
        </w:rPr>
        <w:t>:</w:t>
      </w:r>
      <w:r w:rsidR="00B41397" w:rsidRPr="00B41397">
        <w:t xml:space="preserve"> </w:t>
      </w:r>
      <w:r w:rsidR="007D3149">
        <w:t>s</w:t>
      </w:r>
      <w:r w:rsidR="00B41397">
        <w:t xml:space="preserve">takeholders </w:t>
      </w:r>
      <w:r w:rsidR="00E90102">
        <w:t xml:space="preserve">said </w:t>
      </w:r>
      <w:r w:rsidR="00B41397">
        <w:t>that</w:t>
      </w:r>
      <w:r w:rsidR="007D3149">
        <w:t>,</w:t>
      </w:r>
      <w:r w:rsidR="00B41397">
        <w:t xml:space="preserve"> in</w:t>
      </w:r>
      <w:r w:rsidR="00B41397" w:rsidRPr="00B41397">
        <w:t xml:space="preserve"> general</w:t>
      </w:r>
      <w:r w:rsidR="007D3149">
        <w:t>,</w:t>
      </w:r>
      <w:r w:rsidR="00B41397">
        <w:t xml:space="preserve"> </w:t>
      </w:r>
      <w:r w:rsidR="00B41397" w:rsidRPr="00B41397">
        <w:t>faster</w:t>
      </w:r>
      <w:r w:rsidR="007D3149">
        <w:t xml:space="preserve"> and</w:t>
      </w:r>
      <w:r w:rsidR="00B41397" w:rsidRPr="00B41397">
        <w:t xml:space="preserve"> proactive planning</w:t>
      </w:r>
      <w:r w:rsidR="00AC3691">
        <w:t xml:space="preserve"> </w:t>
      </w:r>
      <w:r w:rsidR="00B41397">
        <w:t>for implement</w:t>
      </w:r>
      <w:r w:rsidR="00E90102">
        <w:t xml:space="preserve">ing </w:t>
      </w:r>
      <w:r w:rsidR="0016349D">
        <w:t xml:space="preserve">MRTs is needed </w:t>
      </w:r>
      <w:r w:rsidR="00B41397" w:rsidRPr="00B41397">
        <w:t>to avoid delays in patient access</w:t>
      </w:r>
      <w:r w:rsidR="004955CE">
        <w:t>. They said that</w:t>
      </w:r>
      <w:r w:rsidR="0074531A">
        <w:t xml:space="preserve"> horizon scanning </w:t>
      </w:r>
      <w:r w:rsidR="004955CE">
        <w:t xml:space="preserve">should be done </w:t>
      </w:r>
      <w:r w:rsidR="0074531A">
        <w:t>to identify needs</w:t>
      </w:r>
      <w:r w:rsidR="00B41397" w:rsidRPr="00B41397">
        <w:t>.</w:t>
      </w:r>
      <w:r>
        <w:t xml:space="preserve"> </w:t>
      </w:r>
      <w:r w:rsidR="004955CE">
        <w:t>They agreed that</w:t>
      </w:r>
      <w:r w:rsidR="001C4B49">
        <w:t xml:space="preserve"> </w:t>
      </w:r>
      <w:r w:rsidR="0016349D">
        <w:t xml:space="preserve">there is </w:t>
      </w:r>
      <w:r>
        <w:t xml:space="preserve">currently a long gap between clinical </w:t>
      </w:r>
      <w:r w:rsidR="004955CE">
        <w:t xml:space="preserve">trial completion </w:t>
      </w:r>
      <w:r>
        <w:t>and actual adoption of therapies in clinical practice.</w:t>
      </w:r>
    </w:p>
    <w:p w14:paraId="7760CD1B" w14:textId="0E8008E2" w:rsidR="002046CF" w:rsidRDefault="005D0CE6" w:rsidP="002E2AAD">
      <w:pPr>
        <w:pStyle w:val="Bulletleft1"/>
      </w:pPr>
      <w:r w:rsidRPr="00AA2E29">
        <w:rPr>
          <w:b/>
          <w:bCs/>
        </w:rPr>
        <w:t>Need for c</w:t>
      </w:r>
      <w:r w:rsidR="002046CF" w:rsidRPr="00AA2E29">
        <w:rPr>
          <w:b/>
          <w:bCs/>
        </w:rPr>
        <w:t>ollaborati</w:t>
      </w:r>
      <w:r w:rsidR="002D77C8" w:rsidRPr="00AA2E29">
        <w:rPr>
          <w:b/>
          <w:bCs/>
        </w:rPr>
        <w:t>ve approaches</w:t>
      </w:r>
      <w:r w:rsidR="00CC0DE2">
        <w:rPr>
          <w:b/>
          <w:bCs/>
        </w:rPr>
        <w:t>:</w:t>
      </w:r>
      <w:r>
        <w:t xml:space="preserve"> </w:t>
      </w:r>
      <w:r w:rsidR="00CC0DE2">
        <w:t>s</w:t>
      </w:r>
      <w:r>
        <w:t>takeholders highlighted the need</w:t>
      </w:r>
      <w:r w:rsidR="002046CF">
        <w:t xml:space="preserve"> for joint efforts between industry, NHS and policymakers</w:t>
      </w:r>
      <w:r w:rsidR="00300C32">
        <w:t xml:space="preserve"> to support implementi</w:t>
      </w:r>
      <w:r w:rsidR="004955CE">
        <w:t>ng</w:t>
      </w:r>
      <w:r w:rsidR="002278C9">
        <w:t xml:space="preserve"> MRTs</w:t>
      </w:r>
      <w:r w:rsidR="00300C32">
        <w:t>.</w:t>
      </w:r>
      <w:r w:rsidR="0016766B">
        <w:t xml:space="preserve"> </w:t>
      </w:r>
      <w:r w:rsidR="004955CE">
        <w:t xml:space="preserve">Healthcare practitioners </w:t>
      </w:r>
      <w:r w:rsidR="001C4B49">
        <w:t xml:space="preserve">thought </w:t>
      </w:r>
      <w:r w:rsidR="002278C9">
        <w:t>that c</w:t>
      </w:r>
      <w:r w:rsidR="007461CD">
        <w:t>ompanies could play a bigger role in</w:t>
      </w:r>
      <w:r w:rsidR="0016766B">
        <w:t xml:space="preserve"> mak</w:t>
      </w:r>
      <w:r w:rsidR="007461CD">
        <w:t xml:space="preserve">ing </w:t>
      </w:r>
      <w:r w:rsidR="0016766B">
        <w:t xml:space="preserve">PET tracers available </w:t>
      </w:r>
      <w:r w:rsidR="00017D61">
        <w:t>and</w:t>
      </w:r>
      <w:r w:rsidR="00AA2E29">
        <w:t xml:space="preserve"> be more transparent around projected patient volumes to allow effective planning.</w:t>
      </w:r>
    </w:p>
    <w:p w14:paraId="4FF28D13" w14:textId="4E4C9994" w:rsidR="0025308C" w:rsidRDefault="008E59A6" w:rsidP="002E2AAD">
      <w:pPr>
        <w:pStyle w:val="Bulletleft1"/>
      </w:pPr>
      <w:r w:rsidRPr="008E59A6">
        <w:rPr>
          <w:b/>
          <w:bCs/>
        </w:rPr>
        <w:t>Disadvantages to first</w:t>
      </w:r>
      <w:r w:rsidRPr="00093F3B">
        <w:rPr>
          <w:b/>
          <w:bCs/>
        </w:rPr>
        <w:t>-in-class treatments</w:t>
      </w:r>
      <w:r w:rsidR="00CC0DE2">
        <w:rPr>
          <w:b/>
          <w:bCs/>
        </w:rPr>
        <w:t>:</w:t>
      </w:r>
      <w:r w:rsidR="00CC0DE2">
        <w:t xml:space="preserve"> s</w:t>
      </w:r>
      <w:r w:rsidR="0095265C">
        <w:t>takeholders discussed t</w:t>
      </w:r>
      <w:r w:rsidR="0025308C">
        <w:t>he issue of first-in-class medicines bearing disproportionate implementation costs</w:t>
      </w:r>
      <w:r w:rsidR="0095265C">
        <w:t>.</w:t>
      </w:r>
      <w:r>
        <w:t xml:space="preserve"> </w:t>
      </w:r>
      <w:r w:rsidR="0095265C">
        <w:t>They agreed that there</w:t>
      </w:r>
      <w:r w:rsidR="00093F3B">
        <w:t xml:space="preserve"> need</w:t>
      </w:r>
      <w:r w:rsidR="0095265C">
        <w:t>s to be</w:t>
      </w:r>
      <w:r w:rsidR="00093F3B">
        <w:t xml:space="preserve"> a fair approach to accounting for these costs.</w:t>
      </w:r>
    </w:p>
    <w:p w14:paraId="7A44BB95" w14:textId="77777777" w:rsidR="00C963F5" w:rsidRDefault="003A3A8F" w:rsidP="002E2AAD">
      <w:pPr>
        <w:pStyle w:val="Bulletleft1last"/>
        <w:sectPr w:rsidR="00C963F5" w:rsidSect="001A33FB">
          <w:pgSz w:w="11906" w:h="16838"/>
          <w:pgMar w:top="1440" w:right="1440" w:bottom="1440" w:left="1440" w:header="720" w:footer="720" w:gutter="0"/>
          <w:cols w:space="720"/>
          <w:docGrid w:linePitch="360"/>
        </w:sectPr>
      </w:pPr>
      <w:r w:rsidRPr="003A3A8F">
        <w:rPr>
          <w:b/>
          <w:bCs/>
        </w:rPr>
        <w:t>NICE positive decisions as drivers for service improvements</w:t>
      </w:r>
      <w:r w:rsidR="00CC0DE2">
        <w:rPr>
          <w:b/>
          <w:bCs/>
        </w:rPr>
        <w:t>:</w:t>
      </w:r>
      <w:r>
        <w:t xml:space="preserve"> </w:t>
      </w:r>
      <w:r w:rsidR="00CC0DE2">
        <w:t>s</w:t>
      </w:r>
      <w:r w:rsidR="00C532B2">
        <w:t xml:space="preserve">takeholders commented that </w:t>
      </w:r>
      <w:r>
        <w:t xml:space="preserve">there are wider benefits to patients </w:t>
      </w:r>
      <w:r w:rsidR="0095265C">
        <w:t>beyond the benefits attributed to an individual technology. This is</w:t>
      </w:r>
      <w:r w:rsidR="0095265C" w:rsidDel="0095265C">
        <w:t xml:space="preserve"> </w:t>
      </w:r>
      <w:r w:rsidR="0095265C">
        <w:t xml:space="preserve">because </w:t>
      </w:r>
      <w:r>
        <w:t>services improve</w:t>
      </w:r>
      <w:r w:rsidR="0095265C">
        <w:t xml:space="preserve"> </w:t>
      </w:r>
      <w:r w:rsidR="0083291B">
        <w:t xml:space="preserve">once NICE approves a </w:t>
      </w:r>
      <w:r w:rsidR="0095265C">
        <w:t>technology</w:t>
      </w:r>
      <w:r w:rsidR="0083291B">
        <w:t>.</w:t>
      </w:r>
    </w:p>
    <w:p w14:paraId="6285C841" w14:textId="22D74586" w:rsidR="00031C61" w:rsidRPr="00031C61" w:rsidRDefault="00031C61" w:rsidP="002E2AAD">
      <w:pPr>
        <w:pStyle w:val="Caption"/>
      </w:pPr>
      <w:r w:rsidRPr="00031C61">
        <w:t xml:space="preserve">Table 1 </w:t>
      </w:r>
      <w:r w:rsidR="0095265C" w:rsidRPr="00031C61">
        <w:t>Appl</w:t>
      </w:r>
      <w:r w:rsidR="0095265C">
        <w:t>ying</w:t>
      </w:r>
      <w:r w:rsidR="0095265C" w:rsidRPr="00031C61">
        <w:t xml:space="preserve"> </w:t>
      </w:r>
      <w:r w:rsidRPr="00031C61">
        <w:t xml:space="preserve">the taxonomy of costs to </w:t>
      </w:r>
      <w:r w:rsidR="0095265C">
        <w:t>MRT</w:t>
      </w:r>
    </w:p>
    <w:tbl>
      <w:tblPr>
        <w:tblStyle w:val="TableGrid"/>
        <w:tblW w:w="14945" w:type="dxa"/>
        <w:tblLook w:val="06A0" w:firstRow="1" w:lastRow="0" w:firstColumn="1" w:lastColumn="0" w:noHBand="1" w:noVBand="1"/>
        <w:tblCaption w:val="Table 1 Applying the taxonomy of costs to MRT"/>
        <w:tblDescription w:val="Table showing cost category, cost subcategory and discussion"/>
      </w:tblPr>
      <w:tblGrid>
        <w:gridCol w:w="1843"/>
        <w:gridCol w:w="1843"/>
        <w:gridCol w:w="11259"/>
      </w:tblGrid>
      <w:tr w:rsidR="00034F75" w:rsidRPr="00031C61" w14:paraId="002CFC30" w14:textId="77777777" w:rsidTr="00034F75">
        <w:trPr>
          <w:trHeight w:val="300"/>
        </w:trPr>
        <w:tc>
          <w:tcPr>
            <w:tcW w:w="1843" w:type="dxa"/>
          </w:tcPr>
          <w:p w14:paraId="3B6CB2F3" w14:textId="2667B829" w:rsidR="00034F75" w:rsidRPr="00A15A51" w:rsidRDefault="00034F75" w:rsidP="002E2AAD">
            <w:pPr>
              <w:pStyle w:val="Tableheading"/>
            </w:pPr>
            <w:r>
              <w:t>Cost category</w:t>
            </w:r>
          </w:p>
        </w:tc>
        <w:tc>
          <w:tcPr>
            <w:tcW w:w="1843" w:type="dxa"/>
          </w:tcPr>
          <w:p w14:paraId="5419F682" w14:textId="5C3A9277" w:rsidR="00034F75" w:rsidRPr="00A15A51" w:rsidRDefault="00034F75" w:rsidP="002E2AAD">
            <w:pPr>
              <w:pStyle w:val="Tableheading"/>
            </w:pPr>
            <w:r>
              <w:t>Cost subcategory</w:t>
            </w:r>
          </w:p>
        </w:tc>
        <w:tc>
          <w:tcPr>
            <w:tcW w:w="11259" w:type="dxa"/>
          </w:tcPr>
          <w:p w14:paraId="0312B817" w14:textId="0F426EFF" w:rsidR="00034F75" w:rsidRPr="00A15A51" w:rsidRDefault="00034F75" w:rsidP="002E2AAD">
            <w:pPr>
              <w:pStyle w:val="Tableheading"/>
            </w:pPr>
            <w:r>
              <w:t>D</w:t>
            </w:r>
            <w:r w:rsidR="0076293C">
              <w:t>iscussion</w:t>
            </w:r>
          </w:p>
        </w:tc>
      </w:tr>
      <w:tr w:rsidR="00034F75" w:rsidRPr="00031C61" w14:paraId="2426E1DA" w14:textId="77777777" w:rsidTr="002E2AAD">
        <w:trPr>
          <w:trHeight w:val="300"/>
        </w:trPr>
        <w:tc>
          <w:tcPr>
            <w:tcW w:w="1843" w:type="dxa"/>
          </w:tcPr>
          <w:p w14:paraId="0516DA63" w14:textId="23DB4BCD" w:rsidR="00034F75" w:rsidRPr="00A15A51" w:rsidRDefault="00034F75" w:rsidP="002E2AAD">
            <w:pPr>
              <w:pStyle w:val="Tabletext"/>
            </w:pPr>
            <w:bookmarkStart w:id="45" w:name="_Hlk217308002"/>
            <w:r w:rsidRPr="00A15A51">
              <w:t>Personnel</w:t>
            </w:r>
          </w:p>
        </w:tc>
        <w:tc>
          <w:tcPr>
            <w:tcW w:w="1843" w:type="dxa"/>
          </w:tcPr>
          <w:p w14:paraId="29D2D8BD" w14:textId="3499A334" w:rsidR="00034F75" w:rsidRPr="00A15A51" w:rsidRDefault="00034F75" w:rsidP="002E2AAD">
            <w:pPr>
              <w:pStyle w:val="Tabletext"/>
            </w:pPr>
            <w:r w:rsidRPr="00A15A51">
              <w:t>Staff time</w:t>
            </w:r>
          </w:p>
        </w:tc>
        <w:tc>
          <w:tcPr>
            <w:tcW w:w="11259" w:type="dxa"/>
          </w:tcPr>
          <w:p w14:paraId="18D18E79" w14:textId="6C9B981E" w:rsidR="00034F75" w:rsidRPr="00A15A51" w:rsidRDefault="0076293C" w:rsidP="002E2AAD">
            <w:pPr>
              <w:pStyle w:val="Tabletext"/>
            </w:pPr>
            <w:r>
              <w:t>S</w:t>
            </w:r>
            <w:r w:rsidR="00034F75" w:rsidRPr="00A15A51">
              <w:t xml:space="preserve">takeholders </w:t>
            </w:r>
            <w:r>
              <w:t>said</w:t>
            </w:r>
            <w:r w:rsidRPr="00A15A51">
              <w:t xml:space="preserve"> </w:t>
            </w:r>
            <w:r w:rsidR="00034F75" w:rsidRPr="00A15A51">
              <w:t>that staff from different specialties would be needed to support the treatment pathway for MRTs</w:t>
            </w:r>
            <w:r w:rsidR="007E341B">
              <w:t>. Tasks include</w:t>
            </w:r>
            <w:r w:rsidR="00034F75" w:rsidRPr="00A15A51">
              <w:t xml:space="preserve"> imaging</w:t>
            </w:r>
            <w:r w:rsidR="007E341B">
              <w:t>,</w:t>
            </w:r>
            <w:r w:rsidR="00034F75" w:rsidRPr="00A15A51">
              <w:t xml:space="preserve"> </w:t>
            </w:r>
            <w:r w:rsidR="007E341B" w:rsidRPr="00A15A51">
              <w:t>determin</w:t>
            </w:r>
            <w:r w:rsidR="007E341B">
              <w:t>ing</w:t>
            </w:r>
            <w:r w:rsidR="007E341B" w:rsidRPr="00A15A51">
              <w:t xml:space="preserve"> </w:t>
            </w:r>
            <w:r w:rsidR="00034F75" w:rsidRPr="00A15A51">
              <w:t>eligibility, prepar</w:t>
            </w:r>
            <w:r w:rsidR="007E341B">
              <w:t>ing</w:t>
            </w:r>
            <w:r w:rsidR="00034F75" w:rsidRPr="00A15A51">
              <w:t xml:space="preserve"> treatments</w:t>
            </w:r>
            <w:r w:rsidR="007E341B">
              <w:t xml:space="preserve">, delivering </w:t>
            </w:r>
            <w:r w:rsidR="00034F75" w:rsidRPr="00A15A51">
              <w:t>treatment</w:t>
            </w:r>
            <w:r w:rsidR="001223B1">
              <w:t>,</w:t>
            </w:r>
            <w:r w:rsidR="007E341B">
              <w:t xml:space="preserve"> </w:t>
            </w:r>
            <w:r w:rsidR="00034F75" w:rsidRPr="00A15A51">
              <w:t>post</w:t>
            </w:r>
            <w:r w:rsidR="001223B1">
              <w:t>-</w:t>
            </w:r>
            <w:r w:rsidR="00034F75" w:rsidRPr="00A15A51">
              <w:t>treatment monitoring and imaging</w:t>
            </w:r>
            <w:r w:rsidR="001223B1">
              <w:t>,</w:t>
            </w:r>
            <w:r w:rsidR="00034F75" w:rsidRPr="00A15A51">
              <w:t xml:space="preserve"> and safe disposal of the drug. There </w:t>
            </w:r>
            <w:r w:rsidR="001223B1">
              <w:t>are</w:t>
            </w:r>
            <w:r w:rsidR="001223B1" w:rsidRPr="00A15A51">
              <w:t xml:space="preserve"> </w:t>
            </w:r>
            <w:r w:rsidR="00034F75" w:rsidRPr="00A15A51">
              <w:t xml:space="preserve">likely </w:t>
            </w:r>
            <w:r w:rsidR="001223B1">
              <w:t xml:space="preserve">to </w:t>
            </w:r>
            <w:r w:rsidR="00034F75" w:rsidRPr="00A15A51">
              <w:t>be variations across specific MRT technologies.</w:t>
            </w:r>
          </w:p>
          <w:p w14:paraId="2F839985" w14:textId="059C37CD" w:rsidR="00034F75" w:rsidRPr="00A15A51" w:rsidRDefault="00983BC7" w:rsidP="002E2AAD">
            <w:pPr>
              <w:pStyle w:val="Tabletext"/>
            </w:pPr>
            <w:r>
              <w:t>Stakeholders referenced t</w:t>
            </w:r>
            <w:r w:rsidR="00034F75" w:rsidRPr="00A15A51">
              <w:t xml:space="preserve">he </w:t>
            </w:r>
            <w:r w:rsidRPr="002E2AAD">
              <w:t>NHS service specification for MRT (</w:t>
            </w:r>
            <w:r w:rsidR="007A2597">
              <w:t xml:space="preserve">see </w:t>
            </w:r>
            <w:hyperlink r:id="rId18" w:history="1">
              <w:r w:rsidR="007A2597">
                <w:rPr>
                  <w:rStyle w:val="Hyperlink"/>
                </w:rPr>
                <w:t>NHS England’s MRT service specification</w:t>
              </w:r>
            </w:hyperlink>
            <w:r w:rsidRPr="002E2AAD">
              <w:t>)</w:t>
            </w:r>
            <w:r w:rsidR="00D4788E">
              <w:t>, which reference</w:t>
            </w:r>
            <w:r w:rsidR="00034F75" w:rsidRPr="00A15A51">
              <w:t>s the following essential staff groups:</w:t>
            </w:r>
          </w:p>
          <w:p w14:paraId="66A5567C" w14:textId="59307E03" w:rsidR="00034F75" w:rsidRPr="00A15A51" w:rsidRDefault="00FD374B" w:rsidP="002E2AAD">
            <w:pPr>
              <w:pStyle w:val="Tablebullet"/>
            </w:pPr>
            <w:r>
              <w:t>a</w:t>
            </w:r>
            <w:r w:rsidRPr="00A15A51">
              <w:t xml:space="preserve">t </w:t>
            </w:r>
            <w:r w:rsidR="00034F75" w:rsidRPr="00A15A51">
              <w:t xml:space="preserve">least </w:t>
            </w:r>
            <w:r w:rsidR="00D4788E">
              <w:t>2</w:t>
            </w:r>
            <w:r w:rsidR="00D4788E" w:rsidRPr="00A15A51">
              <w:t xml:space="preserve"> </w:t>
            </w:r>
            <w:r w:rsidR="00034F75" w:rsidRPr="00A15A51">
              <w:t>Administration of Radioactive Substances Advisory Committee (ARSAC)</w:t>
            </w:r>
            <w:r>
              <w:t>-</w:t>
            </w:r>
            <w:r w:rsidR="00034F75" w:rsidRPr="00A15A51">
              <w:t>licensed practitioners</w:t>
            </w:r>
          </w:p>
          <w:p w14:paraId="6FF3C4B6" w14:textId="3E9ABB6C" w:rsidR="00034F75" w:rsidRPr="00A15A51" w:rsidRDefault="00FD374B" w:rsidP="002E2AAD">
            <w:pPr>
              <w:pStyle w:val="Tablebullet"/>
            </w:pPr>
            <w:r>
              <w:t>r</w:t>
            </w:r>
            <w:r w:rsidRPr="00A15A51">
              <w:t xml:space="preserve">adiation </w:t>
            </w:r>
            <w:r>
              <w:t>p</w:t>
            </w:r>
            <w:r w:rsidRPr="00A15A51">
              <w:t xml:space="preserve">rotection </w:t>
            </w:r>
            <w:r>
              <w:t>a</w:t>
            </w:r>
            <w:r w:rsidRPr="00A15A51">
              <w:t>dvisor</w:t>
            </w:r>
          </w:p>
          <w:p w14:paraId="75CE6902" w14:textId="22230E5E" w:rsidR="00034F75" w:rsidRPr="00A15A51" w:rsidRDefault="00FD374B" w:rsidP="002E2AAD">
            <w:pPr>
              <w:pStyle w:val="Tablebullet"/>
            </w:pPr>
            <w:r>
              <w:t>r</w:t>
            </w:r>
            <w:r w:rsidRPr="00A15A51">
              <w:t xml:space="preserve">adiation </w:t>
            </w:r>
            <w:r>
              <w:t>p</w:t>
            </w:r>
            <w:r w:rsidRPr="00A15A51">
              <w:t xml:space="preserve">rotection </w:t>
            </w:r>
            <w:r>
              <w:t>s</w:t>
            </w:r>
            <w:r w:rsidRPr="00A15A51">
              <w:t>upervisor</w:t>
            </w:r>
          </w:p>
          <w:p w14:paraId="0A9F6B57" w14:textId="6B950351" w:rsidR="00034F75" w:rsidRPr="00A15A51" w:rsidRDefault="00FD374B" w:rsidP="002E2AAD">
            <w:pPr>
              <w:pStyle w:val="Tablebullet"/>
            </w:pPr>
            <w:r>
              <w:t>m</w:t>
            </w:r>
            <w:r w:rsidRPr="00A15A51">
              <w:t xml:space="preserve">edical </w:t>
            </w:r>
            <w:r>
              <w:t>p</w:t>
            </w:r>
            <w:r w:rsidRPr="00A15A51">
              <w:t xml:space="preserve">hysics </w:t>
            </w:r>
            <w:r>
              <w:t>e</w:t>
            </w:r>
            <w:r w:rsidRPr="00A15A51">
              <w:t>xpert</w:t>
            </w:r>
          </w:p>
          <w:p w14:paraId="20E59497" w14:textId="61663C4B" w:rsidR="00034F75" w:rsidRPr="00A15A51" w:rsidRDefault="00FD374B" w:rsidP="002E2AAD">
            <w:pPr>
              <w:pStyle w:val="Tablebullet"/>
            </w:pPr>
            <w:r>
              <w:t>r</w:t>
            </w:r>
            <w:r w:rsidRPr="00A15A51">
              <w:t xml:space="preserve">adioactive </w:t>
            </w:r>
            <w:r>
              <w:t>w</w:t>
            </w:r>
            <w:r w:rsidRPr="00A15A51">
              <w:t xml:space="preserve">aste </w:t>
            </w:r>
            <w:r>
              <w:t>a</w:t>
            </w:r>
            <w:r w:rsidRPr="00A15A51">
              <w:t>dvisor</w:t>
            </w:r>
          </w:p>
          <w:p w14:paraId="2282303C" w14:textId="0053BC1A" w:rsidR="00034F75" w:rsidRPr="00A15A51" w:rsidRDefault="00FD374B" w:rsidP="002E2AAD">
            <w:pPr>
              <w:pStyle w:val="Tablebullet"/>
            </w:pPr>
            <w:r>
              <w:t>r</w:t>
            </w:r>
            <w:r w:rsidRPr="00A15A51">
              <w:t>adiographers</w:t>
            </w:r>
            <w:r>
              <w:t xml:space="preserve"> or</w:t>
            </w:r>
            <w:r w:rsidR="00034F75" w:rsidRPr="00A15A51">
              <w:t xml:space="preserve"> clinical technologists (or technologists</w:t>
            </w:r>
            <w:r>
              <w:t xml:space="preserve">, </w:t>
            </w:r>
            <w:r w:rsidR="00034F75" w:rsidRPr="00A15A51">
              <w:t xml:space="preserve">diagnostic and therapeutic), physicists </w:t>
            </w:r>
            <w:r>
              <w:t xml:space="preserve">or </w:t>
            </w:r>
            <w:r w:rsidR="00034F75" w:rsidRPr="00A15A51">
              <w:t>clinical scientists or oncologists</w:t>
            </w:r>
            <w:r>
              <w:t xml:space="preserve"> or </w:t>
            </w:r>
            <w:r w:rsidR="00034F75" w:rsidRPr="00A15A51">
              <w:t>other clinical specialists as appropriate</w:t>
            </w:r>
          </w:p>
          <w:p w14:paraId="77813D4B" w14:textId="1EFB8F7F" w:rsidR="00034F75" w:rsidRPr="00A15A51" w:rsidRDefault="00FD374B" w:rsidP="002E2AAD">
            <w:pPr>
              <w:pStyle w:val="Tablebullet"/>
            </w:pPr>
            <w:r>
              <w:t>s</w:t>
            </w:r>
            <w:r w:rsidRPr="00A15A51">
              <w:t>urgeons</w:t>
            </w:r>
            <w:r w:rsidR="00034F75" w:rsidRPr="00A15A51">
              <w:t>, whe</w:t>
            </w:r>
            <w:r>
              <w:t>n</w:t>
            </w:r>
            <w:r w:rsidR="00034F75" w:rsidRPr="00A15A51">
              <w:t xml:space="preserve"> </w:t>
            </w:r>
            <w:r>
              <w:t>need</w:t>
            </w:r>
            <w:r w:rsidRPr="00A15A51">
              <w:t>ed</w:t>
            </w:r>
          </w:p>
          <w:p w14:paraId="7D50E9D1" w14:textId="2EB1AFA5" w:rsidR="00034F75" w:rsidRPr="00A15A51" w:rsidRDefault="00FD374B" w:rsidP="00E22299">
            <w:pPr>
              <w:pStyle w:val="Tablebullet"/>
            </w:pPr>
            <w:r>
              <w:t>n</w:t>
            </w:r>
            <w:r w:rsidRPr="00A15A51">
              <w:t xml:space="preserve">uclear </w:t>
            </w:r>
            <w:r w:rsidR="00034F75" w:rsidRPr="00A15A51">
              <w:t>medicine physicians</w:t>
            </w:r>
            <w:r>
              <w:t xml:space="preserve"> or n</w:t>
            </w:r>
            <w:r w:rsidR="00034F75" w:rsidRPr="00A15A51">
              <w:t>uclear medicine radiologist</w:t>
            </w:r>
            <w:r w:rsidRPr="00A15A51">
              <w:t>s</w:t>
            </w:r>
            <w:r w:rsidR="00746722">
              <w:t>.</w:t>
            </w:r>
          </w:p>
        </w:tc>
      </w:tr>
      <w:tr w:rsidR="00034F75" w:rsidRPr="00031C61" w14:paraId="070FD20E" w14:textId="77777777" w:rsidTr="002E2AAD">
        <w:trPr>
          <w:trHeight w:val="300"/>
        </w:trPr>
        <w:tc>
          <w:tcPr>
            <w:tcW w:w="1843" w:type="dxa"/>
          </w:tcPr>
          <w:p w14:paraId="5FF6CAB9" w14:textId="0687ABE8" w:rsidR="00034F75" w:rsidRPr="00A15A51" w:rsidRDefault="00034F75" w:rsidP="002E2AAD">
            <w:pPr>
              <w:pStyle w:val="Tabletext"/>
            </w:pPr>
            <w:r w:rsidRPr="00A15A51">
              <w:t>Personnel</w:t>
            </w:r>
          </w:p>
        </w:tc>
        <w:tc>
          <w:tcPr>
            <w:tcW w:w="1843" w:type="dxa"/>
          </w:tcPr>
          <w:p w14:paraId="2D6459B5" w14:textId="6F0CFA9A" w:rsidR="00034F75" w:rsidRPr="00A15A51" w:rsidRDefault="00034F75" w:rsidP="002E2AAD">
            <w:pPr>
              <w:pStyle w:val="Tabletext"/>
            </w:pPr>
            <w:r w:rsidRPr="00A15A51">
              <w:t>Staff numbers</w:t>
            </w:r>
          </w:p>
        </w:tc>
        <w:tc>
          <w:tcPr>
            <w:tcW w:w="11259" w:type="dxa"/>
          </w:tcPr>
          <w:p w14:paraId="7DD2478C" w14:textId="0AE8276C" w:rsidR="00034F75" w:rsidRPr="00A15A51" w:rsidRDefault="0021741D" w:rsidP="002E2AAD">
            <w:pPr>
              <w:pStyle w:val="Tabletext"/>
            </w:pPr>
            <w:r>
              <w:t>Stakeholders highlighted c</w:t>
            </w:r>
            <w:r w:rsidR="00034F75" w:rsidRPr="00A15A51">
              <w:t>urrent staff shortages and the need to significantly increase the number of staff as MRTs expand to other indications</w:t>
            </w:r>
            <w:r>
              <w:t>.</w:t>
            </w:r>
          </w:p>
        </w:tc>
      </w:tr>
      <w:tr w:rsidR="00034F75" w:rsidRPr="00031C61" w14:paraId="2EB85D01" w14:textId="77777777" w:rsidTr="002E2AAD">
        <w:trPr>
          <w:trHeight w:val="300"/>
        </w:trPr>
        <w:tc>
          <w:tcPr>
            <w:tcW w:w="1843" w:type="dxa"/>
          </w:tcPr>
          <w:p w14:paraId="4097E4DF" w14:textId="2942C223" w:rsidR="00034F75" w:rsidRPr="00A15A51" w:rsidRDefault="00034F75" w:rsidP="002E2AAD">
            <w:pPr>
              <w:pStyle w:val="Tabletext"/>
            </w:pPr>
            <w:r w:rsidRPr="007F3220">
              <w:t>Personnel</w:t>
            </w:r>
          </w:p>
        </w:tc>
        <w:tc>
          <w:tcPr>
            <w:tcW w:w="1843" w:type="dxa"/>
          </w:tcPr>
          <w:p w14:paraId="0865EDD1" w14:textId="4A4B2A05" w:rsidR="00034F75" w:rsidRPr="00A15A51" w:rsidRDefault="00034F75" w:rsidP="002E2AAD">
            <w:pPr>
              <w:pStyle w:val="Tabletext"/>
            </w:pPr>
            <w:r w:rsidRPr="00A15A51">
              <w:t>Staff recruitment</w:t>
            </w:r>
          </w:p>
        </w:tc>
        <w:tc>
          <w:tcPr>
            <w:tcW w:w="11259" w:type="dxa"/>
          </w:tcPr>
          <w:p w14:paraId="4961243F" w14:textId="5E90B5AE" w:rsidR="00034F75" w:rsidRPr="00A15A51" w:rsidRDefault="00034F75" w:rsidP="002E2AAD">
            <w:pPr>
              <w:pStyle w:val="Tabletext"/>
            </w:pPr>
            <w:r w:rsidRPr="00A15A51">
              <w:t xml:space="preserve">One stakeholder </w:t>
            </w:r>
            <w:r w:rsidR="000722E4">
              <w:t>said</w:t>
            </w:r>
            <w:r w:rsidRPr="00A15A51">
              <w:t xml:space="preserve"> that a </w:t>
            </w:r>
            <w:r w:rsidR="0021741D">
              <w:t>‘</w:t>
            </w:r>
            <w:r w:rsidRPr="00A15A51">
              <w:t>hidden cost</w:t>
            </w:r>
            <w:r w:rsidR="0021741D">
              <w:t>’</w:t>
            </w:r>
            <w:r w:rsidRPr="00A15A51">
              <w:t xml:space="preserve"> of MRT implementation is the reluctance of </w:t>
            </w:r>
            <w:r w:rsidR="0021741D">
              <w:t>some staff</w:t>
            </w:r>
            <w:r w:rsidRPr="00A15A51">
              <w:t xml:space="preserve"> to work with radioactive substances</w:t>
            </w:r>
            <w:r w:rsidR="0021741D">
              <w:t xml:space="preserve">. They said that </w:t>
            </w:r>
            <w:r w:rsidRPr="00A15A51">
              <w:t xml:space="preserve">this may increase the </w:t>
            </w:r>
            <w:r w:rsidR="0021741D">
              <w:t>burden</w:t>
            </w:r>
            <w:r w:rsidR="0021741D" w:rsidRPr="00A15A51">
              <w:t xml:space="preserve"> </w:t>
            </w:r>
            <w:r w:rsidRPr="00A15A51">
              <w:t>on recruitment</w:t>
            </w:r>
            <w:r w:rsidR="0021741D">
              <w:t>.</w:t>
            </w:r>
          </w:p>
        </w:tc>
      </w:tr>
      <w:tr w:rsidR="00034F75" w:rsidRPr="00031C61" w14:paraId="7EC8E0CD" w14:textId="77777777" w:rsidTr="002E2AAD">
        <w:trPr>
          <w:trHeight w:val="300"/>
        </w:trPr>
        <w:tc>
          <w:tcPr>
            <w:tcW w:w="1843" w:type="dxa"/>
          </w:tcPr>
          <w:p w14:paraId="2DF6B53E" w14:textId="0CB84576" w:rsidR="00034F75" w:rsidRPr="00A15A51" w:rsidRDefault="00034F75" w:rsidP="002E2AAD">
            <w:pPr>
              <w:pStyle w:val="Tabletext"/>
            </w:pPr>
            <w:r w:rsidRPr="007F3220">
              <w:t>Personnel</w:t>
            </w:r>
          </w:p>
        </w:tc>
        <w:tc>
          <w:tcPr>
            <w:tcW w:w="1843" w:type="dxa"/>
          </w:tcPr>
          <w:p w14:paraId="08F8BB6E" w14:textId="3DE24ED2" w:rsidR="00034F75" w:rsidRPr="00A15A51" w:rsidRDefault="00034F75" w:rsidP="002E2AAD">
            <w:pPr>
              <w:pStyle w:val="Tabletext"/>
            </w:pPr>
            <w:r w:rsidRPr="00A15A51">
              <w:t>Staff training and upskilling</w:t>
            </w:r>
          </w:p>
        </w:tc>
        <w:tc>
          <w:tcPr>
            <w:tcW w:w="11259" w:type="dxa"/>
          </w:tcPr>
          <w:p w14:paraId="493B30B8" w14:textId="6B90F876" w:rsidR="00034F75" w:rsidRPr="00A15A51" w:rsidRDefault="00034F75" w:rsidP="002E2AAD">
            <w:pPr>
              <w:pStyle w:val="Tabletext"/>
            </w:pPr>
            <w:r w:rsidRPr="00A15A51">
              <w:t xml:space="preserve">While discussing staff shortages, </w:t>
            </w:r>
            <w:r w:rsidR="0021741D">
              <w:t>a</w:t>
            </w:r>
            <w:r w:rsidR="0021741D" w:rsidRPr="00A15A51">
              <w:t xml:space="preserve"> </w:t>
            </w:r>
            <w:r w:rsidRPr="00A15A51">
              <w:t xml:space="preserve">stakeholder </w:t>
            </w:r>
            <w:r w:rsidR="000722E4">
              <w:t>said</w:t>
            </w:r>
            <w:r w:rsidRPr="00A15A51">
              <w:t xml:space="preserve"> that some centres are training their own staff to address shortages in specific staff categories. Training time </w:t>
            </w:r>
            <w:r w:rsidR="0021741D">
              <w:t>need</w:t>
            </w:r>
            <w:r w:rsidR="0021741D" w:rsidRPr="00A15A51">
              <w:t xml:space="preserve">ed </w:t>
            </w:r>
            <w:r w:rsidRPr="00A15A51">
              <w:t xml:space="preserve">will vary across different staff </w:t>
            </w:r>
            <w:r w:rsidR="0021741D">
              <w:t>typ</w:t>
            </w:r>
            <w:r w:rsidRPr="00A15A51">
              <w:t>es. In addition to general training, specific training for deliver</w:t>
            </w:r>
            <w:r w:rsidR="0021741D">
              <w:t>ing</w:t>
            </w:r>
            <w:r w:rsidRPr="00A15A51">
              <w:t xml:space="preserve"> each newly recommended </w:t>
            </w:r>
            <w:r w:rsidR="00D35137">
              <w:t>isotop</w:t>
            </w:r>
            <w:r w:rsidRPr="00A15A51">
              <w:t>e will be needed.</w:t>
            </w:r>
          </w:p>
        </w:tc>
      </w:tr>
      <w:tr w:rsidR="00034F75" w:rsidRPr="00031C61" w14:paraId="235271B4" w14:textId="77777777" w:rsidTr="002E2AAD">
        <w:trPr>
          <w:trHeight w:val="908"/>
        </w:trPr>
        <w:tc>
          <w:tcPr>
            <w:tcW w:w="1843" w:type="dxa"/>
          </w:tcPr>
          <w:p w14:paraId="18EC124B" w14:textId="793DC06D" w:rsidR="00034F75" w:rsidRPr="00A15A51" w:rsidRDefault="00034F75" w:rsidP="002E2AAD">
            <w:pPr>
              <w:pStyle w:val="Tabletext"/>
            </w:pPr>
            <w:r w:rsidRPr="007F3220">
              <w:t>Personnel</w:t>
            </w:r>
          </w:p>
        </w:tc>
        <w:tc>
          <w:tcPr>
            <w:tcW w:w="1843" w:type="dxa"/>
          </w:tcPr>
          <w:p w14:paraId="6F28C556" w14:textId="4FB61FBA" w:rsidR="00034F75" w:rsidRPr="00A15A51" w:rsidRDefault="00034F75" w:rsidP="002E2AAD">
            <w:pPr>
              <w:pStyle w:val="Tabletext"/>
            </w:pPr>
            <w:r w:rsidRPr="00A15A51">
              <w:t>Staff certification</w:t>
            </w:r>
          </w:p>
        </w:tc>
        <w:tc>
          <w:tcPr>
            <w:tcW w:w="11259" w:type="dxa"/>
          </w:tcPr>
          <w:p w14:paraId="0A275E1F" w14:textId="37C950D7" w:rsidR="00034F75" w:rsidRPr="00A15A51" w:rsidRDefault="00034F75" w:rsidP="002E2AAD">
            <w:pPr>
              <w:pStyle w:val="Tabletext"/>
            </w:pPr>
            <w:r w:rsidRPr="00A15A51">
              <w:t xml:space="preserve">Stakeholders </w:t>
            </w:r>
            <w:r w:rsidR="000722E4">
              <w:t>said</w:t>
            </w:r>
            <w:r w:rsidR="003B0464">
              <w:t xml:space="preserve"> </w:t>
            </w:r>
            <w:hyperlink r:id="rId19" w:history="1">
              <w:r w:rsidR="003B0464" w:rsidRPr="00C55EF4">
                <w:rPr>
                  <w:rStyle w:val="Hyperlink"/>
                </w:rPr>
                <w:t>ARSAC licensing requirements</w:t>
              </w:r>
            </w:hyperlink>
            <w:r w:rsidR="003B0464">
              <w:t xml:space="preserve"> </w:t>
            </w:r>
            <w:r w:rsidR="00C55EF4">
              <w:t>for</w:t>
            </w:r>
            <w:r w:rsidRPr="00A15A51">
              <w:t xml:space="preserve"> implement</w:t>
            </w:r>
            <w:r w:rsidR="00C55EF4">
              <w:t>ing</w:t>
            </w:r>
            <w:r w:rsidRPr="00A15A51">
              <w:t xml:space="preserve"> MRT. ARSAC licences are </w:t>
            </w:r>
            <w:r w:rsidR="00C55EF4" w:rsidRPr="00A15A51">
              <w:t>ne</w:t>
            </w:r>
            <w:r w:rsidR="00C55EF4">
              <w:t>eded</w:t>
            </w:r>
            <w:r w:rsidR="00C55EF4" w:rsidRPr="00A15A51">
              <w:t xml:space="preserve"> </w:t>
            </w:r>
            <w:r w:rsidRPr="00A15A51">
              <w:t xml:space="preserve">for each of the procedures </w:t>
            </w:r>
            <w:r w:rsidR="00D65835">
              <w:t>done</w:t>
            </w:r>
            <w:r w:rsidRPr="00A15A51">
              <w:t xml:space="preserve">. The ARSAC website states that there are no fees for processing any practitioner applications. But staff time will be needed to complete the applications. </w:t>
            </w:r>
          </w:p>
        </w:tc>
      </w:tr>
      <w:tr w:rsidR="00034F75" w:rsidRPr="00031C61" w14:paraId="14796FCC" w14:textId="77777777" w:rsidTr="002E2AAD">
        <w:trPr>
          <w:trHeight w:val="908"/>
        </w:trPr>
        <w:tc>
          <w:tcPr>
            <w:tcW w:w="1843" w:type="dxa"/>
          </w:tcPr>
          <w:p w14:paraId="14A1472C" w14:textId="553BF74F" w:rsidR="00034F75" w:rsidRPr="00A15A51" w:rsidRDefault="00034F75" w:rsidP="002E2AAD">
            <w:pPr>
              <w:pStyle w:val="Tabletext"/>
            </w:pPr>
            <w:r w:rsidRPr="007F3220">
              <w:t>Personnel</w:t>
            </w:r>
          </w:p>
        </w:tc>
        <w:tc>
          <w:tcPr>
            <w:tcW w:w="1843" w:type="dxa"/>
          </w:tcPr>
          <w:p w14:paraId="45529F4B" w14:textId="6991ACDB" w:rsidR="00034F75" w:rsidRPr="00A15A51" w:rsidRDefault="00034F75" w:rsidP="002E2AAD">
            <w:pPr>
              <w:pStyle w:val="Tabletext"/>
            </w:pPr>
            <w:r w:rsidRPr="00A15A51">
              <w:t>Overheads</w:t>
            </w:r>
          </w:p>
        </w:tc>
        <w:tc>
          <w:tcPr>
            <w:tcW w:w="11259" w:type="dxa"/>
          </w:tcPr>
          <w:p w14:paraId="0DB5DA03" w14:textId="6B36C637" w:rsidR="00034F75" w:rsidRPr="00A15A51" w:rsidRDefault="00034F75" w:rsidP="002E2AAD">
            <w:pPr>
              <w:pStyle w:val="Tabletext"/>
            </w:pPr>
            <w:r w:rsidRPr="00A15A51">
              <w:t xml:space="preserve">Not </w:t>
            </w:r>
            <w:r w:rsidRPr="6BCEEF07">
              <w:t xml:space="preserve">explicitly </w:t>
            </w:r>
            <w:r w:rsidR="00E241EA">
              <w:t xml:space="preserve">stated </w:t>
            </w:r>
            <w:r w:rsidRPr="00A15A51">
              <w:t>but likely to be relevant.</w:t>
            </w:r>
          </w:p>
        </w:tc>
      </w:tr>
      <w:tr w:rsidR="00034F75" w:rsidRPr="00031C61" w14:paraId="2BD33F2C" w14:textId="77777777" w:rsidTr="002E2AAD">
        <w:trPr>
          <w:trHeight w:val="300"/>
        </w:trPr>
        <w:tc>
          <w:tcPr>
            <w:tcW w:w="1843" w:type="dxa"/>
          </w:tcPr>
          <w:p w14:paraId="78E4376C" w14:textId="391D8805" w:rsidR="00034F75" w:rsidRPr="00A15A51" w:rsidRDefault="00034F75" w:rsidP="002E2AAD">
            <w:pPr>
              <w:pStyle w:val="Tabletext"/>
            </w:pPr>
            <w:r w:rsidRPr="00A15A51">
              <w:t>Capital infrastructure</w:t>
            </w:r>
          </w:p>
        </w:tc>
        <w:tc>
          <w:tcPr>
            <w:tcW w:w="1843" w:type="dxa"/>
          </w:tcPr>
          <w:p w14:paraId="53A95D4A" w14:textId="6A81457A" w:rsidR="00034F75" w:rsidRPr="00A15A51" w:rsidRDefault="00034F75" w:rsidP="00456581">
            <w:pPr>
              <w:pStyle w:val="Tabletext"/>
            </w:pPr>
            <w:r w:rsidRPr="00A15A51">
              <w:t>Physical infrastructure</w:t>
            </w:r>
          </w:p>
        </w:tc>
        <w:tc>
          <w:tcPr>
            <w:tcW w:w="11259" w:type="dxa"/>
          </w:tcPr>
          <w:p w14:paraId="3AA50212" w14:textId="73BBA938" w:rsidR="00034F75" w:rsidRPr="00A15A51" w:rsidRDefault="00034F75" w:rsidP="002E2AAD">
            <w:pPr>
              <w:pStyle w:val="Tablebullet"/>
            </w:pPr>
            <w:r w:rsidRPr="00A15A51">
              <w:t xml:space="preserve">Stakeholders </w:t>
            </w:r>
            <w:r w:rsidR="00E241EA">
              <w:t xml:space="preserve">mentioned </w:t>
            </w:r>
            <w:r w:rsidRPr="00A15A51">
              <w:t>implementation constraints related to physical infrastructure. Infrastructure needs include physical space to deliver treatments and monitor patients immediately post treatment, and special infrastructure (</w:t>
            </w:r>
            <w:r w:rsidR="005C0D22">
              <w:t>for example</w:t>
            </w:r>
            <w:r w:rsidRPr="00A15A51">
              <w:t>, drains or toilets) to dispose of radioactive materials. These infrastructure requirements would need to meet specific radiation safety and environmental standards.</w:t>
            </w:r>
          </w:p>
          <w:p w14:paraId="183EC3AF" w14:textId="102B7A9D" w:rsidR="00034F75" w:rsidRPr="00A15A51" w:rsidRDefault="00034F75" w:rsidP="002E2AAD">
            <w:pPr>
              <w:pStyle w:val="Tablebullet"/>
            </w:pPr>
            <w:r w:rsidRPr="00A15A51">
              <w:t xml:space="preserve">Stakeholders </w:t>
            </w:r>
            <w:r w:rsidR="000722E4">
              <w:t>said</w:t>
            </w:r>
            <w:r w:rsidRPr="00A15A51">
              <w:t xml:space="preserve"> that currently MRT is delivered in a relatively small number of specialist centres and </w:t>
            </w:r>
            <w:r w:rsidR="00E241EA">
              <w:t xml:space="preserve">that there are </w:t>
            </w:r>
            <w:r w:rsidRPr="00A15A51">
              <w:t xml:space="preserve">geographic inequalities in access to treatment. </w:t>
            </w:r>
            <w:r w:rsidR="0097646A" w:rsidRPr="00A15A51">
              <w:t>Stakeholder</w:t>
            </w:r>
            <w:r w:rsidR="0097646A">
              <w:t>s</w:t>
            </w:r>
            <w:r w:rsidRPr="00A15A51">
              <w:t xml:space="preserve"> also </w:t>
            </w:r>
            <w:r w:rsidR="000722E4">
              <w:t>said</w:t>
            </w:r>
            <w:r w:rsidRPr="00A15A51">
              <w:t xml:space="preserve"> that growth in the number of treatments delivered per centre is constrained by limits in the amount of radioactive waste by site.</w:t>
            </w:r>
          </w:p>
          <w:p w14:paraId="464DA582" w14:textId="1163F3C8" w:rsidR="00034F75" w:rsidRPr="00A15A51" w:rsidRDefault="00034F75" w:rsidP="002E2AAD">
            <w:pPr>
              <w:pStyle w:val="Tablebullet"/>
            </w:pPr>
            <w:r w:rsidRPr="00A15A51">
              <w:t>Stakeholders pointed to several reports mapping existing MRT services and future recommendations and suggested potential implementation strategies to expand current services (</w:t>
            </w:r>
            <w:r w:rsidR="002B15B2">
              <w:t>for example</w:t>
            </w:r>
            <w:r w:rsidRPr="00A15A51">
              <w:t>, network-based</w:t>
            </w:r>
            <w:r w:rsidR="002B15B2">
              <w:t xml:space="preserve"> or</w:t>
            </w:r>
            <w:r w:rsidRPr="00A15A51">
              <w:t xml:space="preserve"> hub-and-spoke delivery models with centralised imaging</w:t>
            </w:r>
            <w:r w:rsidR="002B15B2">
              <w:t xml:space="preserve"> or </w:t>
            </w:r>
            <w:r w:rsidRPr="00A15A51">
              <w:t>data processing)</w:t>
            </w:r>
            <w:r w:rsidR="002B15B2">
              <w:t>.</w:t>
            </w:r>
          </w:p>
        </w:tc>
      </w:tr>
      <w:tr w:rsidR="00034F75" w:rsidRPr="00031C61" w14:paraId="0336435B" w14:textId="77777777" w:rsidTr="002E2AAD">
        <w:trPr>
          <w:trHeight w:val="300"/>
        </w:trPr>
        <w:tc>
          <w:tcPr>
            <w:tcW w:w="1843" w:type="dxa"/>
          </w:tcPr>
          <w:p w14:paraId="238209A3" w14:textId="38F6019A" w:rsidR="00034F75" w:rsidRPr="00A15A51" w:rsidRDefault="00034F75" w:rsidP="002E2AAD">
            <w:pPr>
              <w:pStyle w:val="Tabletext"/>
            </w:pPr>
            <w:r w:rsidRPr="00052F20">
              <w:t>Capital infrastructure</w:t>
            </w:r>
          </w:p>
        </w:tc>
        <w:tc>
          <w:tcPr>
            <w:tcW w:w="1843" w:type="dxa"/>
          </w:tcPr>
          <w:p w14:paraId="33D20F48" w14:textId="214D09EA" w:rsidR="00034F75" w:rsidRPr="00A15A51" w:rsidRDefault="00034F75" w:rsidP="002E2AAD">
            <w:pPr>
              <w:pStyle w:val="Tabletext"/>
            </w:pPr>
            <w:r w:rsidRPr="00A15A51">
              <w:t>Equipment</w:t>
            </w:r>
          </w:p>
        </w:tc>
        <w:tc>
          <w:tcPr>
            <w:tcW w:w="11259" w:type="dxa"/>
          </w:tcPr>
          <w:p w14:paraId="1CA10F48" w14:textId="41FB6F0E" w:rsidR="00034F75" w:rsidRPr="00A15A51" w:rsidRDefault="00034F75" w:rsidP="002E2AAD">
            <w:pPr>
              <w:pStyle w:val="Tabletext"/>
            </w:pPr>
            <w:r w:rsidRPr="00A15A51">
              <w:t>Lack of access to imaging equipment (</w:t>
            </w:r>
            <w:r w:rsidR="002B15B2">
              <w:t>for example</w:t>
            </w:r>
            <w:r w:rsidRPr="00A15A51">
              <w:t xml:space="preserve">, PET scans) was </w:t>
            </w:r>
            <w:r w:rsidR="000722E4">
              <w:t>said</w:t>
            </w:r>
            <w:r w:rsidRPr="00A15A51">
              <w:t xml:space="preserve"> as a major constraint to implement</w:t>
            </w:r>
            <w:r w:rsidR="002B15B2">
              <w:t>ing</w:t>
            </w:r>
            <w:r w:rsidRPr="00A15A51">
              <w:t xml:space="preserve"> MRTs. The need to increase access to imaging </w:t>
            </w:r>
            <w:r w:rsidR="002B15B2">
              <w:t>applies to</w:t>
            </w:r>
            <w:r w:rsidRPr="00A15A51">
              <w:t xml:space="preserve"> diagnostics</w:t>
            </w:r>
            <w:r w:rsidR="002B15B2">
              <w:t xml:space="preserve"> and</w:t>
            </w:r>
            <w:r w:rsidRPr="00A15A51">
              <w:t xml:space="preserve"> dosimetry.</w:t>
            </w:r>
          </w:p>
          <w:p w14:paraId="69D3F3A0" w14:textId="6E29065C" w:rsidR="00034F75" w:rsidRPr="00A15A51" w:rsidRDefault="002B15B2" w:rsidP="002E2AAD">
            <w:pPr>
              <w:pStyle w:val="Tabletext"/>
            </w:pPr>
            <w:r>
              <w:t xml:space="preserve">Stakeholders </w:t>
            </w:r>
            <w:r w:rsidR="000722E4">
              <w:t>said</w:t>
            </w:r>
            <w:r>
              <w:t xml:space="preserve"> </w:t>
            </w:r>
            <w:r w:rsidR="00034F75" w:rsidRPr="00A15A51">
              <w:t>NHS England’s MRT service specification requirements</w:t>
            </w:r>
            <w:r>
              <w:t xml:space="preserve">, which </w:t>
            </w:r>
            <w:r w:rsidR="00034F75" w:rsidRPr="00A15A51">
              <w:t xml:space="preserve">include a list of equipment that providers at different levels need to deliver MRT services. </w:t>
            </w:r>
          </w:p>
        </w:tc>
      </w:tr>
      <w:tr w:rsidR="00034F75" w:rsidRPr="00031C61" w14:paraId="7ED19FAF" w14:textId="77777777" w:rsidTr="002E2AAD">
        <w:trPr>
          <w:trHeight w:val="300"/>
        </w:trPr>
        <w:tc>
          <w:tcPr>
            <w:tcW w:w="1843" w:type="dxa"/>
          </w:tcPr>
          <w:p w14:paraId="0A109FAC" w14:textId="63EACB72" w:rsidR="00034F75" w:rsidRPr="00A15A51" w:rsidRDefault="00034F75" w:rsidP="002E2AAD">
            <w:pPr>
              <w:pStyle w:val="Tabletext"/>
            </w:pPr>
            <w:r w:rsidRPr="00052F20">
              <w:t>Capital infrastructure</w:t>
            </w:r>
          </w:p>
        </w:tc>
        <w:tc>
          <w:tcPr>
            <w:tcW w:w="1843" w:type="dxa"/>
          </w:tcPr>
          <w:p w14:paraId="6CC206E0" w14:textId="46ECEB6D" w:rsidR="00034F75" w:rsidRPr="00A15A51" w:rsidRDefault="00034F75" w:rsidP="002E2AAD">
            <w:pPr>
              <w:pStyle w:val="Tabletext"/>
            </w:pPr>
            <w:r w:rsidRPr="00A15A51">
              <w:t>Digital infrastructure</w:t>
            </w:r>
          </w:p>
        </w:tc>
        <w:tc>
          <w:tcPr>
            <w:tcW w:w="11259" w:type="dxa"/>
          </w:tcPr>
          <w:p w14:paraId="6A8EAEB7" w14:textId="3DB5C77B" w:rsidR="00034F75" w:rsidRPr="00A15A51" w:rsidRDefault="002B15B2" w:rsidP="002E2AAD">
            <w:pPr>
              <w:pStyle w:val="Tabletext"/>
            </w:pPr>
            <w:r>
              <w:t>A</w:t>
            </w:r>
            <w:r w:rsidR="00034F75" w:rsidRPr="00A15A51">
              <w:t xml:space="preserve"> stakeholder </w:t>
            </w:r>
            <w:r w:rsidR="000722E4">
              <w:t>s</w:t>
            </w:r>
            <w:r w:rsidR="00B85F6D">
              <w:t xml:space="preserve">tated that there is a </w:t>
            </w:r>
            <w:r w:rsidR="00034F75" w:rsidRPr="00A15A51">
              <w:t xml:space="preserve">lack of adequate infrastructure for data processing for dosimetry in the UK. </w:t>
            </w:r>
          </w:p>
        </w:tc>
      </w:tr>
      <w:tr w:rsidR="00034F75" w:rsidRPr="00031C61" w14:paraId="6AB9B597" w14:textId="77777777" w:rsidTr="002E2AAD">
        <w:trPr>
          <w:trHeight w:val="300"/>
        </w:trPr>
        <w:tc>
          <w:tcPr>
            <w:tcW w:w="1843" w:type="dxa"/>
          </w:tcPr>
          <w:p w14:paraId="7BA92727" w14:textId="2C4044E2" w:rsidR="00034F75" w:rsidRPr="00A15A51" w:rsidRDefault="00034F75" w:rsidP="002E2AAD">
            <w:pPr>
              <w:pStyle w:val="Tabletext"/>
            </w:pPr>
            <w:r w:rsidRPr="00052F20">
              <w:t>Capital infrastructure</w:t>
            </w:r>
          </w:p>
        </w:tc>
        <w:tc>
          <w:tcPr>
            <w:tcW w:w="1843" w:type="dxa"/>
          </w:tcPr>
          <w:p w14:paraId="3E18EFCD" w14:textId="14A7926D" w:rsidR="00034F75" w:rsidRPr="00A15A51" w:rsidRDefault="00034F75" w:rsidP="002E2AAD">
            <w:pPr>
              <w:pStyle w:val="Tabletext"/>
            </w:pPr>
            <w:r w:rsidRPr="00A15A51">
              <w:t>Site certification</w:t>
            </w:r>
          </w:p>
        </w:tc>
        <w:tc>
          <w:tcPr>
            <w:tcW w:w="11259" w:type="dxa"/>
          </w:tcPr>
          <w:p w14:paraId="5DB458A6" w14:textId="1674BB6E" w:rsidR="00034F75" w:rsidRPr="00A15A51" w:rsidRDefault="00034F75" w:rsidP="002E2AAD">
            <w:pPr>
              <w:pStyle w:val="Tabletext"/>
            </w:pPr>
            <w:r w:rsidRPr="00A15A51">
              <w:t xml:space="preserve">In addition to certification at the provider level, ARSAC licensing requirements </w:t>
            </w:r>
            <w:r w:rsidR="002B15B2">
              <w:t xml:space="preserve">are </w:t>
            </w:r>
            <w:r w:rsidRPr="00A15A51">
              <w:t>needed for implement</w:t>
            </w:r>
            <w:r w:rsidR="002B15B2">
              <w:t>ing</w:t>
            </w:r>
            <w:r w:rsidRPr="00A15A51">
              <w:t xml:space="preserve"> MRT. Fees are available </w:t>
            </w:r>
            <w:r w:rsidR="002B15B2">
              <w:t>at</w:t>
            </w:r>
            <w:r w:rsidR="00B80A60">
              <w:t xml:space="preserve"> the</w:t>
            </w:r>
            <w:r w:rsidRPr="00A15A51">
              <w:t xml:space="preserve"> </w:t>
            </w:r>
            <w:hyperlink r:id="rId20">
              <w:r w:rsidR="002C4669" w:rsidRPr="002E2AAD">
                <w:rPr>
                  <w:rStyle w:val="Hyperlink"/>
                  <w:sz w:val="24"/>
                </w:rPr>
                <w:t>ARSAC support unit website on how to submit employer licence applications to ARSAC</w:t>
              </w:r>
            </w:hyperlink>
            <w:r w:rsidR="002C4669">
              <w:t>.</w:t>
            </w:r>
          </w:p>
        </w:tc>
      </w:tr>
      <w:tr w:rsidR="00034F75" w:rsidRPr="00031C61" w14:paraId="6C19FF37" w14:textId="77777777" w:rsidTr="002E2AAD">
        <w:trPr>
          <w:trHeight w:val="300"/>
        </w:trPr>
        <w:tc>
          <w:tcPr>
            <w:tcW w:w="1843" w:type="dxa"/>
          </w:tcPr>
          <w:p w14:paraId="1CD7D0E2" w14:textId="4599CA0C" w:rsidR="00034F75" w:rsidRPr="00A15A51" w:rsidRDefault="00034F75" w:rsidP="002E2AAD">
            <w:pPr>
              <w:pStyle w:val="Tabletext"/>
            </w:pPr>
            <w:r w:rsidRPr="00A15A51">
              <w:t>Non-personnel</w:t>
            </w:r>
          </w:p>
        </w:tc>
        <w:tc>
          <w:tcPr>
            <w:tcW w:w="1843" w:type="dxa"/>
          </w:tcPr>
          <w:p w14:paraId="2D68C3E6" w14:textId="67F4290D" w:rsidR="00034F75" w:rsidRPr="00A15A51" w:rsidRDefault="00034F75" w:rsidP="002E2AAD">
            <w:pPr>
              <w:pStyle w:val="Tabletext"/>
            </w:pPr>
            <w:r w:rsidRPr="00A15A51">
              <w:t>Testing or diagnostic workup</w:t>
            </w:r>
          </w:p>
        </w:tc>
        <w:tc>
          <w:tcPr>
            <w:tcW w:w="11259" w:type="dxa"/>
          </w:tcPr>
          <w:p w14:paraId="273007BA" w14:textId="1010BE88" w:rsidR="00034F75" w:rsidRPr="00A15A51" w:rsidRDefault="00034F75" w:rsidP="002E2AAD">
            <w:pPr>
              <w:pStyle w:val="Tabletext"/>
            </w:pPr>
            <w:r w:rsidRPr="00A15A51">
              <w:t>The need for imaging relate</w:t>
            </w:r>
            <w:r w:rsidR="002C4669">
              <w:t>s</w:t>
            </w:r>
            <w:r w:rsidRPr="00A15A51">
              <w:t xml:space="preserve"> to diagnostics</w:t>
            </w:r>
            <w:r w:rsidR="002C4669">
              <w:t xml:space="preserve"> </w:t>
            </w:r>
            <w:proofErr w:type="gramStart"/>
            <w:r w:rsidR="002C4669">
              <w:t>and</w:t>
            </w:r>
            <w:r w:rsidRPr="00A15A51">
              <w:t xml:space="preserve"> also</w:t>
            </w:r>
            <w:proofErr w:type="gramEnd"/>
            <w:r w:rsidRPr="00A15A51">
              <w:t xml:space="preserve"> to dosimetry. </w:t>
            </w:r>
            <w:r w:rsidR="002C4669">
              <w:t>Stakeholders</w:t>
            </w:r>
            <w:r w:rsidRPr="00A15A51">
              <w:t xml:space="preserve"> </w:t>
            </w:r>
            <w:r w:rsidR="000722E4">
              <w:t>said</w:t>
            </w:r>
            <w:r w:rsidRPr="00A15A51">
              <w:t xml:space="preserve"> that post-treatment imaging could be used to identify patients most likely to benefit from treatment</w:t>
            </w:r>
            <w:r w:rsidR="002C4669">
              <w:t>.</w:t>
            </w:r>
            <w:r w:rsidRPr="00A15A51">
              <w:t xml:space="preserve"> </w:t>
            </w:r>
            <w:r w:rsidR="002C4669">
              <w:t>T</w:t>
            </w:r>
            <w:r w:rsidRPr="00A15A51">
              <w:t>hi</w:t>
            </w:r>
            <w:r w:rsidR="002C4669">
              <w:t>d</w:t>
            </w:r>
            <w:r w:rsidRPr="00A15A51">
              <w:t xml:space="preserve"> could increase the cost effectiveness of MRT. Furthermore, </w:t>
            </w:r>
            <w:r w:rsidR="002C4669">
              <w:t>they</w:t>
            </w:r>
            <w:r w:rsidRPr="00A15A51">
              <w:t xml:space="preserve"> noted that the marginal costs of diagnosis and dosimetry would likely be small compared to the cost of the MRT products.</w:t>
            </w:r>
          </w:p>
          <w:p w14:paraId="22F3553E" w14:textId="0B2F56BE" w:rsidR="00034F75" w:rsidRPr="00A15A51" w:rsidRDefault="002C4669" w:rsidP="002E2AAD">
            <w:pPr>
              <w:pStyle w:val="Tabletext"/>
            </w:pPr>
            <w:r>
              <w:t xml:space="preserve">Stakeholders also </w:t>
            </w:r>
            <w:r w:rsidR="000722E4">
              <w:t>said</w:t>
            </w:r>
            <w:r w:rsidR="003B6725">
              <w:t xml:space="preserve"> there are </w:t>
            </w:r>
            <w:r>
              <w:t>i</w:t>
            </w:r>
            <w:r w:rsidR="00034F75" w:rsidRPr="00A15A51">
              <w:t>ssues with</w:t>
            </w:r>
            <w:r w:rsidR="003B6725">
              <w:t xml:space="preserve"> there being no system for</w:t>
            </w:r>
            <w:r w:rsidR="00034F75" w:rsidRPr="00A15A51">
              <w:t xml:space="preserve"> reimbursement of dosimetry</w:t>
            </w:r>
            <w:r>
              <w:t>. These issues exist</w:t>
            </w:r>
            <w:r w:rsidR="00034F75" w:rsidRPr="00A15A51">
              <w:t xml:space="preserve"> despite dosimetry recommendations and requirements included in</w:t>
            </w:r>
            <w:r w:rsidR="00B80A60">
              <w:t xml:space="preserve"> the</w:t>
            </w:r>
            <w:r w:rsidR="00034F75" w:rsidRPr="00A15A51">
              <w:t xml:space="preserve"> </w:t>
            </w:r>
            <w:hyperlink r:id="rId21">
              <w:r w:rsidR="00034F75" w:rsidRPr="002E2AAD">
                <w:rPr>
                  <w:rStyle w:val="Hyperlink"/>
                  <w:sz w:val="24"/>
                </w:rPr>
                <w:t>Ionising Radiation (Medical Exposure) Regulations 2017 guidance</w:t>
              </w:r>
            </w:hyperlink>
            <w:r w:rsidR="00034F75" w:rsidRPr="00A15A51">
              <w:t xml:space="preserve"> and </w:t>
            </w:r>
            <w:hyperlink r:id="rId22">
              <w:r w:rsidR="00034F75" w:rsidRPr="002E2AAD">
                <w:rPr>
                  <w:rStyle w:val="Hyperlink"/>
                  <w:sz w:val="24"/>
                </w:rPr>
                <w:t>Care Quality Commission IR(ME)R annual report 2020</w:t>
              </w:r>
              <w:r w:rsidR="00B80A60" w:rsidRPr="002E2AAD">
                <w:rPr>
                  <w:rStyle w:val="Hyperlink"/>
                  <w:sz w:val="24"/>
                </w:rPr>
                <w:t xml:space="preserve"> </w:t>
              </w:r>
              <w:r w:rsidR="00B80A60">
                <w:rPr>
                  <w:rStyle w:val="Hyperlink"/>
                  <w:rFonts w:cs="Arial"/>
                </w:rPr>
                <w:t>to 20</w:t>
              </w:r>
              <w:r w:rsidR="00034F75" w:rsidRPr="002E2AAD">
                <w:rPr>
                  <w:rStyle w:val="Hyperlink"/>
                  <w:sz w:val="24"/>
                </w:rPr>
                <w:t>21</w:t>
              </w:r>
            </w:hyperlink>
            <w:r w:rsidR="00034F75" w:rsidRPr="00A15A51">
              <w:t xml:space="preserve"> and </w:t>
            </w:r>
            <w:hyperlink r:id="rId23">
              <w:r w:rsidR="00034F75" w:rsidRPr="002E2AAD">
                <w:rPr>
                  <w:rStyle w:val="Hyperlink"/>
                  <w:sz w:val="24"/>
                </w:rPr>
                <w:t xml:space="preserve">NHS </w:t>
              </w:r>
              <w:r w:rsidR="00B80A60" w:rsidRPr="002E2AAD">
                <w:rPr>
                  <w:rStyle w:val="Hyperlink"/>
                  <w:sz w:val="24"/>
                </w:rPr>
                <w:t>E</w:t>
              </w:r>
              <w:r w:rsidR="00B80A60">
                <w:rPr>
                  <w:rStyle w:val="Hyperlink"/>
                  <w:rFonts w:cs="Arial"/>
                </w:rPr>
                <w:t xml:space="preserve">ngland’s </w:t>
              </w:r>
              <w:r w:rsidR="00034F75" w:rsidRPr="002E2AAD">
                <w:rPr>
                  <w:rStyle w:val="Hyperlink"/>
                  <w:sz w:val="24"/>
                </w:rPr>
                <w:t xml:space="preserve">MRT </w:t>
              </w:r>
              <w:r w:rsidR="00B80A60" w:rsidRPr="002E2AAD">
                <w:rPr>
                  <w:rStyle w:val="Hyperlink"/>
                  <w:sz w:val="24"/>
                </w:rPr>
                <w:t>s</w:t>
              </w:r>
              <w:r w:rsidR="00B80A60">
                <w:rPr>
                  <w:rStyle w:val="Hyperlink"/>
                  <w:rFonts w:cs="Arial"/>
                </w:rPr>
                <w:t>ervice specification</w:t>
              </w:r>
            </w:hyperlink>
            <w:r w:rsidR="00E6697B">
              <w:t>.</w:t>
            </w:r>
          </w:p>
        </w:tc>
      </w:tr>
      <w:tr w:rsidR="00034F75" w:rsidRPr="00031C61" w14:paraId="4C561E84" w14:textId="77777777" w:rsidTr="002E2AAD">
        <w:trPr>
          <w:trHeight w:val="300"/>
        </w:trPr>
        <w:tc>
          <w:tcPr>
            <w:tcW w:w="1843" w:type="dxa"/>
          </w:tcPr>
          <w:p w14:paraId="417CDD80" w14:textId="6C260FC6" w:rsidR="00034F75" w:rsidRPr="00A15A51" w:rsidRDefault="00034F75" w:rsidP="002E2AAD">
            <w:pPr>
              <w:pStyle w:val="Tabletext"/>
            </w:pPr>
            <w:r w:rsidRPr="0034180D">
              <w:t>Non-personnel</w:t>
            </w:r>
          </w:p>
        </w:tc>
        <w:tc>
          <w:tcPr>
            <w:tcW w:w="1843" w:type="dxa"/>
          </w:tcPr>
          <w:p w14:paraId="6B0D80DB" w14:textId="6567282B" w:rsidR="00034F75" w:rsidRPr="00A15A51" w:rsidRDefault="00034F75" w:rsidP="002E2AAD">
            <w:pPr>
              <w:pStyle w:val="Tabletext"/>
            </w:pPr>
            <w:r w:rsidRPr="00A15A51">
              <w:t xml:space="preserve">Patient transportation </w:t>
            </w:r>
          </w:p>
        </w:tc>
        <w:tc>
          <w:tcPr>
            <w:tcW w:w="11259" w:type="dxa"/>
          </w:tcPr>
          <w:p w14:paraId="00154DCB" w14:textId="25C76863" w:rsidR="00034F75" w:rsidRPr="00A15A51" w:rsidRDefault="00034F75" w:rsidP="002E2AAD">
            <w:pPr>
              <w:pStyle w:val="Tabletext"/>
            </w:pPr>
            <w:r w:rsidRPr="00A15A51">
              <w:t xml:space="preserve">Not </w:t>
            </w:r>
            <w:r w:rsidRPr="6BCEEF07">
              <w:t>explicitly</w:t>
            </w:r>
            <w:r w:rsidRPr="00A15A51">
              <w:t xml:space="preserve"> </w:t>
            </w:r>
            <w:r w:rsidR="002369BC">
              <w:t>stated.</w:t>
            </w:r>
            <w:r w:rsidR="00FF2694">
              <w:t xml:space="preserve"> But</w:t>
            </w:r>
            <w:r w:rsidRPr="00A15A51">
              <w:t xml:space="preserve"> it was </w:t>
            </w:r>
            <w:r w:rsidR="000722E4">
              <w:t>said</w:t>
            </w:r>
            <w:r w:rsidRPr="00A15A51">
              <w:t xml:space="preserve"> that </w:t>
            </w:r>
            <w:r w:rsidR="00E6697B">
              <w:t>people</w:t>
            </w:r>
            <w:r w:rsidRPr="00A15A51">
              <w:t xml:space="preserve"> would be willing to travel far </w:t>
            </w:r>
            <w:r w:rsidR="00E6697B">
              <w:t>for</w:t>
            </w:r>
            <w:r w:rsidRPr="00A15A51">
              <w:t xml:space="preserve"> treatment. </w:t>
            </w:r>
          </w:p>
        </w:tc>
      </w:tr>
      <w:tr w:rsidR="00034F75" w:rsidRPr="00031C61" w14:paraId="24D2F755" w14:textId="77777777" w:rsidTr="002E2AAD">
        <w:trPr>
          <w:trHeight w:val="300"/>
        </w:trPr>
        <w:tc>
          <w:tcPr>
            <w:tcW w:w="1843" w:type="dxa"/>
          </w:tcPr>
          <w:p w14:paraId="0245075B" w14:textId="0276D408" w:rsidR="00034F75" w:rsidRPr="00A15A51" w:rsidRDefault="00034F75" w:rsidP="002E2AAD">
            <w:pPr>
              <w:pStyle w:val="Tabletext"/>
            </w:pPr>
            <w:r w:rsidRPr="0034180D">
              <w:t>Non-personnel</w:t>
            </w:r>
          </w:p>
        </w:tc>
        <w:tc>
          <w:tcPr>
            <w:tcW w:w="1843" w:type="dxa"/>
          </w:tcPr>
          <w:p w14:paraId="33F17315" w14:textId="4FD70717" w:rsidR="00034F75" w:rsidRPr="00A15A51" w:rsidRDefault="00034F75" w:rsidP="002E2AAD">
            <w:pPr>
              <w:pStyle w:val="Tabletext"/>
            </w:pPr>
            <w:r w:rsidRPr="00A15A51">
              <w:t>Device and infrastructure maintenance and servicing</w:t>
            </w:r>
          </w:p>
        </w:tc>
        <w:tc>
          <w:tcPr>
            <w:tcW w:w="11259" w:type="dxa"/>
          </w:tcPr>
          <w:p w14:paraId="50D8B635" w14:textId="7E214B67" w:rsidR="00034F75" w:rsidRPr="00A15A51" w:rsidRDefault="00034F75" w:rsidP="002E2AAD">
            <w:pPr>
              <w:pStyle w:val="Tabletext"/>
            </w:pPr>
            <w:r w:rsidRPr="00A15A51">
              <w:t xml:space="preserve">Not </w:t>
            </w:r>
            <w:r w:rsidRPr="6BCEEF07">
              <w:t>explicitly</w:t>
            </w:r>
            <w:r w:rsidRPr="00A15A51">
              <w:t xml:space="preserve"> </w:t>
            </w:r>
            <w:r w:rsidR="002369BC">
              <w:t>stated</w:t>
            </w:r>
            <w:r w:rsidR="002369BC">
              <w:rPr>
                <w:rStyle w:val="CommentReference"/>
                <w:rFonts w:ascii="Times New Roman" w:hAnsi="Times New Roman"/>
                <w:lang w:val="x-none"/>
              </w:rPr>
              <w:t xml:space="preserve"> </w:t>
            </w:r>
            <w:r w:rsidRPr="00A15A51">
              <w:t>but likely to be relevant.</w:t>
            </w:r>
          </w:p>
        </w:tc>
      </w:tr>
      <w:tr w:rsidR="00034F75" w:rsidRPr="00031C61" w14:paraId="1A010873" w14:textId="77777777" w:rsidTr="002E2AAD">
        <w:trPr>
          <w:trHeight w:val="529"/>
        </w:trPr>
        <w:tc>
          <w:tcPr>
            <w:tcW w:w="1843" w:type="dxa"/>
          </w:tcPr>
          <w:p w14:paraId="4A7655BF" w14:textId="555EA04D" w:rsidR="00034F75" w:rsidRPr="00A15A51" w:rsidRDefault="00034F75" w:rsidP="002E2AAD">
            <w:pPr>
              <w:pStyle w:val="Tabletext"/>
            </w:pPr>
            <w:r w:rsidRPr="0034180D">
              <w:t>Non-personnel</w:t>
            </w:r>
          </w:p>
        </w:tc>
        <w:tc>
          <w:tcPr>
            <w:tcW w:w="1843" w:type="dxa"/>
          </w:tcPr>
          <w:p w14:paraId="05D20F99" w14:textId="30446228" w:rsidR="00034F75" w:rsidRPr="00A15A51" w:rsidRDefault="00034F75" w:rsidP="002E2AAD">
            <w:pPr>
              <w:pStyle w:val="Tabletext"/>
            </w:pPr>
            <w:r w:rsidRPr="00A15A51">
              <w:t>Consumables</w:t>
            </w:r>
          </w:p>
        </w:tc>
        <w:tc>
          <w:tcPr>
            <w:tcW w:w="11259" w:type="dxa"/>
          </w:tcPr>
          <w:p w14:paraId="66AD1B66" w14:textId="2812A30A" w:rsidR="00034F75" w:rsidRPr="00A15A51" w:rsidRDefault="00034F75" w:rsidP="002E2AAD">
            <w:pPr>
              <w:pStyle w:val="Tabletext"/>
            </w:pPr>
            <w:r w:rsidRPr="00A15A51">
              <w:t xml:space="preserve">Not </w:t>
            </w:r>
            <w:r w:rsidRPr="6BCEEF07">
              <w:t>explicitly</w:t>
            </w:r>
            <w:r w:rsidRPr="00A15A51">
              <w:t xml:space="preserve"> </w:t>
            </w:r>
            <w:r w:rsidR="002369BC">
              <w:t xml:space="preserve">stated </w:t>
            </w:r>
            <w:r w:rsidRPr="00A15A51">
              <w:t>but likely to be relevant.</w:t>
            </w:r>
          </w:p>
        </w:tc>
      </w:tr>
      <w:tr w:rsidR="00034F75" w:rsidRPr="00031C61" w14:paraId="50C2BCD9" w14:textId="77777777" w:rsidTr="002E2AAD">
        <w:trPr>
          <w:trHeight w:val="753"/>
        </w:trPr>
        <w:tc>
          <w:tcPr>
            <w:tcW w:w="1843" w:type="dxa"/>
          </w:tcPr>
          <w:p w14:paraId="126A884E" w14:textId="55D20C79" w:rsidR="00034F75" w:rsidRPr="00A15A51" w:rsidRDefault="00034F75" w:rsidP="002E2AAD">
            <w:pPr>
              <w:pStyle w:val="Tabletext"/>
            </w:pPr>
            <w:r w:rsidRPr="0034180D">
              <w:t>Non-personnel</w:t>
            </w:r>
          </w:p>
        </w:tc>
        <w:tc>
          <w:tcPr>
            <w:tcW w:w="1843" w:type="dxa"/>
          </w:tcPr>
          <w:p w14:paraId="11A62A1C" w14:textId="6A053CEE" w:rsidR="00034F75" w:rsidRPr="00A15A51" w:rsidRDefault="00034F75" w:rsidP="002E2AAD">
            <w:pPr>
              <w:pStyle w:val="Tabletext"/>
            </w:pPr>
            <w:r w:rsidRPr="00A15A51">
              <w:t>Utilities (</w:t>
            </w:r>
            <w:r>
              <w:t>for example</w:t>
            </w:r>
            <w:r w:rsidRPr="00A15A51">
              <w:t>, electricity) </w:t>
            </w:r>
          </w:p>
        </w:tc>
        <w:tc>
          <w:tcPr>
            <w:tcW w:w="11259" w:type="dxa"/>
          </w:tcPr>
          <w:p w14:paraId="2EAA27B9" w14:textId="69D0C797" w:rsidR="00034F75" w:rsidRPr="00A15A51" w:rsidRDefault="00034F75" w:rsidP="002E2AAD">
            <w:pPr>
              <w:pStyle w:val="Tabletext"/>
            </w:pPr>
            <w:r w:rsidRPr="6BCEEF07">
              <w:t>Not explicitly</w:t>
            </w:r>
            <w:r w:rsidRPr="00A15A51">
              <w:t xml:space="preserve"> </w:t>
            </w:r>
            <w:r w:rsidR="002369BC">
              <w:t xml:space="preserve">stated </w:t>
            </w:r>
            <w:r w:rsidRPr="00A15A51">
              <w:t>but likely to be relevant.</w:t>
            </w:r>
          </w:p>
        </w:tc>
      </w:tr>
      <w:tr w:rsidR="00034F75" w:rsidRPr="00031C61" w14:paraId="673AD497" w14:textId="77777777" w:rsidTr="002E2AAD">
        <w:trPr>
          <w:trHeight w:val="300"/>
        </w:trPr>
        <w:tc>
          <w:tcPr>
            <w:tcW w:w="1843" w:type="dxa"/>
          </w:tcPr>
          <w:p w14:paraId="1C70F367" w14:textId="7A951AD3" w:rsidR="00034F75" w:rsidRPr="00A15A51" w:rsidRDefault="00034F75" w:rsidP="002E2AAD">
            <w:pPr>
              <w:pStyle w:val="Tabletext"/>
            </w:pPr>
            <w:r w:rsidRPr="0034180D">
              <w:t>Non-personnel</w:t>
            </w:r>
          </w:p>
        </w:tc>
        <w:tc>
          <w:tcPr>
            <w:tcW w:w="1843" w:type="dxa"/>
          </w:tcPr>
          <w:p w14:paraId="2798020C" w14:textId="680ED792" w:rsidR="00034F75" w:rsidRPr="00A15A51" w:rsidRDefault="00034F75" w:rsidP="002E2AAD">
            <w:pPr>
              <w:pStyle w:val="Tabletext"/>
            </w:pPr>
            <w:r w:rsidRPr="00A15A51">
              <w:t>Rent </w:t>
            </w:r>
          </w:p>
        </w:tc>
        <w:tc>
          <w:tcPr>
            <w:tcW w:w="11259" w:type="dxa"/>
          </w:tcPr>
          <w:p w14:paraId="0D934E98" w14:textId="2BA4F4BA" w:rsidR="00034F75" w:rsidRPr="00A15A51" w:rsidRDefault="00034F75" w:rsidP="002E2AAD">
            <w:pPr>
              <w:pStyle w:val="Tabletext"/>
            </w:pPr>
            <w:r w:rsidRPr="00A15A51">
              <w:t xml:space="preserve">Not </w:t>
            </w:r>
            <w:r w:rsidRPr="6BCEEF07">
              <w:t xml:space="preserve">explicitly </w:t>
            </w:r>
            <w:r w:rsidR="002369BC">
              <w:t xml:space="preserve">stated </w:t>
            </w:r>
            <w:r w:rsidRPr="00A15A51">
              <w:t>but likely to be relevant.</w:t>
            </w:r>
          </w:p>
        </w:tc>
      </w:tr>
      <w:tr w:rsidR="00034F75" w:rsidRPr="00031C61" w14:paraId="5FD378ED" w14:textId="77777777" w:rsidTr="002E2AAD">
        <w:trPr>
          <w:trHeight w:val="998"/>
        </w:trPr>
        <w:tc>
          <w:tcPr>
            <w:tcW w:w="1843" w:type="dxa"/>
          </w:tcPr>
          <w:p w14:paraId="36ABE9C6" w14:textId="26D92857" w:rsidR="00034F75" w:rsidRPr="00A15A51" w:rsidRDefault="00034F75" w:rsidP="002E2AAD">
            <w:pPr>
              <w:pStyle w:val="Tabletext"/>
            </w:pPr>
            <w:r w:rsidRPr="00A15A51">
              <w:t>Supply chain</w:t>
            </w:r>
          </w:p>
        </w:tc>
        <w:tc>
          <w:tcPr>
            <w:tcW w:w="1843" w:type="dxa"/>
          </w:tcPr>
          <w:p w14:paraId="643154F2" w14:textId="70760217" w:rsidR="00034F75" w:rsidRPr="00A15A51" w:rsidRDefault="00034F75" w:rsidP="002E2AAD">
            <w:pPr>
              <w:pStyle w:val="Tabletext"/>
              <w:rPr>
                <w:lang w:val="en-US"/>
              </w:rPr>
            </w:pPr>
            <w:r w:rsidRPr="00A15A51">
              <w:t>Drug</w:t>
            </w:r>
            <w:r>
              <w:t xml:space="preserve"> </w:t>
            </w:r>
            <w:r w:rsidRPr="00A15A51">
              <w:t>transportation</w:t>
            </w:r>
            <w:r w:rsidRPr="00A15A51">
              <w:rPr>
                <w:lang w:val="en-US"/>
              </w:rPr>
              <w:t>​​</w:t>
            </w:r>
          </w:p>
        </w:tc>
        <w:tc>
          <w:tcPr>
            <w:tcW w:w="11259" w:type="dxa"/>
          </w:tcPr>
          <w:p w14:paraId="093C0D36" w14:textId="43B7A060" w:rsidR="00034F75" w:rsidRPr="00A15A51" w:rsidRDefault="00FF2694" w:rsidP="002E2AAD">
            <w:pPr>
              <w:pStyle w:val="Tabletext"/>
            </w:pPr>
            <w:r>
              <w:t>A</w:t>
            </w:r>
            <w:r w:rsidRPr="00A15A51">
              <w:t xml:space="preserve"> </w:t>
            </w:r>
            <w:r w:rsidR="00034F75" w:rsidRPr="00A15A51">
              <w:t xml:space="preserve">stakeholder noted that considering the short half-lives of these products, MRTs </w:t>
            </w:r>
            <w:r>
              <w:t>need</w:t>
            </w:r>
            <w:r w:rsidRPr="00A15A51">
              <w:t xml:space="preserve"> </w:t>
            </w:r>
            <w:r w:rsidR="00034F75" w:rsidRPr="00A15A51">
              <w:t xml:space="preserve">specific logistical arrangement and manufacturing to order. This can contribute to the cost structure of MRTs themselves but </w:t>
            </w:r>
            <w:r>
              <w:t xml:space="preserve">is </w:t>
            </w:r>
            <w:r w:rsidR="00034F75" w:rsidRPr="00A15A51">
              <w:t>not necessar</w:t>
            </w:r>
            <w:r>
              <w:t>il</w:t>
            </w:r>
            <w:r w:rsidR="00034F75" w:rsidRPr="00A15A51">
              <w:t>y a separate implementation cost.</w:t>
            </w:r>
          </w:p>
        </w:tc>
      </w:tr>
      <w:tr w:rsidR="00034F75" w:rsidRPr="00031C61" w14:paraId="25F9EE2A" w14:textId="77777777" w:rsidTr="002E2AAD">
        <w:trPr>
          <w:trHeight w:val="300"/>
        </w:trPr>
        <w:tc>
          <w:tcPr>
            <w:tcW w:w="1843" w:type="dxa"/>
          </w:tcPr>
          <w:p w14:paraId="21F61B8D" w14:textId="66ABE472" w:rsidR="00034F75" w:rsidRPr="00A15A51" w:rsidRDefault="00034F75" w:rsidP="002E2AAD">
            <w:pPr>
              <w:pStyle w:val="Tabletext"/>
              <w:rPr>
                <w:lang w:val="en-US"/>
              </w:rPr>
            </w:pPr>
            <w:r w:rsidRPr="00A15A51">
              <w:t>Supply chain</w:t>
            </w:r>
          </w:p>
        </w:tc>
        <w:tc>
          <w:tcPr>
            <w:tcW w:w="1843" w:type="dxa"/>
          </w:tcPr>
          <w:p w14:paraId="12595A03" w14:textId="6F18B574" w:rsidR="00034F75" w:rsidRPr="00A15A51" w:rsidRDefault="00034F75" w:rsidP="002E2AAD">
            <w:pPr>
              <w:pStyle w:val="Tabletext"/>
              <w:rPr>
                <w:lang w:val="en-US"/>
              </w:rPr>
            </w:pPr>
            <w:r w:rsidRPr="00A15A51">
              <w:rPr>
                <w:lang w:val="en-US"/>
              </w:rPr>
              <w:t>Drug storage</w:t>
            </w:r>
          </w:p>
        </w:tc>
        <w:tc>
          <w:tcPr>
            <w:tcW w:w="11259" w:type="dxa"/>
          </w:tcPr>
          <w:p w14:paraId="698B744F" w14:textId="3F6A5CF5" w:rsidR="00034F75" w:rsidRPr="00A15A51" w:rsidRDefault="00034F75" w:rsidP="002E2AAD">
            <w:pPr>
              <w:pStyle w:val="Tabletext"/>
            </w:pPr>
            <w:r w:rsidRPr="00A15A51">
              <w:t xml:space="preserve">Also related to the short half-lives, </w:t>
            </w:r>
            <w:r w:rsidR="00FF2694">
              <w:t>stakeholders</w:t>
            </w:r>
            <w:r w:rsidRPr="00A15A51">
              <w:t xml:space="preserve"> noted that the MRTs could not be stockpiled, and that radiation protection specialists </w:t>
            </w:r>
            <w:r w:rsidR="00FF2694">
              <w:t>were</w:t>
            </w:r>
            <w:r w:rsidR="00FF2694" w:rsidRPr="00A15A51">
              <w:t xml:space="preserve"> </w:t>
            </w:r>
            <w:r w:rsidRPr="00A15A51">
              <w:t xml:space="preserve">needed </w:t>
            </w:r>
            <w:r w:rsidR="00FF2694">
              <w:t>to ensure</w:t>
            </w:r>
            <w:r w:rsidRPr="00A15A51">
              <w:t xml:space="preserve"> safe storage. </w:t>
            </w:r>
          </w:p>
        </w:tc>
      </w:tr>
      <w:tr w:rsidR="00034F75" w:rsidRPr="00031C61" w14:paraId="46EE1FF2" w14:textId="77777777" w:rsidTr="002E2AAD">
        <w:trPr>
          <w:trHeight w:val="300"/>
        </w:trPr>
        <w:tc>
          <w:tcPr>
            <w:tcW w:w="1843" w:type="dxa"/>
          </w:tcPr>
          <w:p w14:paraId="0B7A231E" w14:textId="685EC628" w:rsidR="00034F75" w:rsidRPr="00A15A51" w:rsidRDefault="00034F75" w:rsidP="002E2AAD">
            <w:pPr>
              <w:pStyle w:val="Tabletext"/>
            </w:pPr>
            <w:r w:rsidRPr="00A15A51">
              <w:t>Supply chain</w:t>
            </w:r>
          </w:p>
        </w:tc>
        <w:tc>
          <w:tcPr>
            <w:tcW w:w="1843" w:type="dxa"/>
          </w:tcPr>
          <w:p w14:paraId="2FEDC5D5" w14:textId="24668146" w:rsidR="00034F75" w:rsidRPr="00A15A51" w:rsidRDefault="00034F75" w:rsidP="002E2AAD">
            <w:pPr>
              <w:pStyle w:val="Tabletext"/>
              <w:rPr>
                <w:lang w:val="en-US"/>
              </w:rPr>
            </w:pPr>
            <w:r w:rsidRPr="00A15A51">
              <w:t>Drug disposal</w:t>
            </w:r>
          </w:p>
        </w:tc>
        <w:tc>
          <w:tcPr>
            <w:tcW w:w="11259" w:type="dxa"/>
          </w:tcPr>
          <w:p w14:paraId="6A5718D2" w14:textId="0A099BF6" w:rsidR="00FF2694" w:rsidRDefault="00034F75" w:rsidP="00CE1F09">
            <w:pPr>
              <w:pStyle w:val="Tabletext"/>
            </w:pPr>
            <w:r w:rsidRPr="00A15A51">
              <w:t>Stakeholders also noted</w:t>
            </w:r>
            <w:r w:rsidR="00FF2694">
              <w:t>:</w:t>
            </w:r>
          </w:p>
          <w:p w14:paraId="2BA48BD9" w14:textId="232A60A4" w:rsidR="00FF2694" w:rsidRDefault="00034F75" w:rsidP="002E2AAD">
            <w:pPr>
              <w:pStyle w:val="Tablebullet"/>
            </w:pPr>
            <w:r w:rsidRPr="00A15A51">
              <w:t>the need for special infrastructure (</w:t>
            </w:r>
            <w:r w:rsidR="00FF2694">
              <w:t>for example</w:t>
            </w:r>
            <w:r w:rsidRPr="00A15A51">
              <w:t>, drains and toilets) to dispose of waste</w:t>
            </w:r>
          </w:p>
          <w:p w14:paraId="279BEF29" w14:textId="7C700281" w:rsidR="00FF2694" w:rsidRDefault="00034F75" w:rsidP="002E2AAD">
            <w:pPr>
              <w:pStyle w:val="Tablebullet"/>
            </w:pPr>
            <w:r w:rsidRPr="00A15A51">
              <w:t>the need for specific staff members to support with environmental licensing</w:t>
            </w:r>
          </w:p>
          <w:p w14:paraId="4D9B3ED9" w14:textId="7FB91F72" w:rsidR="00FF2694" w:rsidRDefault="00034F75" w:rsidP="002E2AAD">
            <w:pPr>
              <w:pStyle w:val="Tablebullet"/>
            </w:pPr>
            <w:r w:rsidRPr="00A15A51">
              <w:t xml:space="preserve">limits to the amount </w:t>
            </w:r>
            <w:r w:rsidR="00FF2694">
              <w:t xml:space="preserve">of waste </w:t>
            </w:r>
            <w:r w:rsidRPr="00A15A51">
              <w:t>that can be disposed at each site.</w:t>
            </w:r>
          </w:p>
          <w:p w14:paraId="4FCB57A4" w14:textId="53A6F2D9" w:rsidR="00034F75" w:rsidRPr="00A15A51" w:rsidRDefault="00034F75" w:rsidP="002E2AAD">
            <w:pPr>
              <w:pStyle w:val="Tabletext"/>
            </w:pPr>
            <w:r w:rsidRPr="00A15A51">
              <w:t xml:space="preserve">The latter might impose a limit on the number of treatments that could be delivered at a specific location. This </w:t>
            </w:r>
            <w:r w:rsidR="00FF2694" w:rsidRPr="00A15A51">
              <w:t>c</w:t>
            </w:r>
            <w:r w:rsidR="00FF2694">
              <w:t>ould</w:t>
            </w:r>
            <w:r w:rsidR="00FF2694" w:rsidRPr="00A15A51">
              <w:t xml:space="preserve"> </w:t>
            </w:r>
            <w:r w:rsidRPr="00A15A51">
              <w:t xml:space="preserve">affect </w:t>
            </w:r>
            <w:r w:rsidR="00FF2694">
              <w:t xml:space="preserve">MRT </w:t>
            </w:r>
            <w:r w:rsidRPr="00A15A51">
              <w:t xml:space="preserve">service delivery across England. </w:t>
            </w:r>
          </w:p>
        </w:tc>
      </w:tr>
      <w:bookmarkEnd w:id="45"/>
    </w:tbl>
    <w:p w14:paraId="384C59EF" w14:textId="77777777" w:rsidR="00031C61" w:rsidRPr="00031C61" w:rsidRDefault="00031C61" w:rsidP="00031C61">
      <w:pPr>
        <w:pStyle w:val="Paragraph"/>
        <w:sectPr w:rsidR="00031C61" w:rsidRPr="00031C61" w:rsidSect="00C963F5">
          <w:pgSz w:w="16838" w:h="11906" w:orient="landscape"/>
          <w:pgMar w:top="1440" w:right="1440" w:bottom="1440" w:left="1440" w:header="720" w:footer="720" w:gutter="0"/>
          <w:cols w:space="720"/>
          <w:docGrid w:linePitch="360"/>
        </w:sectPr>
      </w:pPr>
    </w:p>
    <w:bookmarkStart w:id="46" w:name="_Toc226454917"/>
    <w:p w14:paraId="75245253" w14:textId="517E987D" w:rsidR="00BE6E8E" w:rsidRPr="00F93F21" w:rsidRDefault="00000000" w:rsidP="00BE6E8E">
      <w:pPr>
        <w:pStyle w:val="Numberedheading1"/>
      </w:pPr>
      <w:sdt>
        <w:sdtPr>
          <w:id w:val="1236209189"/>
          <w:placeholder>
            <w:docPart w:val="C0889E643F1E4CF1BE080F579BB8468D"/>
          </w:placeholder>
          <w:text/>
        </w:sdtPr>
        <w:sdtContent>
          <w:r w:rsidR="00BE6E8E">
            <w:t xml:space="preserve">Case study 2: </w:t>
          </w:r>
          <w:r w:rsidR="00310FDA">
            <w:t>geographic atrophy</w:t>
          </w:r>
        </w:sdtContent>
      </w:sdt>
      <w:bookmarkEnd w:id="46"/>
    </w:p>
    <w:p w14:paraId="1FC1B6E3" w14:textId="73565850" w:rsidR="00BE6E8E" w:rsidRPr="00126D7E" w:rsidRDefault="00BE6E8E" w:rsidP="00E22299">
      <w:pPr>
        <w:pStyle w:val="Numberedheading2"/>
      </w:pPr>
      <w:bookmarkStart w:id="47" w:name="_Toc226454918"/>
      <w:r>
        <w:t>Rationale for selection</w:t>
      </w:r>
      <w:bookmarkEnd w:id="47"/>
    </w:p>
    <w:p w14:paraId="6F91541F" w14:textId="15C1DCF4" w:rsidR="00333F72" w:rsidRDefault="00333F72" w:rsidP="00E22299">
      <w:pPr>
        <w:pStyle w:val="Paragraph"/>
      </w:pPr>
      <w:r w:rsidRPr="00BE1783">
        <w:t xml:space="preserve">Age-related macular degeneration (AMD) is a major cause of ocular morbidity </w:t>
      </w:r>
      <w:r w:rsidRPr="00835586">
        <w:t>in high income countries</w:t>
      </w:r>
      <w:r w:rsidR="00FF2694">
        <w:t xml:space="preserve"> </w:t>
      </w:r>
      <w:r w:rsidR="00B91418" w:rsidRPr="00835586">
        <w:t>(</w:t>
      </w:r>
      <w:hyperlink r:id="rId24" w:history="1">
        <w:r w:rsidR="003533AA">
          <w:rPr>
            <w:rStyle w:val="Hyperlink"/>
            <w:rFonts w:cs="Arial"/>
          </w:rPr>
          <w:t>Owen</w:t>
        </w:r>
        <w:r w:rsidR="00FF2694">
          <w:rPr>
            <w:rStyle w:val="Hyperlink"/>
            <w:rFonts w:cs="Arial"/>
          </w:rPr>
          <w:t>,</w:t>
        </w:r>
        <w:r w:rsidR="003533AA">
          <w:rPr>
            <w:rStyle w:val="Hyperlink"/>
            <w:rFonts w:cs="Arial"/>
          </w:rPr>
          <w:t xml:space="preserve"> 2012</w:t>
        </w:r>
      </w:hyperlink>
      <w:r w:rsidR="00B91418" w:rsidRPr="00835586">
        <w:t>)</w:t>
      </w:r>
      <w:r w:rsidRPr="00835586">
        <w:t>. AM</w:t>
      </w:r>
      <w:r w:rsidR="00197F2A" w:rsidRPr="00835586">
        <w:t>D</w:t>
      </w:r>
      <w:r w:rsidRPr="00835586">
        <w:t xml:space="preserve"> leads to the gradual impairment of vision, </w:t>
      </w:r>
      <w:r w:rsidR="00D338E1">
        <w:t>main</w:t>
      </w:r>
      <w:r w:rsidRPr="00835586">
        <w:t>ly affecting central vision and leading to difficulty recognising faces, reading and driving</w:t>
      </w:r>
      <w:r w:rsidR="00A85D33" w:rsidRPr="00835586">
        <w:t xml:space="preserve"> (</w:t>
      </w:r>
      <w:r w:rsidR="007B5DBB">
        <w:t xml:space="preserve">see the </w:t>
      </w:r>
      <w:hyperlink r:id="rId25" w:history="1">
        <w:r w:rsidR="007B5DBB">
          <w:rPr>
            <w:rStyle w:val="Hyperlink"/>
            <w:rFonts w:cs="Arial"/>
          </w:rPr>
          <w:t>NHS webpage on symptoms of AMD</w:t>
        </w:r>
      </w:hyperlink>
      <w:r w:rsidR="00BE1783" w:rsidRPr="00835586">
        <w:t>)</w:t>
      </w:r>
      <w:r w:rsidRPr="00835586">
        <w:t>.</w:t>
      </w:r>
    </w:p>
    <w:p w14:paraId="1B8BDD3C" w14:textId="4AAE7044" w:rsidR="00246D9B" w:rsidRPr="00A6176E" w:rsidRDefault="00333F72" w:rsidP="00E22299">
      <w:pPr>
        <w:pStyle w:val="Paragraph"/>
      </w:pPr>
      <w:r w:rsidRPr="00A6176E">
        <w:t xml:space="preserve">AMD can be classified </w:t>
      </w:r>
      <w:r w:rsidR="00B20047" w:rsidRPr="00A6176E">
        <w:t xml:space="preserve">as </w:t>
      </w:r>
      <w:r w:rsidRPr="00A6176E">
        <w:t xml:space="preserve">early </w:t>
      </w:r>
      <w:r w:rsidR="00B20047" w:rsidRPr="00A6176E">
        <w:t xml:space="preserve">or </w:t>
      </w:r>
      <w:r w:rsidRPr="00A6176E">
        <w:t>late, with the latter being further subdivided into</w:t>
      </w:r>
      <w:r w:rsidR="00246D9B" w:rsidRPr="00A6176E">
        <w:t>:</w:t>
      </w:r>
    </w:p>
    <w:p w14:paraId="16DCA356" w14:textId="2115B6DF" w:rsidR="00246D9B" w:rsidRPr="008F4B39" w:rsidRDefault="00333F72" w:rsidP="002E2AAD">
      <w:pPr>
        <w:pStyle w:val="Bulletleft1"/>
        <w:rPr>
          <w:rFonts w:cs="Arial"/>
        </w:rPr>
      </w:pPr>
      <w:r w:rsidRPr="008F4B39">
        <w:rPr>
          <w:rFonts w:cs="Arial"/>
        </w:rPr>
        <w:t>wet active (with neovascular lesions that might benefit f</w:t>
      </w:r>
      <w:r w:rsidR="00246D9B" w:rsidRPr="008F4B39">
        <w:rPr>
          <w:rFonts w:cs="Arial"/>
        </w:rPr>
        <w:t>ro</w:t>
      </w:r>
      <w:r w:rsidRPr="008F4B39">
        <w:rPr>
          <w:rFonts w:cs="Arial"/>
        </w:rPr>
        <w:t>m treatment)</w:t>
      </w:r>
    </w:p>
    <w:p w14:paraId="7EF15238" w14:textId="59155E81" w:rsidR="00246D9B" w:rsidRPr="008F4B39" w:rsidRDefault="00333F72" w:rsidP="002E2AAD">
      <w:pPr>
        <w:pStyle w:val="Bulletleft1"/>
        <w:rPr>
          <w:rFonts w:cs="Arial"/>
        </w:rPr>
      </w:pPr>
      <w:r w:rsidRPr="008F4B39">
        <w:rPr>
          <w:rFonts w:cs="Arial"/>
        </w:rPr>
        <w:t>wet inactive (neovascular disease with irreversible damage)</w:t>
      </w:r>
    </w:p>
    <w:p w14:paraId="643D7E79" w14:textId="184C1E62" w:rsidR="00246D9B" w:rsidRPr="008F4B39" w:rsidRDefault="00333F72" w:rsidP="002E2AAD">
      <w:pPr>
        <w:pStyle w:val="Bulletleft1"/>
        <w:rPr>
          <w:rFonts w:cs="Arial"/>
        </w:rPr>
      </w:pPr>
      <w:r w:rsidRPr="008F4B39">
        <w:rPr>
          <w:rFonts w:cs="Arial"/>
        </w:rPr>
        <w:t>intermediate</w:t>
      </w:r>
    </w:p>
    <w:p w14:paraId="590F1A3B" w14:textId="3B364E19" w:rsidR="00246D9B" w:rsidRPr="008F4B39" w:rsidRDefault="00333F72" w:rsidP="002E2AAD">
      <w:pPr>
        <w:pStyle w:val="Bulletleft1last"/>
        <w:rPr>
          <w:b/>
          <w:bCs/>
        </w:rPr>
      </w:pPr>
      <w:r w:rsidRPr="008F4B39">
        <w:t>dry.</w:t>
      </w:r>
    </w:p>
    <w:p w14:paraId="3CA37168" w14:textId="424CF4CE" w:rsidR="00333F72" w:rsidRPr="00333F72" w:rsidRDefault="00333F72" w:rsidP="00E22299">
      <w:pPr>
        <w:pStyle w:val="Paragraph"/>
      </w:pPr>
      <w:r w:rsidRPr="00835586">
        <w:t xml:space="preserve">Geographic atrophy is </w:t>
      </w:r>
      <w:r w:rsidR="00246D9B">
        <w:t>a</w:t>
      </w:r>
      <w:r w:rsidRPr="00835586">
        <w:t xml:space="preserve"> form of </w:t>
      </w:r>
      <w:r w:rsidR="10A6FFC8" w:rsidRPr="00835586">
        <w:t xml:space="preserve">late </w:t>
      </w:r>
      <w:r w:rsidRPr="00835586">
        <w:t>dry AMD</w:t>
      </w:r>
      <w:r w:rsidR="009741A2" w:rsidRPr="00835586">
        <w:t xml:space="preserve"> (</w:t>
      </w:r>
      <w:r w:rsidR="00532B62">
        <w:t>s</w:t>
      </w:r>
      <w:r w:rsidR="00A6537B">
        <w:t xml:space="preserve">ee </w:t>
      </w:r>
      <w:hyperlink r:id="rId26" w:history="1">
        <w:r w:rsidR="002155D0" w:rsidRPr="002155D0">
          <w:rPr>
            <w:rStyle w:val="Hyperlink"/>
            <w:rFonts w:cs="Arial"/>
          </w:rPr>
          <w:t>NICE’s guideline on AMD</w:t>
        </w:r>
      </w:hyperlink>
      <w:r w:rsidR="004548E4" w:rsidRPr="00835586">
        <w:t>)</w:t>
      </w:r>
      <w:r w:rsidRPr="00835586">
        <w:t>.</w:t>
      </w:r>
      <w:r w:rsidR="00E97194" w:rsidRPr="00835586">
        <w:t xml:space="preserve"> </w:t>
      </w:r>
      <w:r w:rsidRPr="00835586">
        <w:rPr>
          <w:rFonts w:eastAsia="Aptos"/>
        </w:rPr>
        <w:t>In England,</w:t>
      </w:r>
      <w:r w:rsidR="001E5719" w:rsidRPr="00835586">
        <w:rPr>
          <w:rFonts w:eastAsia="Aptos"/>
        </w:rPr>
        <w:t xml:space="preserve"> treatments</w:t>
      </w:r>
      <w:r w:rsidR="004834E9" w:rsidRPr="00835586">
        <w:rPr>
          <w:rFonts w:eastAsia="Aptos"/>
        </w:rPr>
        <w:t xml:space="preserve"> </w:t>
      </w:r>
      <w:r w:rsidR="00CD58A4">
        <w:rPr>
          <w:rFonts w:eastAsia="Aptos"/>
        </w:rPr>
        <w:t xml:space="preserve">are </w:t>
      </w:r>
      <w:r w:rsidR="004834E9" w:rsidRPr="00835586">
        <w:rPr>
          <w:rFonts w:eastAsia="Aptos"/>
        </w:rPr>
        <w:t>available</w:t>
      </w:r>
      <w:r w:rsidR="001E5719" w:rsidRPr="00835586">
        <w:rPr>
          <w:rFonts w:eastAsia="Aptos"/>
        </w:rPr>
        <w:t xml:space="preserve"> for people with wet active AMD, inc</w:t>
      </w:r>
      <w:r w:rsidR="004834E9" w:rsidRPr="00835586">
        <w:rPr>
          <w:rFonts w:eastAsia="Aptos"/>
        </w:rPr>
        <w:t>luding</w:t>
      </w:r>
      <w:r w:rsidRPr="00835586">
        <w:rPr>
          <w:rFonts w:eastAsia="Aptos"/>
        </w:rPr>
        <w:t xml:space="preserve"> anti</w:t>
      </w:r>
      <w:r w:rsidR="00CF0971">
        <w:rPr>
          <w:rFonts w:eastAsia="Aptos"/>
        </w:rPr>
        <w:t>-</w:t>
      </w:r>
      <w:r w:rsidRPr="00835586">
        <w:rPr>
          <w:rFonts w:eastAsia="Aptos"/>
        </w:rPr>
        <w:t>vascular endothelial growth factor (VEGF) treatment</w:t>
      </w:r>
      <w:r w:rsidR="004834E9" w:rsidRPr="00835586">
        <w:rPr>
          <w:rFonts w:eastAsia="Aptos"/>
        </w:rPr>
        <w:t xml:space="preserve"> </w:t>
      </w:r>
      <w:r w:rsidR="007D2434" w:rsidRPr="00835586">
        <w:t>(</w:t>
      </w:r>
      <w:r w:rsidR="00532B62">
        <w:t>s</w:t>
      </w:r>
      <w:r w:rsidR="007B4484">
        <w:t xml:space="preserve">ee </w:t>
      </w:r>
      <w:hyperlink r:id="rId27" w:history="1">
        <w:r w:rsidR="007B4484" w:rsidRPr="002155D0">
          <w:rPr>
            <w:rStyle w:val="Hyperlink"/>
            <w:rFonts w:cs="Arial"/>
          </w:rPr>
          <w:t>NICE’s guideline on AMD</w:t>
        </w:r>
      </w:hyperlink>
      <w:r w:rsidR="007B4484">
        <w:t xml:space="preserve"> and</w:t>
      </w:r>
      <w:r w:rsidR="007B5DBB">
        <w:t xml:space="preserve"> the</w:t>
      </w:r>
      <w:r w:rsidR="003D7BC2" w:rsidRPr="00835586">
        <w:t xml:space="preserve"> </w:t>
      </w:r>
      <w:hyperlink r:id="rId28" w:history="1">
        <w:r w:rsidR="007B4484">
          <w:rPr>
            <w:rStyle w:val="Hyperlink"/>
            <w:rFonts w:cs="Arial"/>
          </w:rPr>
          <w:t>NHS webpage on treatments for AMD</w:t>
        </w:r>
      </w:hyperlink>
      <w:r w:rsidR="00835586" w:rsidRPr="00835586">
        <w:t>)</w:t>
      </w:r>
      <w:r w:rsidR="00F24165">
        <w:rPr>
          <w:rFonts w:eastAsia="Aptos"/>
        </w:rPr>
        <w:t>.</w:t>
      </w:r>
    </w:p>
    <w:p w14:paraId="737B831C" w14:textId="65ABECD9" w:rsidR="00333F72" w:rsidRDefault="00333F72" w:rsidP="00E22299">
      <w:pPr>
        <w:pStyle w:val="Paragraph"/>
      </w:pPr>
      <w:r w:rsidRPr="64EAFB1B">
        <w:t xml:space="preserve">Although no </w:t>
      </w:r>
      <w:r w:rsidR="000C25AC">
        <w:t>g</w:t>
      </w:r>
      <w:r w:rsidR="000C25AC" w:rsidRPr="00835586">
        <w:t xml:space="preserve">eographic atrophy </w:t>
      </w:r>
      <w:r w:rsidRPr="64EAFB1B">
        <w:t xml:space="preserve">treatments have been </w:t>
      </w:r>
      <w:r w:rsidR="00F24165">
        <w:t>evaluat</w:t>
      </w:r>
      <w:r w:rsidR="00F24165" w:rsidRPr="64EAFB1B">
        <w:t xml:space="preserve">ed </w:t>
      </w:r>
      <w:r w:rsidRPr="64EAFB1B">
        <w:t xml:space="preserve">by NICE to date, there </w:t>
      </w:r>
      <w:r w:rsidR="00E35FC8" w:rsidRPr="64EAFB1B">
        <w:t>are</w:t>
      </w:r>
      <w:r w:rsidRPr="64EAFB1B">
        <w:t xml:space="preserve"> </w:t>
      </w:r>
      <w:r w:rsidR="00E35FC8" w:rsidRPr="64EAFB1B">
        <w:t>several</w:t>
      </w:r>
      <w:r w:rsidRPr="64EAFB1B">
        <w:t xml:space="preserve"> treatments in development. It is likely that implementation costs will be considerable for some potential </w:t>
      </w:r>
      <w:r w:rsidR="00F24165" w:rsidRPr="64EAFB1B">
        <w:t>t</w:t>
      </w:r>
      <w:r w:rsidR="00F24165">
        <w:t>reatment</w:t>
      </w:r>
      <w:r w:rsidR="00F24165" w:rsidRPr="64EAFB1B">
        <w:t xml:space="preserve">s </w:t>
      </w:r>
      <w:r w:rsidRPr="64EAFB1B">
        <w:t xml:space="preserve">for </w:t>
      </w:r>
      <w:r w:rsidR="000C25AC">
        <w:t>g</w:t>
      </w:r>
      <w:r w:rsidR="000C25AC" w:rsidRPr="00835586">
        <w:t>eographic atrophy</w:t>
      </w:r>
      <w:r w:rsidRPr="64EAFB1B">
        <w:t xml:space="preserve">. This is </w:t>
      </w:r>
      <w:r w:rsidR="00F24165">
        <w:t>because of</w:t>
      </w:r>
      <w:r w:rsidRPr="64EAFB1B">
        <w:t xml:space="preserve"> the size of the target population and the resource intensity associated with the </w:t>
      </w:r>
      <w:r w:rsidR="00564F08" w:rsidRPr="64EAFB1B">
        <w:t>administ</w:t>
      </w:r>
      <w:r w:rsidR="00564F08">
        <w:t>ering</w:t>
      </w:r>
      <w:r w:rsidR="00564F08" w:rsidRPr="64EAFB1B">
        <w:t xml:space="preserve"> </w:t>
      </w:r>
      <w:r w:rsidRPr="64EAFB1B">
        <w:t xml:space="preserve">some of these </w:t>
      </w:r>
      <w:r w:rsidR="00564F08" w:rsidRPr="64EAFB1B">
        <w:t>t</w:t>
      </w:r>
      <w:r w:rsidR="00564F08">
        <w:t>reatment</w:t>
      </w:r>
      <w:r w:rsidR="00564F08" w:rsidRPr="64EAFB1B">
        <w:t>s</w:t>
      </w:r>
      <w:r w:rsidRPr="64EAFB1B">
        <w:t xml:space="preserve">. The estimated prevalence of </w:t>
      </w:r>
      <w:r w:rsidR="000C25AC">
        <w:t>g</w:t>
      </w:r>
      <w:r w:rsidR="000C25AC" w:rsidRPr="00835586">
        <w:t xml:space="preserve">eographic atrophy </w:t>
      </w:r>
      <w:r w:rsidRPr="64EAFB1B">
        <w:t>among people over 50</w:t>
      </w:r>
      <w:r w:rsidR="00776FBD">
        <w:t xml:space="preserve"> years</w:t>
      </w:r>
      <w:r w:rsidRPr="64EAFB1B">
        <w:t xml:space="preserve"> in the UK is 1.3% (with confidence intervals </w:t>
      </w:r>
      <w:r w:rsidR="00564F08">
        <w:t>of</w:t>
      </w:r>
      <w:r w:rsidRPr="64EAFB1B">
        <w:t xml:space="preserve"> 0.9% to 1.9%; </w:t>
      </w:r>
      <w:hyperlink r:id="rId29">
        <w:r w:rsidRPr="64EAFB1B">
          <w:rPr>
            <w:rStyle w:val="Hyperlink"/>
            <w:rFonts w:cs="Arial"/>
          </w:rPr>
          <w:t>Owen et al. 2012</w:t>
        </w:r>
      </w:hyperlink>
      <w:r w:rsidRPr="64EAFB1B">
        <w:t xml:space="preserve">). Considering that there over 23 million people </w:t>
      </w:r>
      <w:r w:rsidR="00C02D45">
        <w:t xml:space="preserve">who are </w:t>
      </w:r>
      <w:r w:rsidRPr="64EAFB1B">
        <w:t>over 50</w:t>
      </w:r>
      <w:r w:rsidR="00776FBD">
        <w:t xml:space="preserve"> years</w:t>
      </w:r>
      <w:r w:rsidRPr="64EAFB1B">
        <w:t xml:space="preserve"> in England, the potential target population for these treatments could be around 300,000 </w:t>
      </w:r>
      <w:r w:rsidR="00C02D45">
        <w:t>people</w:t>
      </w:r>
      <w:r w:rsidR="00C02D45" w:rsidRPr="64EAFB1B">
        <w:t xml:space="preserve"> </w:t>
      </w:r>
      <w:r w:rsidRPr="64EAFB1B">
        <w:t xml:space="preserve">(1.3% of 23 million). Even if the specific indications cover only a subset of these </w:t>
      </w:r>
      <w:r w:rsidR="00776FBD">
        <w:t>people</w:t>
      </w:r>
      <w:r w:rsidRPr="64EAFB1B">
        <w:t xml:space="preserve">, the financial impact of any new treatment recommended by NICE is likely to be substantial. Some of the treatments in development involve intraocular surgery or regular intravitreal injections. These methods of administration </w:t>
      </w:r>
      <w:r w:rsidR="00061A95" w:rsidRPr="64EAFB1B">
        <w:t xml:space="preserve">may be </w:t>
      </w:r>
      <w:r w:rsidRPr="64EAFB1B">
        <w:t xml:space="preserve">associated with substantial resource use in terms of staff time, availability of specialised equipment and surgical capacity. </w:t>
      </w:r>
      <w:r w:rsidR="00A26B15">
        <w:t>So</w:t>
      </w:r>
      <w:r w:rsidRPr="64EAFB1B">
        <w:t xml:space="preserve">, </w:t>
      </w:r>
      <w:r w:rsidR="000C25AC">
        <w:t>we considered g</w:t>
      </w:r>
      <w:r w:rsidR="000C25AC" w:rsidRPr="00835586">
        <w:t>eographic atrophy</w:t>
      </w:r>
      <w:r w:rsidRPr="64EAFB1B">
        <w:t xml:space="preserve"> </w:t>
      </w:r>
      <w:r w:rsidR="000C25AC">
        <w:t>to be</w:t>
      </w:r>
      <w:r w:rsidRPr="64EAFB1B">
        <w:t xml:space="preserve"> a useful case study </w:t>
      </w:r>
      <w:r w:rsidR="000C25AC">
        <w:t>for</w:t>
      </w:r>
      <w:r w:rsidR="000C25AC" w:rsidRPr="64EAFB1B">
        <w:t xml:space="preserve"> </w:t>
      </w:r>
      <w:r w:rsidRPr="64EAFB1B">
        <w:t>assess</w:t>
      </w:r>
      <w:r w:rsidR="000C25AC">
        <w:t>ing</w:t>
      </w:r>
      <w:r w:rsidRPr="64EAFB1B">
        <w:t xml:space="preserve"> the appropriateness of identified methodological and procedural approaches to incorporate implementation costs in HTA.</w:t>
      </w:r>
    </w:p>
    <w:p w14:paraId="54B002C4" w14:textId="54923C2E" w:rsidR="00B11F0D" w:rsidRPr="00031C61" w:rsidRDefault="00B11F0D" w:rsidP="00E22299">
      <w:pPr>
        <w:pStyle w:val="Numberedheading2"/>
      </w:pPr>
      <w:bookmarkStart w:id="48" w:name="_Toc226454919"/>
      <w:r>
        <w:t xml:space="preserve">Testing the taxonomy and preliminary recommendations in </w:t>
      </w:r>
      <w:r w:rsidR="000C25AC">
        <w:t>g</w:t>
      </w:r>
      <w:r w:rsidR="000C25AC" w:rsidRPr="00835586">
        <w:t>eographic atrophy</w:t>
      </w:r>
      <w:bookmarkEnd w:id="48"/>
    </w:p>
    <w:p w14:paraId="7F670133" w14:textId="250E8D3E" w:rsidR="00B11F0D" w:rsidRDefault="001C7620" w:rsidP="00B11F0D">
      <w:pPr>
        <w:pStyle w:val="Paragraph"/>
      </w:pPr>
      <w:proofErr w:type="gramStart"/>
      <w:r>
        <w:t>Similar to</w:t>
      </w:r>
      <w:proofErr w:type="gramEnd"/>
      <w:r>
        <w:t xml:space="preserve"> the MRTs case study, w</w:t>
      </w:r>
      <w:r w:rsidR="00B11F0D">
        <w:t>e</w:t>
      </w:r>
      <w:r w:rsidR="00B11F0D" w:rsidRPr="00031C61">
        <w:t xml:space="preserve"> engaged with </w:t>
      </w:r>
      <w:r w:rsidR="00A26B15">
        <w:t>people</w:t>
      </w:r>
      <w:r w:rsidR="00B11F0D" w:rsidRPr="00031C61">
        <w:t xml:space="preserve"> with </w:t>
      </w:r>
      <w:r w:rsidR="008B0063">
        <w:t>expertise in macular degeneration</w:t>
      </w:r>
      <w:r w:rsidR="00A26B15">
        <w:t>. We sought</w:t>
      </w:r>
      <w:r w:rsidR="00B11F0D" w:rsidRPr="00031C61">
        <w:t xml:space="preserve"> insights into potentially relevant infrastructure and service redesign cost considerations related to implement</w:t>
      </w:r>
      <w:r w:rsidR="00A26B15">
        <w:t xml:space="preserve">ing </w:t>
      </w:r>
      <w:r w:rsidR="00B11F0D">
        <w:t>new treatments</w:t>
      </w:r>
      <w:r w:rsidR="00B11F0D" w:rsidRPr="00031C61">
        <w:t>.</w:t>
      </w:r>
      <w:r w:rsidR="00833526">
        <w:t xml:space="preserve"> Th</w:t>
      </w:r>
      <w:r w:rsidR="00A26B15">
        <w:t>e</w:t>
      </w:r>
      <w:r w:rsidR="00833526">
        <w:t>s</w:t>
      </w:r>
      <w:r w:rsidR="00A26B15">
        <w:t>e</w:t>
      </w:r>
      <w:r w:rsidR="00833526">
        <w:t xml:space="preserve"> included consultant ophthalmologist</w:t>
      </w:r>
      <w:r w:rsidR="00CA4EC5">
        <w:t xml:space="preserve">s and </w:t>
      </w:r>
      <w:r w:rsidR="00CA4EC5" w:rsidRPr="0062332F">
        <w:rPr>
          <w:rFonts w:cs="Arial"/>
        </w:rPr>
        <w:t>representative</w:t>
      </w:r>
      <w:r w:rsidR="2BB87C9F" w:rsidRPr="0062332F">
        <w:rPr>
          <w:rFonts w:cs="Arial"/>
        </w:rPr>
        <w:t>s</w:t>
      </w:r>
      <w:r w:rsidR="00CA4EC5" w:rsidRPr="0062332F">
        <w:rPr>
          <w:rFonts w:cs="Arial"/>
        </w:rPr>
        <w:t xml:space="preserve"> from industry and patient organisations</w:t>
      </w:r>
      <w:r w:rsidR="00B11F0D" w:rsidRPr="0062332F">
        <w:rPr>
          <w:rFonts w:cs="Arial"/>
        </w:rPr>
        <w:t xml:space="preserve"> (see appendix </w:t>
      </w:r>
      <w:r w:rsidR="00C25B9F" w:rsidRPr="0062332F">
        <w:rPr>
          <w:rFonts w:cs="Arial"/>
        </w:rPr>
        <w:t xml:space="preserve">F </w:t>
      </w:r>
      <w:r w:rsidR="00B11F0D" w:rsidRPr="0062332F">
        <w:rPr>
          <w:rFonts w:cs="Arial"/>
        </w:rPr>
        <w:t>for more detail).</w:t>
      </w:r>
    </w:p>
    <w:p w14:paraId="2DA6063A" w14:textId="33A7F8CA" w:rsidR="00B11F0D" w:rsidRDefault="00A26B15" w:rsidP="00B11F0D">
      <w:pPr>
        <w:pStyle w:val="Paragraph"/>
      </w:pPr>
      <w:r>
        <w:t>We held v</w:t>
      </w:r>
      <w:r w:rsidR="00B11F0D">
        <w:t>irtual meetings</w:t>
      </w:r>
      <w:r w:rsidR="00030D61">
        <w:t xml:space="preserve"> </w:t>
      </w:r>
      <w:r w:rsidR="00B11F0D">
        <w:t xml:space="preserve">with individual stakeholders to understand their </w:t>
      </w:r>
      <w:r>
        <w:t xml:space="preserve">opinions </w:t>
      </w:r>
      <w:r w:rsidR="00B11F0D">
        <w:t>of the current pathway, key implementation challenges, resource</w:t>
      </w:r>
      <w:r>
        <w:t>s</w:t>
      </w:r>
      <w:r w:rsidR="00B11F0D">
        <w:t xml:space="preserve"> needed and priority areas for implementation. </w:t>
      </w:r>
      <w:r w:rsidR="00074D10">
        <w:t>We then mapped i</w:t>
      </w:r>
      <w:r w:rsidR="00B11F0D" w:rsidRPr="00031C61">
        <w:t>ssues raised by stakeholders onto the taxonomy of costs (see</w:t>
      </w:r>
      <w:r w:rsidR="00CA4EC5">
        <w:t xml:space="preserve"> </w:t>
      </w:r>
      <w:r>
        <w:t xml:space="preserve">table </w:t>
      </w:r>
      <w:r w:rsidR="009E4DBE">
        <w:t>2</w:t>
      </w:r>
      <w:r w:rsidR="00B11F0D" w:rsidRPr="00031C61">
        <w:t>)</w:t>
      </w:r>
      <w:r>
        <w:t>.</w:t>
      </w:r>
      <w:r w:rsidR="00B11F0D">
        <w:t xml:space="preserve"> </w:t>
      </w:r>
      <w:r>
        <w:t xml:space="preserve">We held </w:t>
      </w:r>
      <w:r w:rsidR="00B11F0D">
        <w:t>a multi</w:t>
      </w:r>
      <w:r>
        <w:t>-</w:t>
      </w:r>
      <w:r w:rsidR="00B11F0D">
        <w:t>stakeholder workshop to reach consensus on the main issues and implementation cost components.</w:t>
      </w:r>
    </w:p>
    <w:p w14:paraId="401D2A17" w14:textId="53309529" w:rsidR="009E4DBE" w:rsidRDefault="00CE5E24" w:rsidP="009E4DBE">
      <w:pPr>
        <w:pStyle w:val="Paragraph"/>
      </w:pPr>
      <w:bookmarkStart w:id="49" w:name="_Hlk217400774"/>
      <w:r>
        <w:t xml:space="preserve">The </w:t>
      </w:r>
      <w:r w:rsidR="009E4DBE">
        <w:t xml:space="preserve">key issues related </w:t>
      </w:r>
      <w:r w:rsidR="00203293">
        <w:t xml:space="preserve">to </w:t>
      </w:r>
      <w:r w:rsidR="009E4DBE">
        <w:t>implement</w:t>
      </w:r>
      <w:r w:rsidR="00074D10">
        <w:t>ing treatments for</w:t>
      </w:r>
      <w:r w:rsidR="009E4DBE">
        <w:t xml:space="preserve"> geographic atrophy</w:t>
      </w:r>
      <w:r>
        <w:t xml:space="preserve"> </w:t>
      </w:r>
      <w:r w:rsidR="00203293">
        <w:t xml:space="preserve">identified </w:t>
      </w:r>
      <w:r>
        <w:t>in the multi</w:t>
      </w:r>
      <w:r w:rsidR="00074D10">
        <w:t>-</w:t>
      </w:r>
      <w:r>
        <w:t>stakeholder workshop</w:t>
      </w:r>
      <w:r w:rsidR="009E4DBE">
        <w:t xml:space="preserve"> were:</w:t>
      </w:r>
    </w:p>
    <w:bookmarkEnd w:id="49"/>
    <w:p w14:paraId="6FDF6A5D" w14:textId="10D3709A" w:rsidR="00024E1C" w:rsidRDefault="00024E1C" w:rsidP="002E2AAD">
      <w:pPr>
        <w:pStyle w:val="Bulletleft1"/>
      </w:pPr>
      <w:r w:rsidRPr="19388D11">
        <w:rPr>
          <w:b/>
          <w:bCs/>
        </w:rPr>
        <w:t>Infrastructure needs</w:t>
      </w:r>
      <w:r w:rsidR="00A01290">
        <w:rPr>
          <w:b/>
          <w:bCs/>
        </w:rPr>
        <w:t>:</w:t>
      </w:r>
      <w:r>
        <w:t xml:space="preserve"> </w:t>
      </w:r>
      <w:r w:rsidR="00A01290">
        <w:t>s</w:t>
      </w:r>
      <w:r>
        <w:t>takeholders confirmed that the main barrier to implement</w:t>
      </w:r>
      <w:r w:rsidR="007C1050">
        <w:t>ing</w:t>
      </w:r>
      <w:r>
        <w:t xml:space="preserve"> </w:t>
      </w:r>
      <w:r w:rsidR="001424B8">
        <w:t>treatments for geographic atrophy</w:t>
      </w:r>
      <w:r>
        <w:t xml:space="preserve"> </w:t>
      </w:r>
      <w:r w:rsidR="001424B8">
        <w:t xml:space="preserve">is </w:t>
      </w:r>
      <w:r>
        <w:t>lack of sufficient capacity in opht</w:t>
      </w:r>
      <w:r w:rsidR="00251B68">
        <w:t>halmological services</w:t>
      </w:r>
      <w:r w:rsidR="00AD743D">
        <w:t xml:space="preserve">. </w:t>
      </w:r>
      <w:r w:rsidR="007C1050">
        <w:t>Stakeholders</w:t>
      </w:r>
      <w:r w:rsidR="00AD743D">
        <w:t xml:space="preserve"> highlighted that services for treat</w:t>
      </w:r>
      <w:r w:rsidR="007C1050">
        <w:t>ing</w:t>
      </w:r>
      <w:r w:rsidR="00AD743D">
        <w:t xml:space="preserve"> wet AMD </w:t>
      </w:r>
      <w:r w:rsidR="005E438B">
        <w:t xml:space="preserve">are </w:t>
      </w:r>
      <w:r w:rsidR="00706E2D">
        <w:t>currently</w:t>
      </w:r>
      <w:r w:rsidR="005E438B">
        <w:t xml:space="preserve"> stretched</w:t>
      </w:r>
      <w:r w:rsidR="007C1050">
        <w:t>.</w:t>
      </w:r>
      <w:r w:rsidR="005E438B">
        <w:t xml:space="preserve"> </w:t>
      </w:r>
      <w:r w:rsidR="007C1050">
        <w:t>So</w:t>
      </w:r>
      <w:r w:rsidR="005E438B">
        <w:t xml:space="preserve">, </w:t>
      </w:r>
      <w:r w:rsidR="007C1050">
        <w:t xml:space="preserve">services </w:t>
      </w:r>
      <w:r w:rsidR="005E438B">
        <w:t>would not be able to handle the load of monthly or treatments</w:t>
      </w:r>
      <w:r w:rsidR="003C3B74">
        <w:t xml:space="preserve"> </w:t>
      </w:r>
      <w:r w:rsidR="005B6A3A">
        <w:t xml:space="preserve">once </w:t>
      </w:r>
      <w:r w:rsidR="003C3B74">
        <w:t>every two months</w:t>
      </w:r>
      <w:r w:rsidR="005E438B">
        <w:t xml:space="preserve"> for geographic atrophy</w:t>
      </w:r>
      <w:r w:rsidR="56CFB67D">
        <w:t xml:space="preserve"> for some of the treatments in the pipeline</w:t>
      </w:r>
      <w:r w:rsidR="005E438B">
        <w:t xml:space="preserve">. </w:t>
      </w:r>
      <w:r w:rsidR="004C4348">
        <w:t>This is p</w:t>
      </w:r>
      <w:r w:rsidR="005E438B">
        <w:t>articularly</w:t>
      </w:r>
      <w:r w:rsidR="004C4348">
        <w:t xml:space="preserve"> because</w:t>
      </w:r>
      <w:r w:rsidR="00DA6AAE">
        <w:t xml:space="preserve"> these treatments </w:t>
      </w:r>
      <w:r w:rsidR="004C4348">
        <w:t xml:space="preserve">would </w:t>
      </w:r>
      <w:r w:rsidR="004936EC">
        <w:t>potentially</w:t>
      </w:r>
      <w:r w:rsidR="00DA6AAE">
        <w:t xml:space="preserve"> be given to </w:t>
      </w:r>
      <w:r w:rsidR="004936EC">
        <w:t xml:space="preserve">a large group of </w:t>
      </w:r>
      <w:r w:rsidR="00DA6AAE">
        <w:t>patients until benefit</w:t>
      </w:r>
      <w:r w:rsidR="004C4348">
        <w:t xml:space="preserve"> stops.</w:t>
      </w:r>
    </w:p>
    <w:p w14:paraId="69007655" w14:textId="77A2070A" w:rsidR="00024E1C" w:rsidRDefault="00C57583" w:rsidP="002E2AAD">
      <w:pPr>
        <w:pStyle w:val="Bulletleft1"/>
      </w:pPr>
      <w:r>
        <w:rPr>
          <w:b/>
          <w:bCs/>
        </w:rPr>
        <w:t>Importance of taking a stratified approach to treatment</w:t>
      </w:r>
      <w:r w:rsidR="00A01290">
        <w:rPr>
          <w:b/>
          <w:bCs/>
        </w:rPr>
        <w:t>:</w:t>
      </w:r>
      <w:r w:rsidR="00A01290">
        <w:t xml:space="preserve"> h</w:t>
      </w:r>
      <w:r w:rsidR="004C4348">
        <w:t>ealthcare professional</w:t>
      </w:r>
      <w:r>
        <w:t xml:space="preserve">s highlighted that not </w:t>
      </w:r>
      <w:r w:rsidR="004C4348">
        <w:t>everyone with geographic atrophy is</w:t>
      </w:r>
      <w:r>
        <w:t xml:space="preserve"> expected to benefit from treatments</w:t>
      </w:r>
      <w:r w:rsidR="004C4348">
        <w:t>.</w:t>
      </w:r>
      <w:r>
        <w:t xml:space="preserve"> </w:t>
      </w:r>
      <w:r w:rsidR="004C4348">
        <w:t>Treatments</w:t>
      </w:r>
      <w:r>
        <w:t xml:space="preserve"> should </w:t>
      </w:r>
      <w:r w:rsidR="004C4348">
        <w:t xml:space="preserve">only </w:t>
      </w:r>
      <w:r>
        <w:t xml:space="preserve">be given to </w:t>
      </w:r>
      <w:r w:rsidR="004C4348">
        <w:t xml:space="preserve">people </w:t>
      </w:r>
      <w:r>
        <w:t>who would</w:t>
      </w:r>
      <w:r w:rsidR="004C4348">
        <w:t xml:space="preserve"> benefit</w:t>
      </w:r>
      <w:r>
        <w:t xml:space="preserve">. </w:t>
      </w:r>
      <w:r w:rsidR="004C4348">
        <w:t xml:space="preserve">Healthcare professionals </w:t>
      </w:r>
      <w:r>
        <w:t>would expect that</w:t>
      </w:r>
      <w:r w:rsidR="004C4348">
        <w:t xml:space="preserve"> </w:t>
      </w:r>
      <w:r>
        <w:t>p</w:t>
      </w:r>
      <w:r w:rsidR="004C4348">
        <w:t>eople</w:t>
      </w:r>
      <w:r>
        <w:t xml:space="preserve"> with </w:t>
      </w:r>
      <w:r w:rsidR="00330517">
        <w:t xml:space="preserve">foveal sparing </w:t>
      </w:r>
      <w:r w:rsidR="004C4348">
        <w:t xml:space="preserve">would </w:t>
      </w:r>
      <w:r w:rsidR="00330517">
        <w:t>benefit more</w:t>
      </w:r>
      <w:r w:rsidR="004C4348">
        <w:t>. But</w:t>
      </w:r>
      <w:r w:rsidR="00330517">
        <w:t xml:space="preserve"> this is based on </w:t>
      </w:r>
      <w:r w:rsidR="004C4348">
        <w:t xml:space="preserve">a </w:t>
      </w:r>
      <w:r w:rsidR="00330517">
        <w:t xml:space="preserve">post-hoc analysis and not necessarily </w:t>
      </w:r>
      <w:r w:rsidR="00040F4B">
        <w:t xml:space="preserve">from </w:t>
      </w:r>
      <w:r w:rsidR="004C4348">
        <w:t xml:space="preserve">clinical </w:t>
      </w:r>
      <w:r w:rsidR="00040F4B">
        <w:t>trials powered to detect these differences.</w:t>
      </w:r>
    </w:p>
    <w:p w14:paraId="7EF828F9" w14:textId="1AA15D94" w:rsidR="00040F4B" w:rsidRDefault="000E0DC8" w:rsidP="002E2AAD">
      <w:pPr>
        <w:pStyle w:val="Bulletleft1"/>
      </w:pPr>
      <w:r>
        <w:rPr>
          <w:b/>
          <w:bCs/>
        </w:rPr>
        <w:t>Risk</w:t>
      </w:r>
      <w:r w:rsidR="00C91571">
        <w:rPr>
          <w:b/>
          <w:bCs/>
        </w:rPr>
        <w:t xml:space="preserve"> of conversion of geographic atrophy to wet AMD</w:t>
      </w:r>
      <w:r w:rsidR="00A01290">
        <w:rPr>
          <w:b/>
          <w:bCs/>
        </w:rPr>
        <w:t>:</w:t>
      </w:r>
      <w:r w:rsidR="00A01290">
        <w:t xml:space="preserve"> s</w:t>
      </w:r>
      <w:r w:rsidR="00E614F2">
        <w:t>takeholders</w:t>
      </w:r>
      <w:r w:rsidR="00C91571">
        <w:t xml:space="preserve"> highlighted that there should be continuous monitoring for </w:t>
      </w:r>
      <w:r w:rsidR="00E614F2">
        <w:t xml:space="preserve">people with geographic atrophy, </w:t>
      </w:r>
      <w:r w:rsidR="00C91571">
        <w:t xml:space="preserve">to </w:t>
      </w:r>
      <w:r>
        <w:t>detect progressive vision loss and conversion to wet AMD. Once central vision loss</w:t>
      </w:r>
      <w:r w:rsidR="00C02194">
        <w:t xml:space="preserve"> occurs</w:t>
      </w:r>
      <w:r w:rsidR="001459A1">
        <w:t>, the</w:t>
      </w:r>
      <w:r w:rsidR="00C02194">
        <w:t xml:space="preserve"> </w:t>
      </w:r>
      <w:r w:rsidR="001459A1">
        <w:t>treatments</w:t>
      </w:r>
      <w:r w:rsidR="00C02194">
        <w:t xml:space="preserve"> would no longer be given</w:t>
      </w:r>
      <w:r w:rsidR="001459A1">
        <w:t xml:space="preserve">. </w:t>
      </w:r>
      <w:r w:rsidR="00E55E3F">
        <w:t>Currently</w:t>
      </w:r>
      <w:r w:rsidR="00A01290">
        <w:t>,</w:t>
      </w:r>
      <w:r w:rsidR="00E55E3F">
        <w:t xml:space="preserve"> there is no routinely available </w:t>
      </w:r>
      <w:r w:rsidR="00DA1236">
        <w:t>diagnostic test to detect this accurately</w:t>
      </w:r>
      <w:r w:rsidR="00C02194">
        <w:t>. But</w:t>
      </w:r>
      <w:r w:rsidR="00DA1236">
        <w:t xml:space="preserve"> </w:t>
      </w:r>
      <w:r w:rsidR="00C02194">
        <w:t xml:space="preserve">stakeholders highlighted </w:t>
      </w:r>
      <w:r w:rsidR="00DA1236">
        <w:t xml:space="preserve">microperimetry as a </w:t>
      </w:r>
      <w:r w:rsidR="00280CFF">
        <w:t xml:space="preserve">technique </w:t>
      </w:r>
      <w:r w:rsidR="006C0AAB">
        <w:t xml:space="preserve">to do this more effectively. It is a </w:t>
      </w:r>
      <w:r w:rsidR="007C2828">
        <w:t>time-consuming</w:t>
      </w:r>
      <w:r w:rsidR="006C0AAB">
        <w:t xml:space="preserve"> procedure that can take </w:t>
      </w:r>
      <w:r w:rsidR="00C02194">
        <w:t xml:space="preserve">up to </w:t>
      </w:r>
      <w:r w:rsidR="006C0AAB">
        <w:t>45 minutes.</w:t>
      </w:r>
    </w:p>
    <w:p w14:paraId="2BD1CDD4" w14:textId="77777777" w:rsidR="00E22299" w:rsidRDefault="004D4E2E" w:rsidP="00E22299">
      <w:pPr>
        <w:pStyle w:val="Bulletleft1last"/>
        <w:sectPr w:rsidR="00E22299" w:rsidSect="00060A09">
          <w:headerReference w:type="default" r:id="rId30"/>
          <w:pgSz w:w="11906" w:h="16838"/>
          <w:pgMar w:top="1440" w:right="1800" w:bottom="1440" w:left="1800" w:header="708" w:footer="708" w:gutter="0"/>
          <w:cols w:space="708"/>
          <w:docGrid w:linePitch="360"/>
        </w:sectPr>
      </w:pPr>
      <w:r w:rsidRPr="19388D11">
        <w:rPr>
          <w:b/>
          <w:bCs/>
        </w:rPr>
        <w:t>Learnings from wet AMD</w:t>
      </w:r>
      <w:r w:rsidR="00A01290">
        <w:rPr>
          <w:b/>
          <w:bCs/>
        </w:rPr>
        <w:t>:</w:t>
      </w:r>
      <w:r w:rsidR="00A01290">
        <w:t xml:space="preserve"> s</w:t>
      </w:r>
      <w:r w:rsidR="00F2548E">
        <w:t>takeholders</w:t>
      </w:r>
      <w:r>
        <w:t xml:space="preserve"> highlighted that there are a lot of similarities in infrastructure and services </w:t>
      </w:r>
      <w:r w:rsidR="00F2548E">
        <w:t xml:space="preserve">needed </w:t>
      </w:r>
      <w:r>
        <w:t>for treat</w:t>
      </w:r>
      <w:r w:rsidR="00F2548E">
        <w:t xml:space="preserve">ing </w:t>
      </w:r>
      <w:r>
        <w:t xml:space="preserve">geographic atrophy </w:t>
      </w:r>
      <w:r w:rsidR="00774822">
        <w:t>and wet AMD</w:t>
      </w:r>
      <w:r w:rsidR="00DD3CA2">
        <w:t>. This is</w:t>
      </w:r>
      <w:r w:rsidR="284F1BDB">
        <w:t xml:space="preserve"> particularly in terms of intravitreal injections</w:t>
      </w:r>
      <w:r w:rsidR="00774822">
        <w:t xml:space="preserve">. </w:t>
      </w:r>
      <w:r w:rsidR="00203293">
        <w:t>So</w:t>
      </w:r>
      <w:r w:rsidR="00774822">
        <w:t xml:space="preserve">, looking at the costs of delivering </w:t>
      </w:r>
      <w:r w:rsidR="009224E6">
        <w:t>anti-VEGF treatments is a good starting point for estimating costs associated with implementing treatments for geographic atrophy.</w:t>
      </w:r>
    </w:p>
    <w:p w14:paraId="1064E6A6" w14:textId="50451424" w:rsidR="00B11F0D" w:rsidRPr="002E2AAD" w:rsidRDefault="00E22299" w:rsidP="00E22299">
      <w:pPr>
        <w:pStyle w:val="Bulletleft1last"/>
      </w:pPr>
      <w:r>
        <w:br w:type="column"/>
      </w:r>
    </w:p>
    <w:p w14:paraId="4D400353" w14:textId="4C7C871D" w:rsidR="00CA4EC5" w:rsidRPr="00031C61" w:rsidRDefault="00CA4EC5" w:rsidP="002E2AAD">
      <w:pPr>
        <w:pStyle w:val="Caption"/>
      </w:pPr>
      <w:r w:rsidRPr="00031C61">
        <w:t xml:space="preserve">Table </w:t>
      </w:r>
      <w:r>
        <w:t>2</w:t>
      </w:r>
      <w:r w:rsidRPr="00031C61">
        <w:t xml:space="preserve"> </w:t>
      </w:r>
      <w:r w:rsidR="006B0E58" w:rsidRPr="00031C61">
        <w:t>Appl</w:t>
      </w:r>
      <w:r w:rsidR="006B0E58">
        <w:t>ying</w:t>
      </w:r>
      <w:r w:rsidRPr="00031C61">
        <w:t xml:space="preserve"> the taxonomy of costs to </w:t>
      </w:r>
      <w:r>
        <w:t>geographic atrophy</w:t>
      </w:r>
    </w:p>
    <w:tbl>
      <w:tblPr>
        <w:tblStyle w:val="TableGrid"/>
        <w:tblW w:w="14945" w:type="dxa"/>
        <w:tblLook w:val="06A0" w:firstRow="1" w:lastRow="0" w:firstColumn="1" w:lastColumn="0" w:noHBand="1" w:noVBand="1"/>
        <w:tblCaption w:val="Table 2 Applying the taxonomy of costs to geographic atrophy "/>
        <w:tblDescription w:val="Table showing cost category, cost subcategory, and discussion."/>
      </w:tblPr>
      <w:tblGrid>
        <w:gridCol w:w="1843"/>
        <w:gridCol w:w="1843"/>
        <w:gridCol w:w="11259"/>
      </w:tblGrid>
      <w:tr w:rsidR="006B0E58" w:rsidRPr="00A15A51" w14:paraId="32A88F0A" w14:textId="77777777" w:rsidTr="002E2AAD">
        <w:trPr>
          <w:trHeight w:val="300"/>
        </w:trPr>
        <w:tc>
          <w:tcPr>
            <w:tcW w:w="1843" w:type="dxa"/>
          </w:tcPr>
          <w:p w14:paraId="089D81E3" w14:textId="1C660161" w:rsidR="006B0E58" w:rsidRDefault="006B0E58" w:rsidP="002E2AAD">
            <w:pPr>
              <w:pStyle w:val="Tableheading"/>
            </w:pPr>
            <w:r>
              <w:t>Cost category</w:t>
            </w:r>
          </w:p>
        </w:tc>
        <w:tc>
          <w:tcPr>
            <w:tcW w:w="1843" w:type="dxa"/>
          </w:tcPr>
          <w:p w14:paraId="4F3EBD67" w14:textId="0A7A15A8" w:rsidR="006B0E58" w:rsidRPr="00A15A51" w:rsidRDefault="006B0E58" w:rsidP="002E2AAD">
            <w:pPr>
              <w:pStyle w:val="Tableheading"/>
              <w:rPr>
                <w:rFonts w:cs="Arial"/>
                <w:bCs/>
                <w:sz w:val="20"/>
                <w:szCs w:val="20"/>
              </w:rPr>
            </w:pPr>
            <w:r>
              <w:t>Cost subcategory</w:t>
            </w:r>
          </w:p>
        </w:tc>
        <w:tc>
          <w:tcPr>
            <w:tcW w:w="11259" w:type="dxa"/>
          </w:tcPr>
          <w:p w14:paraId="34F4E957" w14:textId="337C7EB4" w:rsidR="006B0E58" w:rsidRPr="00A15A51" w:rsidRDefault="006B0E58" w:rsidP="002E2AAD">
            <w:pPr>
              <w:pStyle w:val="Tableheading"/>
              <w:rPr>
                <w:rFonts w:cs="Arial"/>
                <w:sz w:val="20"/>
                <w:szCs w:val="20"/>
              </w:rPr>
            </w:pPr>
            <w:r>
              <w:t>Discussion</w:t>
            </w:r>
          </w:p>
        </w:tc>
      </w:tr>
      <w:tr w:rsidR="006B0E58" w:rsidRPr="00A15A51" w14:paraId="02038444" w14:textId="77777777" w:rsidTr="002E2AAD">
        <w:trPr>
          <w:trHeight w:val="300"/>
        </w:trPr>
        <w:tc>
          <w:tcPr>
            <w:tcW w:w="1843" w:type="dxa"/>
          </w:tcPr>
          <w:p w14:paraId="4A6A8CAD" w14:textId="21D0E4AF" w:rsidR="006B0E58" w:rsidRPr="00A15A51" w:rsidRDefault="006B0E58" w:rsidP="002E2AAD">
            <w:pPr>
              <w:pStyle w:val="Tabletext"/>
            </w:pPr>
            <w:r>
              <w:t>Personnel</w:t>
            </w:r>
          </w:p>
        </w:tc>
        <w:tc>
          <w:tcPr>
            <w:tcW w:w="1843" w:type="dxa"/>
          </w:tcPr>
          <w:p w14:paraId="2BD211CE" w14:textId="7511E426" w:rsidR="006B0E58" w:rsidRPr="00A15A51" w:rsidRDefault="006B0E58" w:rsidP="002E2AAD">
            <w:pPr>
              <w:pStyle w:val="Tabletext"/>
            </w:pPr>
            <w:r w:rsidRPr="00A15A51">
              <w:t>Staff time</w:t>
            </w:r>
          </w:p>
        </w:tc>
        <w:tc>
          <w:tcPr>
            <w:tcW w:w="11259" w:type="dxa"/>
          </w:tcPr>
          <w:p w14:paraId="179E05F8" w14:textId="0B9FA7A1" w:rsidR="006B0E58" w:rsidRPr="00A15A51" w:rsidRDefault="006B0E58" w:rsidP="002E2AAD">
            <w:pPr>
              <w:pStyle w:val="Tabletext"/>
            </w:pPr>
            <w:r w:rsidRPr="00A15A51">
              <w:t xml:space="preserve">Engaged stakeholders </w:t>
            </w:r>
            <w:r w:rsidR="00966E3A">
              <w:t>sai</w:t>
            </w:r>
            <w:r w:rsidR="00966E3A" w:rsidRPr="00A15A51">
              <w:t xml:space="preserve">d </w:t>
            </w:r>
            <w:r w:rsidRPr="00A15A51">
              <w:t xml:space="preserve">that staff </w:t>
            </w:r>
            <w:r w:rsidR="000722E4">
              <w:t>are</w:t>
            </w:r>
            <w:r w:rsidRPr="00A15A51">
              <w:t xml:space="preserve"> needed to </w:t>
            </w:r>
            <w:r w:rsidR="00FB7ACD">
              <w:t xml:space="preserve">make a </w:t>
            </w:r>
            <w:r w:rsidR="005B2007">
              <w:t>diagnosis</w:t>
            </w:r>
            <w:r w:rsidRPr="00A15A51">
              <w:t>, administer treatments and monitor</w:t>
            </w:r>
            <w:r w:rsidR="000722E4">
              <w:t xml:space="preserve"> </w:t>
            </w:r>
            <w:r w:rsidRPr="00A15A51">
              <w:t>vision loss.</w:t>
            </w:r>
          </w:p>
          <w:p w14:paraId="264557E1" w14:textId="219C6CD0" w:rsidR="006B0E58" w:rsidRPr="00A15A51" w:rsidRDefault="00C8796E" w:rsidP="002E2AAD">
            <w:pPr>
              <w:pStyle w:val="Tabletext"/>
            </w:pPr>
            <w:r>
              <w:t>Treatment administration</w:t>
            </w:r>
            <w:r w:rsidR="006B0E58" w:rsidRPr="19388D11">
              <w:t xml:space="preserve"> would need to be done by specialists. </w:t>
            </w:r>
            <w:r>
              <w:t>Stakeholders</w:t>
            </w:r>
            <w:r w:rsidR="006B0E58" w:rsidRPr="19388D11">
              <w:t xml:space="preserve"> </w:t>
            </w:r>
            <w:r w:rsidRPr="19388D11">
              <w:t>pr</w:t>
            </w:r>
            <w:r>
              <w:t>opose</w:t>
            </w:r>
            <w:r w:rsidRPr="19388D11">
              <w:t xml:space="preserve">d </w:t>
            </w:r>
            <w:r w:rsidR="006B0E58" w:rsidRPr="19388D11">
              <w:t xml:space="preserve">that if a treatment becomes part of routine care, </w:t>
            </w:r>
            <w:r w:rsidR="00146333">
              <w:t>treatment administration</w:t>
            </w:r>
            <w:r w:rsidR="006B0E58" w:rsidRPr="19388D11">
              <w:t xml:space="preserve"> could potentially be shared with nurse</w:t>
            </w:r>
            <w:r w:rsidR="00E27DD1">
              <w:t>s.</w:t>
            </w:r>
            <w:r w:rsidR="006B0E58" w:rsidRPr="19388D11">
              <w:t xml:space="preserve"> Nurses currently administer intravitreal injections for wet </w:t>
            </w:r>
            <w:r w:rsidR="005B2007">
              <w:t>age-related macular degeneration (</w:t>
            </w:r>
            <w:r w:rsidR="006B0E58" w:rsidRPr="19388D11">
              <w:t>AMD</w:t>
            </w:r>
            <w:r w:rsidR="005B2007">
              <w:t>)</w:t>
            </w:r>
            <w:r w:rsidR="006B0E58" w:rsidRPr="19388D11">
              <w:t>.</w:t>
            </w:r>
          </w:p>
          <w:p w14:paraId="58BDBCDE" w14:textId="22945614" w:rsidR="006B0E58" w:rsidRPr="00A15A51" w:rsidRDefault="006B0E58" w:rsidP="002E2AAD">
            <w:pPr>
              <w:pStyle w:val="Tabletext"/>
            </w:pPr>
            <w:r w:rsidRPr="19388D11">
              <w:t xml:space="preserve">For intravitreal injections, staff will be needed to administer the treatments either once </w:t>
            </w:r>
            <w:r w:rsidR="003C3B74">
              <w:t>a month or once every two months</w:t>
            </w:r>
            <w:r w:rsidRPr="19388D11">
              <w:t>.</w:t>
            </w:r>
          </w:p>
        </w:tc>
      </w:tr>
      <w:tr w:rsidR="006B0E58" w:rsidRPr="00A15A51" w14:paraId="56AA68FB" w14:textId="77777777" w:rsidTr="002E2AAD">
        <w:trPr>
          <w:trHeight w:val="300"/>
        </w:trPr>
        <w:tc>
          <w:tcPr>
            <w:tcW w:w="1843" w:type="dxa"/>
          </w:tcPr>
          <w:p w14:paraId="7C6723E9" w14:textId="28375CD7" w:rsidR="006B0E58" w:rsidRPr="00A15A51" w:rsidRDefault="006B0E58" w:rsidP="002E2AAD">
            <w:pPr>
              <w:pStyle w:val="Tabletext"/>
            </w:pPr>
            <w:r w:rsidRPr="006F3495">
              <w:t>Personnel</w:t>
            </w:r>
          </w:p>
        </w:tc>
        <w:tc>
          <w:tcPr>
            <w:tcW w:w="1843" w:type="dxa"/>
          </w:tcPr>
          <w:p w14:paraId="0302BC6A" w14:textId="34214BD6" w:rsidR="006B0E58" w:rsidRPr="00A15A51" w:rsidRDefault="006B0E58" w:rsidP="002E2AAD">
            <w:pPr>
              <w:pStyle w:val="Tabletext"/>
            </w:pPr>
            <w:r w:rsidRPr="00A15A51">
              <w:t>Staff numbers</w:t>
            </w:r>
          </w:p>
        </w:tc>
        <w:tc>
          <w:tcPr>
            <w:tcW w:w="11259" w:type="dxa"/>
          </w:tcPr>
          <w:p w14:paraId="1B02D4CC" w14:textId="3BD29C7C" w:rsidR="006B0E58" w:rsidRPr="00A15A51" w:rsidRDefault="00D37942" w:rsidP="002E2AAD">
            <w:pPr>
              <w:pStyle w:val="Tabletext"/>
            </w:pPr>
            <w:r>
              <w:t>Stakeholders highlighted c</w:t>
            </w:r>
            <w:r w:rsidR="006B0E58" w:rsidRPr="00A15A51">
              <w:t>urrent staff shortages for other ophthalmological conditions with existing treatments, particularly wet AMD</w:t>
            </w:r>
            <w:r>
              <w:t>. They highlighted</w:t>
            </w:r>
            <w:r w:rsidR="006B0E58" w:rsidRPr="00A15A51">
              <w:t xml:space="preserve"> the need to significantly increase the number of staff given the significant size of population with no existing treatments. </w:t>
            </w:r>
          </w:p>
        </w:tc>
      </w:tr>
      <w:tr w:rsidR="006B0E58" w:rsidRPr="00A15A51" w14:paraId="407A6A2B" w14:textId="77777777" w:rsidTr="00A6176E">
        <w:trPr>
          <w:trHeight w:val="89"/>
        </w:trPr>
        <w:tc>
          <w:tcPr>
            <w:tcW w:w="1843" w:type="dxa"/>
          </w:tcPr>
          <w:p w14:paraId="682B8F64" w14:textId="6EF16B49" w:rsidR="006B0E58" w:rsidRPr="00A15A51" w:rsidRDefault="006B0E58" w:rsidP="002E2AAD">
            <w:pPr>
              <w:pStyle w:val="Tabletext"/>
            </w:pPr>
            <w:r w:rsidRPr="006F3495">
              <w:t>Personnel</w:t>
            </w:r>
          </w:p>
        </w:tc>
        <w:tc>
          <w:tcPr>
            <w:tcW w:w="1843" w:type="dxa"/>
          </w:tcPr>
          <w:p w14:paraId="6F77DA21" w14:textId="4CBF7656" w:rsidR="006B0E58" w:rsidRPr="00A15A51" w:rsidRDefault="006B0E58" w:rsidP="002E2AAD">
            <w:pPr>
              <w:pStyle w:val="Tabletext"/>
            </w:pPr>
            <w:r w:rsidRPr="00A15A51">
              <w:t>Staff recruitment</w:t>
            </w:r>
          </w:p>
        </w:tc>
        <w:tc>
          <w:tcPr>
            <w:tcW w:w="11259" w:type="dxa"/>
          </w:tcPr>
          <w:p w14:paraId="63F81CEC" w14:textId="5C52DFB8" w:rsidR="006B0E58" w:rsidRPr="00A15A51" w:rsidRDefault="00C94E77" w:rsidP="002E2AAD">
            <w:pPr>
              <w:pStyle w:val="Tabletext"/>
            </w:pPr>
            <w:r>
              <w:t>M</w:t>
            </w:r>
            <w:r w:rsidR="006B0E58" w:rsidRPr="19388D11">
              <w:t xml:space="preserve">ore staff </w:t>
            </w:r>
            <w:r>
              <w:t xml:space="preserve">need to be recruited, </w:t>
            </w:r>
            <w:r w:rsidR="006B0E58" w:rsidRPr="19388D11">
              <w:t xml:space="preserve">because currently there </w:t>
            </w:r>
            <w:r>
              <w:t>are</w:t>
            </w:r>
            <w:r w:rsidRPr="19388D11">
              <w:t xml:space="preserve"> </w:t>
            </w:r>
            <w:r w:rsidR="006B0E58" w:rsidRPr="19388D11">
              <w:t>insufficient number</w:t>
            </w:r>
            <w:r>
              <w:t>s</w:t>
            </w:r>
            <w:r w:rsidR="006B0E58" w:rsidRPr="19388D11">
              <w:t xml:space="preserve"> </w:t>
            </w:r>
            <w:r>
              <w:t>for</w:t>
            </w:r>
            <w:r w:rsidR="006B0E58" w:rsidRPr="19388D11">
              <w:t xml:space="preserve"> delivering anti-</w:t>
            </w:r>
            <w:r w:rsidR="00CF0971" w:rsidRPr="00835586">
              <w:rPr>
                <w:rFonts w:eastAsia="Aptos"/>
              </w:rPr>
              <w:t xml:space="preserve"> </w:t>
            </w:r>
            <w:proofErr w:type="spellStart"/>
            <w:r w:rsidR="00CF0971" w:rsidRPr="00835586">
              <w:rPr>
                <w:rFonts w:eastAsia="Aptos"/>
              </w:rPr>
              <w:t>antivascular</w:t>
            </w:r>
            <w:proofErr w:type="spellEnd"/>
            <w:r w:rsidR="00CF0971" w:rsidRPr="00835586">
              <w:rPr>
                <w:rFonts w:eastAsia="Aptos"/>
              </w:rPr>
              <w:t xml:space="preserve"> endothelial growth factor </w:t>
            </w:r>
            <w:r w:rsidR="005B3577">
              <w:rPr>
                <w:rFonts w:eastAsia="Aptos"/>
              </w:rPr>
              <w:t>(</w:t>
            </w:r>
            <w:r w:rsidR="006B0E58" w:rsidRPr="19388D11">
              <w:t>VEGF</w:t>
            </w:r>
            <w:r w:rsidR="005B3577">
              <w:t>)</w:t>
            </w:r>
            <w:r w:rsidR="006B0E58" w:rsidRPr="19388D11">
              <w:t xml:space="preserve"> treatments for wet AMD. Some geographic atrophy treatments are administered monthly or </w:t>
            </w:r>
            <w:r w:rsidR="003C3B74">
              <w:t xml:space="preserve">once every two </w:t>
            </w:r>
            <w:r w:rsidR="006B0E58" w:rsidRPr="19388D11">
              <w:t>month</w:t>
            </w:r>
            <w:r w:rsidR="003C3B74">
              <w:t>s</w:t>
            </w:r>
            <w:r w:rsidR="006B0E58" w:rsidRPr="19388D11">
              <w:t xml:space="preserve"> until patients stop benefitting from them. </w:t>
            </w:r>
          </w:p>
        </w:tc>
      </w:tr>
      <w:tr w:rsidR="006B0E58" w:rsidRPr="00A15A51" w14:paraId="4D79C72E" w14:textId="77777777" w:rsidTr="002E2AAD">
        <w:trPr>
          <w:trHeight w:val="300"/>
        </w:trPr>
        <w:tc>
          <w:tcPr>
            <w:tcW w:w="1843" w:type="dxa"/>
          </w:tcPr>
          <w:p w14:paraId="12702048" w14:textId="3EADBECA" w:rsidR="006B0E58" w:rsidRPr="00A15A51" w:rsidRDefault="006B0E58" w:rsidP="002E2AAD">
            <w:pPr>
              <w:pStyle w:val="Tabletext"/>
            </w:pPr>
            <w:r w:rsidRPr="006F3495">
              <w:t>Personnel</w:t>
            </w:r>
          </w:p>
        </w:tc>
        <w:tc>
          <w:tcPr>
            <w:tcW w:w="1843" w:type="dxa"/>
          </w:tcPr>
          <w:p w14:paraId="6351A8AB" w14:textId="3BFDCB61" w:rsidR="006B0E58" w:rsidRPr="00A15A51" w:rsidRDefault="006B0E58" w:rsidP="002E2AAD">
            <w:pPr>
              <w:pStyle w:val="Tabletext"/>
            </w:pPr>
            <w:r w:rsidRPr="00A15A51">
              <w:t>Staff training and upskilling</w:t>
            </w:r>
          </w:p>
        </w:tc>
        <w:tc>
          <w:tcPr>
            <w:tcW w:w="11259" w:type="dxa"/>
          </w:tcPr>
          <w:p w14:paraId="4EC09750" w14:textId="7783AE28" w:rsidR="006B0E58" w:rsidRPr="00A15A51" w:rsidRDefault="006B0E58" w:rsidP="002E2AAD">
            <w:pPr>
              <w:pStyle w:val="Tabletext"/>
            </w:pPr>
            <w:r w:rsidRPr="00A15A51">
              <w:t xml:space="preserve">Wet AMD is currently treated using intravitreal injections so existing staff should be able to administer treatments for geographic atrophy. There may be a need to upskill nurses to administer treatments for geographic atrophy. </w:t>
            </w:r>
          </w:p>
        </w:tc>
      </w:tr>
      <w:tr w:rsidR="006B0E58" w:rsidRPr="00A15A51" w14:paraId="0A116A16" w14:textId="77777777" w:rsidTr="00E22299">
        <w:trPr>
          <w:trHeight w:val="416"/>
        </w:trPr>
        <w:tc>
          <w:tcPr>
            <w:tcW w:w="1843" w:type="dxa"/>
          </w:tcPr>
          <w:p w14:paraId="5904DC0A" w14:textId="2A7D1B2F" w:rsidR="006B0E58" w:rsidRPr="00A15A51" w:rsidRDefault="006B0E58" w:rsidP="002E2AAD">
            <w:pPr>
              <w:pStyle w:val="Tabletext"/>
            </w:pPr>
            <w:r w:rsidRPr="006F3495">
              <w:t>Personnel</w:t>
            </w:r>
          </w:p>
        </w:tc>
        <w:tc>
          <w:tcPr>
            <w:tcW w:w="1843" w:type="dxa"/>
          </w:tcPr>
          <w:p w14:paraId="172F3F32" w14:textId="04520134" w:rsidR="006B0E58" w:rsidRPr="00A15A51" w:rsidRDefault="006B0E58" w:rsidP="002E2AAD">
            <w:pPr>
              <w:pStyle w:val="Tabletext"/>
            </w:pPr>
            <w:r w:rsidRPr="00A15A51">
              <w:t>Staff certification</w:t>
            </w:r>
          </w:p>
        </w:tc>
        <w:tc>
          <w:tcPr>
            <w:tcW w:w="11259" w:type="dxa"/>
          </w:tcPr>
          <w:p w14:paraId="0A9826B3" w14:textId="42D4E8DC" w:rsidR="006B0E58" w:rsidRPr="00A15A51" w:rsidRDefault="006B0E58" w:rsidP="002E2AAD">
            <w:pPr>
              <w:pStyle w:val="Tabletext"/>
            </w:pPr>
            <w:r w:rsidRPr="00A15A51">
              <w:t xml:space="preserve">Not </w:t>
            </w:r>
            <w:r w:rsidR="00E27DD1">
              <w:t>stated</w:t>
            </w:r>
            <w:r w:rsidRPr="00A15A51">
              <w:t>.</w:t>
            </w:r>
          </w:p>
        </w:tc>
      </w:tr>
      <w:tr w:rsidR="006B0E58" w:rsidRPr="00A15A51" w14:paraId="2F0C7D49" w14:textId="77777777" w:rsidTr="002E2AAD">
        <w:trPr>
          <w:trHeight w:val="368"/>
        </w:trPr>
        <w:tc>
          <w:tcPr>
            <w:tcW w:w="1843" w:type="dxa"/>
          </w:tcPr>
          <w:p w14:paraId="67F5CAC2" w14:textId="1C889EB6" w:rsidR="006B0E58" w:rsidRPr="00A15A51" w:rsidRDefault="006B0E58" w:rsidP="002E2AAD">
            <w:pPr>
              <w:pStyle w:val="Tabletext"/>
            </w:pPr>
            <w:r w:rsidRPr="006F3495">
              <w:t>Personnel</w:t>
            </w:r>
          </w:p>
        </w:tc>
        <w:tc>
          <w:tcPr>
            <w:tcW w:w="1843" w:type="dxa"/>
          </w:tcPr>
          <w:p w14:paraId="294943AC" w14:textId="32CFC643" w:rsidR="006B0E58" w:rsidRPr="00A15A51" w:rsidRDefault="006B0E58" w:rsidP="002E2AAD">
            <w:pPr>
              <w:pStyle w:val="Tabletext"/>
            </w:pPr>
            <w:r w:rsidRPr="00A15A51">
              <w:t>Overheads</w:t>
            </w:r>
          </w:p>
        </w:tc>
        <w:tc>
          <w:tcPr>
            <w:tcW w:w="11259" w:type="dxa"/>
          </w:tcPr>
          <w:p w14:paraId="7AB5E483" w14:textId="078C47EC" w:rsidR="006B0E58" w:rsidRPr="00A15A51" w:rsidRDefault="006B0E58" w:rsidP="002E2AAD">
            <w:pPr>
              <w:pStyle w:val="Tabletext"/>
            </w:pPr>
            <w:r w:rsidRPr="00A15A51">
              <w:t xml:space="preserve">Not </w:t>
            </w:r>
            <w:r w:rsidRPr="6BCEEF07">
              <w:t>explicitly</w:t>
            </w:r>
            <w:r w:rsidRPr="00A15A51">
              <w:t xml:space="preserve"> </w:t>
            </w:r>
            <w:r w:rsidR="00E27DD1">
              <w:t>stated</w:t>
            </w:r>
            <w:r w:rsidRPr="00A15A51">
              <w:t xml:space="preserve"> but is relevant to additional infrastructure needed.</w:t>
            </w:r>
          </w:p>
        </w:tc>
      </w:tr>
      <w:tr w:rsidR="006B0E58" w:rsidRPr="00A15A51" w14:paraId="6036518A" w14:textId="77777777" w:rsidTr="002E2AAD">
        <w:trPr>
          <w:trHeight w:val="96"/>
        </w:trPr>
        <w:tc>
          <w:tcPr>
            <w:tcW w:w="1843" w:type="dxa"/>
          </w:tcPr>
          <w:p w14:paraId="04221EBA" w14:textId="5B3ED896" w:rsidR="006B0E58" w:rsidRPr="00A15A51" w:rsidRDefault="006B0E58" w:rsidP="002E2AAD">
            <w:pPr>
              <w:pStyle w:val="Tabletext"/>
            </w:pPr>
            <w:r w:rsidRPr="00A15A51">
              <w:t>Capital infrastructure</w:t>
            </w:r>
          </w:p>
        </w:tc>
        <w:tc>
          <w:tcPr>
            <w:tcW w:w="1843" w:type="dxa"/>
          </w:tcPr>
          <w:p w14:paraId="4FD8DEBB" w14:textId="0795426E" w:rsidR="006B0E58" w:rsidRPr="00A15A51" w:rsidRDefault="006B0E58" w:rsidP="002E2AAD">
            <w:pPr>
              <w:pStyle w:val="Tabletext"/>
            </w:pPr>
            <w:r w:rsidRPr="00A15A51">
              <w:t>Physical infrastructure</w:t>
            </w:r>
          </w:p>
        </w:tc>
        <w:tc>
          <w:tcPr>
            <w:tcW w:w="11259" w:type="dxa"/>
          </w:tcPr>
          <w:p w14:paraId="4403C8AC" w14:textId="5585D959" w:rsidR="006B0E58" w:rsidRPr="00A15A51" w:rsidRDefault="006B0E58" w:rsidP="002E2AAD">
            <w:pPr>
              <w:pStyle w:val="Tabletext"/>
            </w:pPr>
            <w:r w:rsidRPr="00A15A51">
              <w:t>Currently available services are overstretched for wet AMD</w:t>
            </w:r>
            <w:r w:rsidR="00A2552C">
              <w:t>.</w:t>
            </w:r>
            <w:r w:rsidRPr="00A15A51">
              <w:t xml:space="preserve"> </w:t>
            </w:r>
            <w:r w:rsidR="00A2552C">
              <w:t>So,</w:t>
            </w:r>
            <w:r w:rsidRPr="00A15A51">
              <w:t xml:space="preserve"> to accommodate any new treatments, more ophthalmological clinics </w:t>
            </w:r>
            <w:r w:rsidR="00A2552C">
              <w:t xml:space="preserve">are </w:t>
            </w:r>
            <w:r w:rsidRPr="00A15A51">
              <w:t xml:space="preserve">needed to </w:t>
            </w:r>
            <w:r w:rsidR="00E27DD1">
              <w:t xml:space="preserve">treat </w:t>
            </w:r>
            <w:r w:rsidRPr="00A15A51">
              <w:t xml:space="preserve">for patients with geographic atrophy. </w:t>
            </w:r>
          </w:p>
        </w:tc>
      </w:tr>
      <w:tr w:rsidR="006B0E58" w:rsidRPr="00A15A51" w14:paraId="51460356" w14:textId="77777777" w:rsidTr="002E2AAD">
        <w:trPr>
          <w:trHeight w:val="300"/>
        </w:trPr>
        <w:tc>
          <w:tcPr>
            <w:tcW w:w="1843" w:type="dxa"/>
          </w:tcPr>
          <w:p w14:paraId="1526E594" w14:textId="33A47DBE" w:rsidR="006B0E58" w:rsidRPr="00A15A51" w:rsidRDefault="006B0E58" w:rsidP="002E2AAD">
            <w:pPr>
              <w:pStyle w:val="Tabletext"/>
            </w:pPr>
            <w:r w:rsidRPr="00673E4B">
              <w:t>Capital infrastructure</w:t>
            </w:r>
          </w:p>
        </w:tc>
        <w:tc>
          <w:tcPr>
            <w:tcW w:w="1843" w:type="dxa"/>
          </w:tcPr>
          <w:p w14:paraId="049A7D99" w14:textId="5B8EECFF" w:rsidR="006B0E58" w:rsidRPr="00A15A51" w:rsidRDefault="006B0E58" w:rsidP="002E2AAD">
            <w:pPr>
              <w:pStyle w:val="Tabletext"/>
            </w:pPr>
            <w:r w:rsidRPr="00A15A51">
              <w:t>Equipment</w:t>
            </w:r>
          </w:p>
        </w:tc>
        <w:tc>
          <w:tcPr>
            <w:tcW w:w="11259" w:type="dxa"/>
          </w:tcPr>
          <w:p w14:paraId="2EE639D9" w14:textId="1FBC5315" w:rsidR="006B0E58" w:rsidRPr="00A15A51" w:rsidRDefault="00A2552C" w:rsidP="002E2AAD">
            <w:pPr>
              <w:pStyle w:val="Tabletext"/>
            </w:pPr>
            <w:r>
              <w:t>D</w:t>
            </w:r>
            <w:r w:rsidR="006B0E58" w:rsidRPr="19388D11">
              <w:t xml:space="preserve">iagnostic equipment </w:t>
            </w:r>
            <w:r>
              <w:t>is needed to</w:t>
            </w:r>
            <w:r w:rsidR="006B0E58" w:rsidRPr="19388D11">
              <w:t xml:space="preserve"> identify eligible patients and monitor them. </w:t>
            </w:r>
            <w:r>
              <w:t>Stakeholders said that m</w:t>
            </w:r>
            <w:r w:rsidR="006B0E58" w:rsidRPr="19388D11">
              <w:t xml:space="preserve">icroperimetry </w:t>
            </w:r>
            <w:r>
              <w:t>is</w:t>
            </w:r>
            <w:r w:rsidR="006B0E58" w:rsidRPr="19388D11">
              <w:t xml:space="preserve"> a more accurate approach relative to current care to assess the functional areas of the retina</w:t>
            </w:r>
            <w:r>
              <w:t>.</w:t>
            </w:r>
            <w:r w:rsidR="006B0E58" w:rsidRPr="19388D11">
              <w:t xml:space="preserve"> </w:t>
            </w:r>
            <w:r>
              <w:t>S</w:t>
            </w:r>
            <w:r w:rsidR="006B0E58" w:rsidRPr="19388D11">
              <w:t>o</w:t>
            </w:r>
            <w:r>
              <w:t>, it</w:t>
            </w:r>
            <w:r w:rsidR="006B0E58" w:rsidRPr="19388D11">
              <w:t xml:space="preserve"> can be used </w:t>
            </w:r>
            <w:r>
              <w:t>to</w:t>
            </w:r>
            <w:r w:rsidRPr="19388D11">
              <w:t xml:space="preserve"> </w:t>
            </w:r>
            <w:r w:rsidR="006B0E58" w:rsidRPr="19388D11">
              <w:t>monitor the decline of visual function and specialist equipment</w:t>
            </w:r>
            <w:r>
              <w:t xml:space="preserve"> is needed</w:t>
            </w:r>
            <w:r w:rsidR="006B0E58" w:rsidRPr="19388D11">
              <w:t>.</w:t>
            </w:r>
          </w:p>
        </w:tc>
      </w:tr>
      <w:tr w:rsidR="006B0E58" w:rsidRPr="00A15A51" w14:paraId="72FD2BAD" w14:textId="77777777" w:rsidTr="002E2AAD">
        <w:trPr>
          <w:trHeight w:val="300"/>
        </w:trPr>
        <w:tc>
          <w:tcPr>
            <w:tcW w:w="1843" w:type="dxa"/>
          </w:tcPr>
          <w:p w14:paraId="6A0028E9" w14:textId="4878B292" w:rsidR="006B0E58" w:rsidRPr="00A15A51" w:rsidRDefault="006B0E58" w:rsidP="002E2AAD">
            <w:pPr>
              <w:pStyle w:val="Tabletext"/>
            </w:pPr>
            <w:r w:rsidRPr="00673E4B">
              <w:t>Capital infrastructure</w:t>
            </w:r>
          </w:p>
        </w:tc>
        <w:tc>
          <w:tcPr>
            <w:tcW w:w="1843" w:type="dxa"/>
          </w:tcPr>
          <w:p w14:paraId="03BDCEC3" w14:textId="21197DE9" w:rsidR="006B0E58" w:rsidRPr="00A15A51" w:rsidRDefault="006B0E58" w:rsidP="002E2AAD">
            <w:pPr>
              <w:pStyle w:val="Tabletext"/>
            </w:pPr>
            <w:r w:rsidRPr="00A15A51">
              <w:t>Digital infrastructure</w:t>
            </w:r>
          </w:p>
        </w:tc>
        <w:tc>
          <w:tcPr>
            <w:tcW w:w="11259" w:type="dxa"/>
          </w:tcPr>
          <w:p w14:paraId="23B1B1C2" w14:textId="340925E9" w:rsidR="006B0E58" w:rsidRPr="00A15A51" w:rsidRDefault="006B0E58" w:rsidP="002E2AAD">
            <w:pPr>
              <w:pStyle w:val="Tabletext"/>
            </w:pPr>
            <w:r w:rsidRPr="00A15A51">
              <w:t xml:space="preserve">Not </w:t>
            </w:r>
            <w:r w:rsidR="00E27DD1">
              <w:t>stated</w:t>
            </w:r>
            <w:r w:rsidRPr="00A15A51">
              <w:t>.</w:t>
            </w:r>
          </w:p>
        </w:tc>
      </w:tr>
      <w:tr w:rsidR="006B0E58" w:rsidRPr="00A15A51" w14:paraId="1769738B" w14:textId="77777777" w:rsidTr="002E2AAD">
        <w:trPr>
          <w:trHeight w:val="465"/>
        </w:trPr>
        <w:tc>
          <w:tcPr>
            <w:tcW w:w="1843" w:type="dxa"/>
          </w:tcPr>
          <w:p w14:paraId="35F3036D" w14:textId="59676EFE" w:rsidR="006B0E58" w:rsidRPr="00A15A51" w:rsidRDefault="006B0E58" w:rsidP="002E2AAD">
            <w:pPr>
              <w:pStyle w:val="Tabletext"/>
            </w:pPr>
            <w:r w:rsidRPr="00673E4B">
              <w:t>Capital infrastructure</w:t>
            </w:r>
          </w:p>
        </w:tc>
        <w:tc>
          <w:tcPr>
            <w:tcW w:w="1843" w:type="dxa"/>
          </w:tcPr>
          <w:p w14:paraId="04571260" w14:textId="0FBBE2A8" w:rsidR="006B0E58" w:rsidRPr="00A15A51" w:rsidRDefault="006B0E58" w:rsidP="002E2AAD">
            <w:pPr>
              <w:pStyle w:val="Tabletext"/>
            </w:pPr>
            <w:r w:rsidRPr="00A15A51">
              <w:t>Site certification</w:t>
            </w:r>
          </w:p>
        </w:tc>
        <w:tc>
          <w:tcPr>
            <w:tcW w:w="11259" w:type="dxa"/>
          </w:tcPr>
          <w:p w14:paraId="1B689D5B" w14:textId="453C73D2" w:rsidR="006B0E58" w:rsidRPr="00A15A51" w:rsidRDefault="006B0E58" w:rsidP="002E2AAD">
            <w:pPr>
              <w:pStyle w:val="Tabletext"/>
            </w:pPr>
            <w:r w:rsidRPr="00A15A51">
              <w:t xml:space="preserve">Not </w:t>
            </w:r>
            <w:r w:rsidR="00E27DD1">
              <w:t>stated</w:t>
            </w:r>
            <w:r w:rsidRPr="00A15A51">
              <w:t>.</w:t>
            </w:r>
          </w:p>
        </w:tc>
      </w:tr>
      <w:tr w:rsidR="006B0E58" w:rsidRPr="00A15A51" w14:paraId="4C35F551" w14:textId="77777777" w:rsidTr="002E2AAD">
        <w:trPr>
          <w:trHeight w:val="300"/>
        </w:trPr>
        <w:tc>
          <w:tcPr>
            <w:tcW w:w="1843" w:type="dxa"/>
          </w:tcPr>
          <w:p w14:paraId="44813DBE" w14:textId="35EEB6B2" w:rsidR="006B0E58" w:rsidRPr="00A15A51" w:rsidRDefault="006B0E58" w:rsidP="002E2AAD">
            <w:pPr>
              <w:pStyle w:val="Tabletext"/>
            </w:pPr>
            <w:r w:rsidRPr="00431CD8">
              <w:t xml:space="preserve">Non-personnel </w:t>
            </w:r>
          </w:p>
        </w:tc>
        <w:tc>
          <w:tcPr>
            <w:tcW w:w="1843" w:type="dxa"/>
          </w:tcPr>
          <w:p w14:paraId="7AC0253E" w14:textId="5140F845" w:rsidR="006B0E58" w:rsidRPr="00A15A51" w:rsidRDefault="006B0E58" w:rsidP="002E2AAD">
            <w:pPr>
              <w:pStyle w:val="Tabletext"/>
            </w:pPr>
            <w:r w:rsidRPr="00A15A51">
              <w:t>Testing or diagnostic workup</w:t>
            </w:r>
          </w:p>
        </w:tc>
        <w:tc>
          <w:tcPr>
            <w:tcW w:w="11259" w:type="dxa"/>
          </w:tcPr>
          <w:p w14:paraId="0011EAD7" w14:textId="45619472" w:rsidR="006B0E58" w:rsidRPr="00A15A51" w:rsidRDefault="00A2552C" w:rsidP="002E2AAD">
            <w:pPr>
              <w:pStyle w:val="Tabletext"/>
            </w:pPr>
            <w:r>
              <w:t>Healthcare professional</w:t>
            </w:r>
            <w:r w:rsidRPr="00A15A51">
              <w:t xml:space="preserve">s </w:t>
            </w:r>
            <w:r w:rsidR="006B0E58" w:rsidRPr="00A15A51">
              <w:t xml:space="preserve">highlighted that there is a need </w:t>
            </w:r>
            <w:r w:rsidR="00A8766D">
              <w:t>to test</w:t>
            </w:r>
            <w:r w:rsidR="006B0E58" w:rsidRPr="00A15A51">
              <w:t xml:space="preserve"> a lot of people to identify who would benefit from these treatments. </w:t>
            </w:r>
            <w:r w:rsidR="00A8766D">
              <w:t>They</w:t>
            </w:r>
            <w:r w:rsidR="006B0E58" w:rsidRPr="00A15A51">
              <w:t xml:space="preserve"> highlighted based on some post-hoc analyses</w:t>
            </w:r>
            <w:r w:rsidR="00A8766D">
              <w:t xml:space="preserve"> that</w:t>
            </w:r>
            <w:r w:rsidR="006B0E58" w:rsidRPr="00A15A51">
              <w:t xml:space="preserve"> a sub</w:t>
            </w:r>
            <w:r w:rsidR="005B3577" w:rsidRPr="00A15A51">
              <w:t>population</w:t>
            </w:r>
            <w:r w:rsidR="006B0E58" w:rsidRPr="00A15A51">
              <w:t xml:space="preserve"> that may benefit more is </w:t>
            </w:r>
            <w:r w:rsidR="00A8766D">
              <w:t>people</w:t>
            </w:r>
            <w:r w:rsidR="00A8766D" w:rsidRPr="00A15A51">
              <w:t xml:space="preserve"> </w:t>
            </w:r>
            <w:r w:rsidR="006B0E58" w:rsidRPr="00A15A51">
              <w:t>with foveal-sparing AMD.</w:t>
            </w:r>
          </w:p>
          <w:p w14:paraId="4435D463" w14:textId="6DA77BA2" w:rsidR="006B0E58" w:rsidRPr="00A15A51" w:rsidRDefault="00A8766D" w:rsidP="002E2AAD">
            <w:pPr>
              <w:pStyle w:val="Tabletext"/>
            </w:pPr>
            <w:r>
              <w:t>The condition needs to be</w:t>
            </w:r>
            <w:r w:rsidR="006B0E58" w:rsidRPr="19388D11">
              <w:t xml:space="preserve"> monitor</w:t>
            </w:r>
            <w:r>
              <w:t>ed</w:t>
            </w:r>
            <w:r w:rsidR="006B0E58" w:rsidRPr="19388D11">
              <w:t xml:space="preserve"> because once the central vision is lost then </w:t>
            </w:r>
            <w:r>
              <w:t>treatment benefit is lost</w:t>
            </w:r>
            <w:r w:rsidR="006B0E58" w:rsidRPr="19388D11">
              <w:t xml:space="preserve">. </w:t>
            </w:r>
            <w:r>
              <w:t>Stakeholders highlighted m</w:t>
            </w:r>
            <w:r w:rsidR="006B0E58" w:rsidRPr="19388D11">
              <w:t xml:space="preserve">icroperimetry as a potentially accurate way </w:t>
            </w:r>
            <w:r>
              <w:t>to</w:t>
            </w:r>
            <w:r w:rsidRPr="19388D11">
              <w:t xml:space="preserve"> </w:t>
            </w:r>
            <w:r w:rsidR="006B0E58" w:rsidRPr="19388D11">
              <w:t>monitor vision loss</w:t>
            </w:r>
            <w:r>
              <w:t>.</w:t>
            </w:r>
            <w:r w:rsidR="006B0E58" w:rsidRPr="19388D11">
              <w:t xml:space="preserve"> </w:t>
            </w:r>
            <w:r>
              <w:t>B</w:t>
            </w:r>
            <w:r w:rsidR="006B0E58" w:rsidRPr="19388D11">
              <w:t xml:space="preserve">ut </w:t>
            </w:r>
            <w:r>
              <w:t xml:space="preserve">it </w:t>
            </w:r>
            <w:r w:rsidR="006B0E58" w:rsidRPr="19388D11">
              <w:t>is not currently offered routinely in the NHS.</w:t>
            </w:r>
          </w:p>
          <w:p w14:paraId="2DD47FC2" w14:textId="4737E32F" w:rsidR="006B0E58" w:rsidRPr="00A15A51" w:rsidRDefault="00A8766D" w:rsidP="002E2AAD">
            <w:pPr>
              <w:pStyle w:val="Tabletext"/>
            </w:pPr>
            <w:r w:rsidRPr="00A15A51">
              <w:t>P</w:t>
            </w:r>
            <w:r>
              <w:t>eople</w:t>
            </w:r>
            <w:r w:rsidRPr="00A15A51">
              <w:t xml:space="preserve"> </w:t>
            </w:r>
            <w:r w:rsidR="006B0E58" w:rsidRPr="00A15A51">
              <w:t>with geographic atrophy also can experience conversion to wet AMD</w:t>
            </w:r>
            <w:r w:rsidR="00F34409">
              <w:t>, at which point</w:t>
            </w:r>
            <w:r w:rsidR="006B0E58" w:rsidRPr="00A15A51">
              <w:t xml:space="preserve"> </w:t>
            </w:r>
            <w:r w:rsidR="00F34409">
              <w:t>t</w:t>
            </w:r>
            <w:r>
              <w:t>hey would</w:t>
            </w:r>
            <w:r w:rsidR="006B0E58" w:rsidRPr="00A15A51">
              <w:t xml:space="preserve"> then </w:t>
            </w:r>
            <w:r>
              <w:t xml:space="preserve">have </w:t>
            </w:r>
            <w:r w:rsidR="006B0E58" w:rsidRPr="00A15A51">
              <w:t>anti-VEGF treatments</w:t>
            </w:r>
            <w:r w:rsidR="00F34409">
              <w:t>.</w:t>
            </w:r>
            <w:r w:rsidR="006B0E58" w:rsidRPr="00A15A51">
              <w:t xml:space="preserve"> </w:t>
            </w:r>
            <w:r w:rsidR="00F34409">
              <w:t>S</w:t>
            </w:r>
            <w:r w:rsidR="006B0E58" w:rsidRPr="00A15A51">
              <w:t>o there need</w:t>
            </w:r>
            <w:r w:rsidR="00F34409">
              <w:t>s</w:t>
            </w:r>
            <w:r w:rsidR="006B0E58" w:rsidRPr="00A15A51">
              <w:t xml:space="preserve"> to be follow up to identify </w:t>
            </w:r>
            <w:r w:rsidR="00F34409">
              <w:t>conversion.</w:t>
            </w:r>
          </w:p>
        </w:tc>
      </w:tr>
      <w:tr w:rsidR="006B0E58" w:rsidRPr="00A15A51" w14:paraId="473C79C9" w14:textId="77777777" w:rsidTr="002E2AAD">
        <w:trPr>
          <w:trHeight w:val="300"/>
        </w:trPr>
        <w:tc>
          <w:tcPr>
            <w:tcW w:w="1843" w:type="dxa"/>
          </w:tcPr>
          <w:p w14:paraId="0798D221" w14:textId="21E3AD1F" w:rsidR="006B0E58" w:rsidRPr="00A15A51" w:rsidRDefault="006B0E58" w:rsidP="002E2AAD">
            <w:pPr>
              <w:pStyle w:val="Tabletext"/>
            </w:pPr>
            <w:r w:rsidRPr="00431CD8">
              <w:t xml:space="preserve">Non-personnel </w:t>
            </w:r>
          </w:p>
        </w:tc>
        <w:tc>
          <w:tcPr>
            <w:tcW w:w="1843" w:type="dxa"/>
          </w:tcPr>
          <w:p w14:paraId="1E92D86A" w14:textId="397639EB" w:rsidR="006B0E58" w:rsidRPr="00A15A51" w:rsidRDefault="006B0E58" w:rsidP="002E2AAD">
            <w:pPr>
              <w:pStyle w:val="Tabletext"/>
            </w:pPr>
            <w:r w:rsidRPr="00A15A51">
              <w:t xml:space="preserve">Patient transportation </w:t>
            </w:r>
          </w:p>
        </w:tc>
        <w:tc>
          <w:tcPr>
            <w:tcW w:w="11259" w:type="dxa"/>
          </w:tcPr>
          <w:p w14:paraId="028519D4" w14:textId="568451E1" w:rsidR="006B0E58" w:rsidRPr="00A15A51" w:rsidRDefault="006B0E58" w:rsidP="002E2AAD">
            <w:pPr>
              <w:pStyle w:val="Tabletext"/>
            </w:pPr>
            <w:r w:rsidRPr="00A15A51">
              <w:t xml:space="preserve">Not </w:t>
            </w:r>
            <w:r w:rsidR="00E27DD1">
              <w:t>stated</w:t>
            </w:r>
            <w:r w:rsidRPr="00A15A51">
              <w:t>.</w:t>
            </w:r>
          </w:p>
        </w:tc>
      </w:tr>
      <w:tr w:rsidR="006B0E58" w:rsidRPr="00A15A51" w14:paraId="53A81ED3" w14:textId="77777777" w:rsidTr="002E2AAD">
        <w:trPr>
          <w:trHeight w:val="300"/>
        </w:trPr>
        <w:tc>
          <w:tcPr>
            <w:tcW w:w="1843" w:type="dxa"/>
          </w:tcPr>
          <w:p w14:paraId="5B739E74" w14:textId="36754BAA" w:rsidR="006B0E58" w:rsidRPr="00A15A51" w:rsidRDefault="006B0E58" w:rsidP="002E2AAD">
            <w:pPr>
              <w:pStyle w:val="Tabletext"/>
            </w:pPr>
            <w:r w:rsidRPr="00431CD8">
              <w:t xml:space="preserve">Non-personnel </w:t>
            </w:r>
          </w:p>
        </w:tc>
        <w:tc>
          <w:tcPr>
            <w:tcW w:w="1843" w:type="dxa"/>
          </w:tcPr>
          <w:p w14:paraId="3580F890" w14:textId="49EB1AE5" w:rsidR="006B0E58" w:rsidRPr="00A15A51" w:rsidRDefault="006B0E58" w:rsidP="002E2AAD">
            <w:pPr>
              <w:pStyle w:val="Tabletext"/>
            </w:pPr>
            <w:r w:rsidRPr="00A15A51">
              <w:t>Device and infrastructure maintenance and servicing costs  </w:t>
            </w:r>
          </w:p>
        </w:tc>
        <w:tc>
          <w:tcPr>
            <w:tcW w:w="11259" w:type="dxa"/>
          </w:tcPr>
          <w:p w14:paraId="2FCC821B" w14:textId="70E569B4" w:rsidR="006B0E58" w:rsidRPr="00A15A51" w:rsidRDefault="006B0E58" w:rsidP="002E2AAD">
            <w:pPr>
              <w:pStyle w:val="Tabletext"/>
            </w:pPr>
            <w:r w:rsidRPr="00A15A51">
              <w:t xml:space="preserve">Not </w:t>
            </w:r>
            <w:r w:rsidRPr="6BCEEF07">
              <w:t>explicitly</w:t>
            </w:r>
            <w:r w:rsidRPr="00A15A51">
              <w:t xml:space="preserve"> </w:t>
            </w:r>
            <w:r w:rsidR="00E27DD1">
              <w:t>stated</w:t>
            </w:r>
            <w:r w:rsidRPr="00A15A51">
              <w:t xml:space="preserve"> but is relevant to additional infrastructure needed</w:t>
            </w:r>
            <w:r w:rsidR="00F34409">
              <w:t>.</w:t>
            </w:r>
          </w:p>
        </w:tc>
      </w:tr>
      <w:tr w:rsidR="006B0E58" w:rsidRPr="00A15A51" w14:paraId="303B1D7F" w14:textId="77777777" w:rsidTr="002E2AAD">
        <w:trPr>
          <w:trHeight w:val="530"/>
        </w:trPr>
        <w:tc>
          <w:tcPr>
            <w:tcW w:w="1843" w:type="dxa"/>
          </w:tcPr>
          <w:p w14:paraId="30D5B651" w14:textId="4CE48496" w:rsidR="006B0E58" w:rsidRPr="00A15A51" w:rsidRDefault="006B0E58" w:rsidP="002E2AAD">
            <w:pPr>
              <w:pStyle w:val="Tabletext"/>
            </w:pPr>
            <w:r w:rsidRPr="00431CD8">
              <w:t xml:space="preserve">Non-personnel </w:t>
            </w:r>
          </w:p>
        </w:tc>
        <w:tc>
          <w:tcPr>
            <w:tcW w:w="1843" w:type="dxa"/>
          </w:tcPr>
          <w:p w14:paraId="0ABA17C4" w14:textId="7E5F809B" w:rsidR="006B0E58" w:rsidRPr="00A15A51" w:rsidRDefault="006B0E58" w:rsidP="002E2AAD">
            <w:pPr>
              <w:pStyle w:val="Tabletext"/>
            </w:pPr>
            <w:r w:rsidRPr="00A15A51">
              <w:t>Consumables</w:t>
            </w:r>
          </w:p>
        </w:tc>
        <w:tc>
          <w:tcPr>
            <w:tcW w:w="11259" w:type="dxa"/>
          </w:tcPr>
          <w:p w14:paraId="202E6DE8" w14:textId="3E947DCD" w:rsidR="006B0E58" w:rsidRPr="00A15A51" w:rsidRDefault="006B0E58" w:rsidP="002E2AAD">
            <w:pPr>
              <w:pStyle w:val="Tabletext"/>
            </w:pPr>
            <w:r w:rsidRPr="00A15A51">
              <w:t xml:space="preserve">Not </w:t>
            </w:r>
            <w:r w:rsidR="00E27DD1">
              <w:t>stated</w:t>
            </w:r>
            <w:r w:rsidR="00F34409">
              <w:t>.</w:t>
            </w:r>
          </w:p>
        </w:tc>
      </w:tr>
      <w:tr w:rsidR="006B0E58" w:rsidRPr="00A15A51" w14:paraId="1E1D5EB4" w14:textId="77777777" w:rsidTr="00E22299">
        <w:trPr>
          <w:trHeight w:val="577"/>
        </w:trPr>
        <w:tc>
          <w:tcPr>
            <w:tcW w:w="1843" w:type="dxa"/>
          </w:tcPr>
          <w:p w14:paraId="66D97C2F" w14:textId="75BF416F" w:rsidR="006B0E58" w:rsidRPr="00A15A51" w:rsidRDefault="006B0E58" w:rsidP="002E2AAD">
            <w:pPr>
              <w:pStyle w:val="Tabletext"/>
            </w:pPr>
            <w:r w:rsidRPr="00431CD8">
              <w:t xml:space="preserve">Non-personnel </w:t>
            </w:r>
          </w:p>
        </w:tc>
        <w:tc>
          <w:tcPr>
            <w:tcW w:w="1843" w:type="dxa"/>
          </w:tcPr>
          <w:p w14:paraId="04FF61DD" w14:textId="579E16B2" w:rsidR="006B0E58" w:rsidRPr="00A15A51" w:rsidRDefault="006B0E58" w:rsidP="002E2AAD">
            <w:pPr>
              <w:pStyle w:val="Tabletext"/>
            </w:pPr>
            <w:r w:rsidRPr="00A15A51">
              <w:t>Utilities (e.g., electricity costs) </w:t>
            </w:r>
          </w:p>
        </w:tc>
        <w:tc>
          <w:tcPr>
            <w:tcW w:w="11259" w:type="dxa"/>
          </w:tcPr>
          <w:p w14:paraId="545A0FCF" w14:textId="7586B41B" w:rsidR="006B0E58" w:rsidRPr="00A15A51" w:rsidRDefault="006B0E58" w:rsidP="002E2AAD">
            <w:pPr>
              <w:pStyle w:val="Tabletext"/>
            </w:pPr>
            <w:r w:rsidRPr="00A15A51">
              <w:t xml:space="preserve">Not </w:t>
            </w:r>
            <w:r w:rsidR="00E27DD1">
              <w:t>stated</w:t>
            </w:r>
            <w:r w:rsidRPr="00A15A51">
              <w:t xml:space="preserve"> directly but is relevant to additional infrastructure needed</w:t>
            </w:r>
            <w:r w:rsidR="00F34409">
              <w:t>.</w:t>
            </w:r>
          </w:p>
        </w:tc>
      </w:tr>
      <w:tr w:rsidR="006B0E58" w:rsidRPr="00A15A51" w14:paraId="18B47C3A" w14:textId="77777777" w:rsidTr="002E2AAD">
        <w:trPr>
          <w:trHeight w:val="300"/>
        </w:trPr>
        <w:tc>
          <w:tcPr>
            <w:tcW w:w="1843" w:type="dxa"/>
          </w:tcPr>
          <w:p w14:paraId="251C010F" w14:textId="453E4273" w:rsidR="006B0E58" w:rsidRPr="00A15A51" w:rsidRDefault="006B0E58" w:rsidP="002E2AAD">
            <w:pPr>
              <w:pStyle w:val="Tabletext"/>
            </w:pPr>
            <w:r w:rsidRPr="00431CD8">
              <w:t xml:space="preserve">Non-personnel </w:t>
            </w:r>
          </w:p>
        </w:tc>
        <w:tc>
          <w:tcPr>
            <w:tcW w:w="1843" w:type="dxa"/>
          </w:tcPr>
          <w:p w14:paraId="545D403F" w14:textId="1C2DD39D" w:rsidR="006B0E58" w:rsidRPr="00A15A51" w:rsidRDefault="006B0E58" w:rsidP="002E2AAD">
            <w:pPr>
              <w:pStyle w:val="Tabletext"/>
            </w:pPr>
            <w:r w:rsidRPr="00A15A51">
              <w:t>Rent </w:t>
            </w:r>
          </w:p>
        </w:tc>
        <w:tc>
          <w:tcPr>
            <w:tcW w:w="11259" w:type="dxa"/>
          </w:tcPr>
          <w:p w14:paraId="18769811" w14:textId="7B387115" w:rsidR="006B0E58" w:rsidRPr="00A15A51" w:rsidRDefault="006B0E58" w:rsidP="002E2AAD">
            <w:pPr>
              <w:pStyle w:val="Tabletext"/>
            </w:pPr>
            <w:r w:rsidRPr="00A15A51">
              <w:t xml:space="preserve">Not </w:t>
            </w:r>
            <w:r w:rsidR="00E27DD1">
              <w:t>stated</w:t>
            </w:r>
            <w:r w:rsidRPr="00A15A51">
              <w:t xml:space="preserve"> directly but is relevant to additional infrastructure needed</w:t>
            </w:r>
            <w:r w:rsidR="00F34409">
              <w:t>.</w:t>
            </w:r>
          </w:p>
        </w:tc>
      </w:tr>
      <w:tr w:rsidR="006B0E58" w:rsidRPr="00A15A51" w14:paraId="6C81808B" w14:textId="77777777" w:rsidTr="002E2AAD">
        <w:trPr>
          <w:trHeight w:val="529"/>
        </w:trPr>
        <w:tc>
          <w:tcPr>
            <w:tcW w:w="1843" w:type="dxa"/>
          </w:tcPr>
          <w:p w14:paraId="44354DFF" w14:textId="7E4DBB0F" w:rsidR="006B0E58" w:rsidRPr="00A15A51" w:rsidRDefault="006B0E58" w:rsidP="002E2AAD">
            <w:pPr>
              <w:pStyle w:val="Tabletext"/>
            </w:pPr>
            <w:r w:rsidRPr="004259F0">
              <w:t>Supply chain</w:t>
            </w:r>
          </w:p>
        </w:tc>
        <w:tc>
          <w:tcPr>
            <w:tcW w:w="1843" w:type="dxa"/>
          </w:tcPr>
          <w:p w14:paraId="473D0553" w14:textId="475FE086" w:rsidR="006B0E58" w:rsidRPr="00A15A51" w:rsidRDefault="006B0E58" w:rsidP="002E2AAD">
            <w:pPr>
              <w:pStyle w:val="Tabletext"/>
              <w:rPr>
                <w:lang w:val="en-US"/>
              </w:rPr>
            </w:pPr>
            <w:r w:rsidRPr="00A15A51">
              <w:t>Drug transportation</w:t>
            </w:r>
            <w:r w:rsidRPr="00A15A51">
              <w:rPr>
                <w:lang w:val="en-US"/>
              </w:rPr>
              <w:t>​​</w:t>
            </w:r>
          </w:p>
        </w:tc>
        <w:tc>
          <w:tcPr>
            <w:tcW w:w="11259" w:type="dxa"/>
          </w:tcPr>
          <w:p w14:paraId="0B02263C" w14:textId="0C7A2768" w:rsidR="006B0E58" w:rsidRPr="00A15A51" w:rsidRDefault="006B0E58" w:rsidP="002E2AAD">
            <w:pPr>
              <w:pStyle w:val="Tabletext"/>
            </w:pPr>
            <w:r w:rsidRPr="00A15A51">
              <w:t xml:space="preserve">Not </w:t>
            </w:r>
            <w:r w:rsidR="00E27DD1">
              <w:t>stated</w:t>
            </w:r>
            <w:r w:rsidR="00F34409">
              <w:t>.</w:t>
            </w:r>
          </w:p>
        </w:tc>
      </w:tr>
      <w:tr w:rsidR="006B0E58" w:rsidRPr="00A15A51" w14:paraId="4AF71802" w14:textId="77777777" w:rsidTr="002E2AAD">
        <w:trPr>
          <w:trHeight w:val="300"/>
        </w:trPr>
        <w:tc>
          <w:tcPr>
            <w:tcW w:w="1843" w:type="dxa"/>
          </w:tcPr>
          <w:p w14:paraId="1F2B08B3" w14:textId="070E3D0B" w:rsidR="006B0E58" w:rsidRPr="00A15A51" w:rsidRDefault="006B0E58" w:rsidP="002E2AAD">
            <w:pPr>
              <w:pStyle w:val="Tabletext"/>
              <w:rPr>
                <w:lang w:val="en-US"/>
              </w:rPr>
            </w:pPr>
            <w:r w:rsidRPr="004259F0">
              <w:t>Supply chain</w:t>
            </w:r>
          </w:p>
        </w:tc>
        <w:tc>
          <w:tcPr>
            <w:tcW w:w="1843" w:type="dxa"/>
          </w:tcPr>
          <w:p w14:paraId="485F310D" w14:textId="2D187AC8" w:rsidR="006B0E58" w:rsidRPr="00A15A51" w:rsidRDefault="006B0E58" w:rsidP="002E2AAD">
            <w:pPr>
              <w:pStyle w:val="Tabletext"/>
              <w:rPr>
                <w:lang w:val="en-US"/>
              </w:rPr>
            </w:pPr>
            <w:r w:rsidRPr="00A15A51">
              <w:rPr>
                <w:lang w:val="en-US"/>
              </w:rPr>
              <w:t>Drug storage</w:t>
            </w:r>
          </w:p>
        </w:tc>
        <w:tc>
          <w:tcPr>
            <w:tcW w:w="11259" w:type="dxa"/>
          </w:tcPr>
          <w:p w14:paraId="06E99B4A" w14:textId="3B79730E" w:rsidR="006B0E58" w:rsidRPr="00A15A51" w:rsidRDefault="006B0E58" w:rsidP="002E2AAD">
            <w:pPr>
              <w:pStyle w:val="Tabletext"/>
            </w:pPr>
            <w:r w:rsidRPr="00A15A51">
              <w:t xml:space="preserve">Not </w:t>
            </w:r>
            <w:r w:rsidR="00E27DD1">
              <w:t>stated</w:t>
            </w:r>
            <w:r w:rsidR="00F34409">
              <w:t>.</w:t>
            </w:r>
          </w:p>
        </w:tc>
      </w:tr>
      <w:tr w:rsidR="006B0E58" w:rsidRPr="00A15A51" w14:paraId="4174E22A" w14:textId="77777777" w:rsidTr="002E2AAD">
        <w:trPr>
          <w:trHeight w:val="300"/>
        </w:trPr>
        <w:tc>
          <w:tcPr>
            <w:tcW w:w="1843" w:type="dxa"/>
          </w:tcPr>
          <w:p w14:paraId="0A84157D" w14:textId="48487596" w:rsidR="006B0E58" w:rsidRPr="00A15A51" w:rsidRDefault="006B0E58" w:rsidP="002E2AAD">
            <w:pPr>
              <w:pStyle w:val="Tabletext"/>
            </w:pPr>
            <w:r w:rsidRPr="004259F0">
              <w:t>Supply chain</w:t>
            </w:r>
          </w:p>
        </w:tc>
        <w:tc>
          <w:tcPr>
            <w:tcW w:w="1843" w:type="dxa"/>
          </w:tcPr>
          <w:p w14:paraId="1640F014" w14:textId="679CEEDA" w:rsidR="006B0E58" w:rsidRPr="00A15A51" w:rsidRDefault="006B0E58" w:rsidP="002E2AAD">
            <w:pPr>
              <w:pStyle w:val="Tabletext"/>
              <w:rPr>
                <w:lang w:val="en-US"/>
              </w:rPr>
            </w:pPr>
            <w:r w:rsidRPr="00A15A51">
              <w:t>Drug disposal</w:t>
            </w:r>
          </w:p>
        </w:tc>
        <w:tc>
          <w:tcPr>
            <w:tcW w:w="11259" w:type="dxa"/>
          </w:tcPr>
          <w:p w14:paraId="5446F6BF" w14:textId="4DFB0B3B" w:rsidR="006B0E58" w:rsidRPr="00A15A51" w:rsidRDefault="006B0E58" w:rsidP="002E2AAD">
            <w:pPr>
              <w:pStyle w:val="Tabletext"/>
            </w:pPr>
            <w:r w:rsidRPr="00A15A51">
              <w:t xml:space="preserve">Not </w:t>
            </w:r>
            <w:r w:rsidR="00E27DD1">
              <w:t>stated</w:t>
            </w:r>
            <w:r w:rsidR="00F34409">
              <w:t>.</w:t>
            </w:r>
          </w:p>
        </w:tc>
      </w:tr>
    </w:tbl>
    <w:p w14:paraId="7E357224" w14:textId="77777777" w:rsidR="00325DB0" w:rsidRPr="00A15A51" w:rsidRDefault="00325DB0" w:rsidP="00A15A51">
      <w:pPr>
        <w:rPr>
          <w:rFonts w:ascii="Arial" w:hAnsi="Arial" w:cs="Arial"/>
          <w:sz w:val="20"/>
          <w:szCs w:val="20"/>
        </w:rPr>
      </w:pPr>
    </w:p>
    <w:p w14:paraId="0967D397" w14:textId="77777777" w:rsidR="00C8052C" w:rsidRDefault="00C8052C" w:rsidP="00E22299">
      <w:pPr>
        <w:pStyle w:val="Numberedheading1"/>
        <w:numPr>
          <w:ilvl w:val="0"/>
          <w:numId w:val="0"/>
        </w:numPr>
        <w:ind w:left="1134"/>
        <w:sectPr w:rsidR="00C8052C" w:rsidSect="00E22299">
          <w:pgSz w:w="16838" w:h="11906" w:orient="landscape"/>
          <w:pgMar w:top="1800" w:right="1440" w:bottom="1800" w:left="1440" w:header="708" w:footer="708" w:gutter="0"/>
          <w:cols w:space="708"/>
          <w:docGrid w:linePitch="360"/>
        </w:sectPr>
      </w:pPr>
      <w:bookmarkStart w:id="50" w:name="_Toc226454920"/>
    </w:p>
    <w:p w14:paraId="76EBA9F2" w14:textId="3DDA4260" w:rsidR="00373E7F" w:rsidRDefault="00386E4C" w:rsidP="00F93F21">
      <w:pPr>
        <w:pStyle w:val="Numberedheading1"/>
      </w:pPr>
      <w:r>
        <w:t xml:space="preserve">Evaluating </w:t>
      </w:r>
      <w:r w:rsidR="00F34409">
        <w:t xml:space="preserve">the </w:t>
      </w:r>
      <w:r>
        <w:t>appropriateness of our recommendations through the case studies</w:t>
      </w:r>
      <w:bookmarkEnd w:id="50"/>
    </w:p>
    <w:p w14:paraId="68C58F98" w14:textId="2BAA4568" w:rsidR="00386E4C" w:rsidRDefault="00386E4C" w:rsidP="00E22299">
      <w:pPr>
        <w:pStyle w:val="Paragraph"/>
      </w:pPr>
      <w:r>
        <w:t>Through these case studies we were able to:</w:t>
      </w:r>
    </w:p>
    <w:p w14:paraId="2E687A3E" w14:textId="6CD2D645" w:rsidR="0003452E" w:rsidRDefault="00D10C5F" w:rsidP="002E2AAD">
      <w:pPr>
        <w:pStyle w:val="Bulletleft1"/>
      </w:pPr>
      <w:r>
        <w:t>t</w:t>
      </w:r>
      <w:r w:rsidR="00386E4C">
        <w:t xml:space="preserve">est the </w:t>
      </w:r>
      <w:r w:rsidR="00BF3BAF">
        <w:t xml:space="preserve">taxonomy as a </w:t>
      </w:r>
      <w:r w:rsidR="00386E4C">
        <w:t>tool</w:t>
      </w:r>
      <w:r w:rsidR="00BF3BAF">
        <w:t xml:space="preserve"> to support</w:t>
      </w:r>
      <w:r w:rsidR="00386E4C">
        <w:t xml:space="preserve"> discussions with</w:t>
      </w:r>
      <w:r w:rsidR="006052B7">
        <w:t xml:space="preserve"> </w:t>
      </w:r>
      <w:r w:rsidR="001A19A9">
        <w:t xml:space="preserve">individual </w:t>
      </w:r>
      <w:r w:rsidR="006052B7">
        <w:t>stakeholder</w:t>
      </w:r>
      <w:r w:rsidR="00386E4C">
        <w:t xml:space="preserve">s around implementation costs related to specific technologies </w:t>
      </w:r>
      <w:r w:rsidR="001A19A9">
        <w:t>and indications and then discuss preliminary findings in a multi</w:t>
      </w:r>
      <w:r w:rsidR="00F34CD7">
        <w:t>-stakeholder</w:t>
      </w:r>
      <w:r w:rsidR="001A19A9">
        <w:t xml:space="preserve"> environment</w:t>
      </w:r>
    </w:p>
    <w:p w14:paraId="78CF2FCD" w14:textId="67D1F409" w:rsidR="001A19A9" w:rsidRDefault="00D10C5F" w:rsidP="002E2AAD">
      <w:pPr>
        <w:pStyle w:val="Bulletleft1"/>
      </w:pPr>
      <w:r>
        <w:t>t</w:t>
      </w:r>
      <w:r w:rsidR="00D907CD">
        <w:t>est our preliminary recommendations around:</w:t>
      </w:r>
    </w:p>
    <w:p w14:paraId="371F27DF" w14:textId="323497A2" w:rsidR="00D907CD" w:rsidRDefault="00D10C5F" w:rsidP="002E2AAD">
      <w:pPr>
        <w:pStyle w:val="Bulletleft2"/>
      </w:pPr>
      <w:r>
        <w:t>e</w:t>
      </w:r>
      <w:r w:rsidR="00D907CD">
        <w:t>arly engagement with stakeholders to identify current treatment pathways</w:t>
      </w:r>
      <w:r w:rsidR="00627EB5">
        <w:t xml:space="preserve">, </w:t>
      </w:r>
      <w:r w:rsidR="00D907CD">
        <w:t>infrastructure and servic</w:t>
      </w:r>
      <w:r w:rsidR="00627EB5">
        <w:t xml:space="preserve">e </w:t>
      </w:r>
      <w:r w:rsidR="00D907CD">
        <w:t>need</w:t>
      </w:r>
      <w:r w:rsidR="00627EB5">
        <w:t>s</w:t>
      </w:r>
      <w:r w:rsidR="00D907CD">
        <w:t xml:space="preserve"> to </w:t>
      </w:r>
      <w:r w:rsidR="00923A02">
        <w:t>implement the</w:t>
      </w:r>
      <w:r w:rsidR="00627EB5">
        <w:t xml:space="preserve"> </w:t>
      </w:r>
      <w:r w:rsidR="00923A02">
        <w:t>technologies</w:t>
      </w:r>
    </w:p>
    <w:p w14:paraId="63905B0D" w14:textId="2A468028" w:rsidR="00923A02" w:rsidRDefault="00D10C5F" w:rsidP="002E2AAD">
      <w:pPr>
        <w:pStyle w:val="Bulletleft2"/>
      </w:pPr>
      <w:r>
        <w:t>r</w:t>
      </w:r>
      <w:r w:rsidR="000525F6">
        <w:t>each</w:t>
      </w:r>
      <w:r w:rsidR="00F02E41">
        <w:t>ing</w:t>
      </w:r>
      <w:r w:rsidR="000525F6">
        <w:t xml:space="preserve"> consensus on key priority areas in terms of implementation costs</w:t>
      </w:r>
      <w:r w:rsidR="001138D4">
        <w:t xml:space="preserve"> that </w:t>
      </w:r>
      <w:r w:rsidR="007858AB">
        <w:t>need aligning</w:t>
      </w:r>
      <w:r w:rsidR="000525F6">
        <w:t xml:space="preserve"> </w:t>
      </w:r>
      <w:r w:rsidR="001138D4">
        <w:t xml:space="preserve">early in the process </w:t>
      </w:r>
      <w:r w:rsidR="00C274DB">
        <w:t xml:space="preserve">within </w:t>
      </w:r>
      <w:r w:rsidR="001138D4">
        <w:t xml:space="preserve">evaluations </w:t>
      </w:r>
      <w:r w:rsidR="00F02E41">
        <w:t xml:space="preserve">to ensure </w:t>
      </w:r>
      <w:r w:rsidR="0053762B">
        <w:t xml:space="preserve">they </w:t>
      </w:r>
      <w:r w:rsidR="00C274DB">
        <w:t>are a</w:t>
      </w:r>
      <w:r w:rsidR="0053762B">
        <w:t xml:space="preserve">ppropriately </w:t>
      </w:r>
      <w:r w:rsidR="00C274DB">
        <w:t>captured</w:t>
      </w:r>
    </w:p>
    <w:p w14:paraId="5AEF00B2" w14:textId="5EB0B262" w:rsidR="00E26154" w:rsidRDefault="00D10C5F" w:rsidP="002E2AAD">
      <w:pPr>
        <w:pStyle w:val="Bulletleft1"/>
      </w:pPr>
      <w:r>
        <w:t>i</w:t>
      </w:r>
      <w:r w:rsidR="00C274DB">
        <w:t xml:space="preserve">dentify gaps in </w:t>
      </w:r>
      <w:r w:rsidR="0053762B">
        <w:t xml:space="preserve">available </w:t>
      </w:r>
      <w:r w:rsidR="00C274DB">
        <w:t>services for molecular radiotherapies</w:t>
      </w:r>
      <w:r w:rsidR="000F4FDB">
        <w:t xml:space="preserve">, </w:t>
      </w:r>
      <w:r w:rsidR="00E52501">
        <w:t>which</w:t>
      </w:r>
      <w:r w:rsidR="000F4FDB">
        <w:t xml:space="preserve"> should be part of core services</w:t>
      </w:r>
      <w:r w:rsidR="00C274DB">
        <w:t xml:space="preserve"> but are not routinely available, specifically, </w:t>
      </w:r>
      <w:r w:rsidR="00442D41">
        <w:t xml:space="preserve">dosimetry for all MRTs and </w:t>
      </w:r>
      <w:r w:rsidR="0013609F">
        <w:t>PSMA PET</w:t>
      </w:r>
      <w:r w:rsidR="002A423B">
        <w:t>–</w:t>
      </w:r>
      <w:r w:rsidR="000F4FDB">
        <w:t xml:space="preserve">CT </w:t>
      </w:r>
      <w:r w:rsidR="0013609F">
        <w:t>scans for prostate cancer</w:t>
      </w:r>
    </w:p>
    <w:p w14:paraId="1F58AD1D" w14:textId="6307B6DD" w:rsidR="0013609F" w:rsidRDefault="00D10C5F" w:rsidP="002E2AAD">
      <w:pPr>
        <w:pStyle w:val="Bulletleft1"/>
      </w:pPr>
      <w:r>
        <w:t>i</w:t>
      </w:r>
      <w:r w:rsidR="0013609F">
        <w:t xml:space="preserve">dentify </w:t>
      </w:r>
      <w:r w:rsidR="00E576A4">
        <w:t xml:space="preserve">other indications that would be relevant to </w:t>
      </w:r>
      <w:r w:rsidR="00442D41">
        <w:t>inform</w:t>
      </w:r>
      <w:r w:rsidR="00E576A4">
        <w:t xml:space="preserve"> cost</w:t>
      </w:r>
      <w:r w:rsidR="00AD35DC">
        <w:t xml:space="preserve"> estimates</w:t>
      </w:r>
      <w:r w:rsidR="00E576A4">
        <w:t xml:space="preserve"> for geographic atrophy</w:t>
      </w:r>
    </w:p>
    <w:p w14:paraId="6821635B" w14:textId="29C4EA6D" w:rsidR="00AA394C" w:rsidRDefault="00D10C5F" w:rsidP="002E2AAD">
      <w:pPr>
        <w:pStyle w:val="Bulletleft1last"/>
      </w:pPr>
      <w:r>
        <w:t>i</w:t>
      </w:r>
      <w:r w:rsidR="00D409E1">
        <w:t xml:space="preserve">dentify key sources of information and </w:t>
      </w:r>
      <w:r w:rsidR="00DC2348">
        <w:t xml:space="preserve">other relevant initiatives </w:t>
      </w:r>
      <w:r w:rsidR="005B3ED7">
        <w:t xml:space="preserve">within </w:t>
      </w:r>
      <w:r w:rsidR="00DC2348">
        <w:t>each of the case studies</w:t>
      </w:r>
      <w:r w:rsidR="00397748">
        <w:t xml:space="preserve"> that were shared by experts</w:t>
      </w:r>
      <w:r w:rsidR="005B3ED7">
        <w:t>.</w:t>
      </w:r>
    </w:p>
    <w:p w14:paraId="4461B285" w14:textId="52DE84FC" w:rsidR="00816304" w:rsidRDefault="00E26154" w:rsidP="00C55016">
      <w:pPr>
        <w:pStyle w:val="Numberedheading1"/>
      </w:pPr>
      <w:bookmarkStart w:id="51" w:name="_Toc226454921"/>
      <w:r>
        <w:t>Proposed approaches to us</w:t>
      </w:r>
      <w:r w:rsidR="002A423B">
        <w:t>ing</w:t>
      </w:r>
      <w:r>
        <w:t xml:space="preserve"> findings </w:t>
      </w:r>
      <w:r w:rsidR="194193AE">
        <w:t>from</w:t>
      </w:r>
      <w:r w:rsidR="00816304">
        <w:t xml:space="preserve"> case studies</w:t>
      </w:r>
      <w:bookmarkEnd w:id="51"/>
    </w:p>
    <w:p w14:paraId="2CA6CC4C" w14:textId="697E7553" w:rsidR="003620C0" w:rsidRDefault="008154E5" w:rsidP="00E22299">
      <w:pPr>
        <w:pStyle w:val="Paragraph"/>
      </w:pPr>
      <w:r>
        <w:t>F</w:t>
      </w:r>
      <w:r w:rsidR="00D42A22">
        <w:t xml:space="preserve">or </w:t>
      </w:r>
      <w:r w:rsidR="0086423B">
        <w:t xml:space="preserve">NICE technical teams </w:t>
      </w:r>
      <w:r w:rsidR="6C42EEC4">
        <w:t>and external assessment groups</w:t>
      </w:r>
      <w:r w:rsidR="00D076AC">
        <w:t xml:space="preserve"> evaluating</w:t>
      </w:r>
      <w:r w:rsidR="00C55016">
        <w:t xml:space="preserve"> MRTs and treatments for geographic atrophy</w:t>
      </w:r>
      <w:r w:rsidR="00D076AC">
        <w:t>,</w:t>
      </w:r>
      <w:r w:rsidR="00B40750">
        <w:t xml:space="preserve"> </w:t>
      </w:r>
      <w:r>
        <w:t xml:space="preserve">the findings from these case studies could help improve understanding </w:t>
      </w:r>
      <w:r w:rsidR="007E19AF">
        <w:t>of</w:t>
      </w:r>
      <w:r w:rsidR="009241FF">
        <w:t>:</w:t>
      </w:r>
    </w:p>
    <w:p w14:paraId="5AA030DC" w14:textId="343BA733" w:rsidR="00773552" w:rsidRDefault="008154E5" w:rsidP="002E2AAD">
      <w:pPr>
        <w:pStyle w:val="Bulletleft1"/>
      </w:pPr>
      <w:r>
        <w:t>k</w:t>
      </w:r>
      <w:r w:rsidR="003620C0">
        <w:t>ey resource use and costs categories to focus on from an economic evaluation and resource impact assessment perspective</w:t>
      </w:r>
      <w:r w:rsidR="006D0A1A">
        <w:t xml:space="preserve"> </w:t>
      </w:r>
      <w:r w:rsidR="005B1E4E">
        <w:t>to</w:t>
      </w:r>
      <w:r w:rsidR="0027570A">
        <w:t xml:space="preserve"> support</w:t>
      </w:r>
      <w:r w:rsidR="006D0A1A">
        <w:t xml:space="preserve"> discussions with stakeholders</w:t>
      </w:r>
    </w:p>
    <w:p w14:paraId="7F4B598F" w14:textId="3B3A1CD1" w:rsidR="00B40750" w:rsidRDefault="008154E5" w:rsidP="002E2AAD">
      <w:pPr>
        <w:pStyle w:val="Bulletleft1"/>
      </w:pPr>
      <w:r>
        <w:t>c</w:t>
      </w:r>
      <w:r w:rsidR="00B40750">
        <w:t xml:space="preserve">urrent gaps in </w:t>
      </w:r>
      <w:r w:rsidR="00417A3F">
        <w:t>core services that should be offered to patients</w:t>
      </w:r>
      <w:r w:rsidR="00B40750">
        <w:t xml:space="preserve"> </w:t>
      </w:r>
      <w:r w:rsidR="0046309B">
        <w:t>and</w:t>
      </w:r>
      <w:r w:rsidR="00B40750">
        <w:t xml:space="preserve"> </w:t>
      </w:r>
      <w:r w:rsidR="00ED4597">
        <w:t>ensure that they are appropriately</w:t>
      </w:r>
      <w:r w:rsidR="00417A3F">
        <w:t xml:space="preserve"> addressed within the evaluation</w:t>
      </w:r>
    </w:p>
    <w:p w14:paraId="38F33C85" w14:textId="5CD07803" w:rsidR="007B1E1D" w:rsidRDefault="008154E5" w:rsidP="002E2AAD">
      <w:pPr>
        <w:pStyle w:val="Bulletleft1"/>
      </w:pPr>
      <w:r>
        <w:t>i</w:t>
      </w:r>
      <w:r w:rsidR="00A3693F">
        <w:t>mplementation</w:t>
      </w:r>
      <w:r w:rsidR="00816304">
        <w:t xml:space="preserve"> cost categories</w:t>
      </w:r>
      <w:r w:rsidR="00A3693F">
        <w:t xml:space="preserve"> that</w:t>
      </w:r>
      <w:r w:rsidR="00816304">
        <w:t xml:space="preserve"> </w:t>
      </w:r>
      <w:r w:rsidR="00A3693F">
        <w:t>may be</w:t>
      </w:r>
      <w:r w:rsidR="001B202A">
        <w:t xml:space="preserve"> </w:t>
      </w:r>
      <w:r w:rsidR="00816304">
        <w:t xml:space="preserve">common to </w:t>
      </w:r>
      <w:r w:rsidR="001B202A">
        <w:t>multiple treatments</w:t>
      </w:r>
      <w:r w:rsidR="003A0B3B">
        <w:t xml:space="preserve"> and </w:t>
      </w:r>
      <w:r w:rsidR="00A3693F">
        <w:t xml:space="preserve">those that </w:t>
      </w:r>
      <w:r w:rsidR="003A0B3B">
        <w:t xml:space="preserve">are relevant to a subset of treatments </w:t>
      </w:r>
      <w:r w:rsidR="001B202A">
        <w:t>and potential positive spillover effects</w:t>
      </w:r>
      <w:r>
        <w:t>, which</w:t>
      </w:r>
      <w:r w:rsidR="003A0B3B">
        <w:t xml:space="preserve"> </w:t>
      </w:r>
      <w:r w:rsidR="00816304">
        <w:t xml:space="preserve">could </w:t>
      </w:r>
      <w:r w:rsidR="00767E32">
        <w:t xml:space="preserve">enable </w:t>
      </w:r>
      <w:r w:rsidR="00816304">
        <w:t>later discussions around a potential apportionment approach</w:t>
      </w:r>
    </w:p>
    <w:p w14:paraId="21D16791" w14:textId="0A1AEC09" w:rsidR="00C27485" w:rsidRDefault="008154E5" w:rsidP="002E2AAD">
      <w:pPr>
        <w:pStyle w:val="Bulletleft1last"/>
      </w:pPr>
      <w:r>
        <w:t>i</w:t>
      </w:r>
      <w:r w:rsidR="007B1E1D">
        <w:t>nform discussions</w:t>
      </w:r>
      <w:r w:rsidR="001B202A">
        <w:t xml:space="preserve"> with other stakeholders</w:t>
      </w:r>
      <w:r w:rsidR="00B40750">
        <w:t xml:space="preserve"> </w:t>
      </w:r>
      <w:r w:rsidR="001B202A">
        <w:t xml:space="preserve">at various points in the evaluation process </w:t>
      </w:r>
      <w:r w:rsidR="00B22DB4">
        <w:t>and</w:t>
      </w:r>
      <w:r w:rsidR="001B202A">
        <w:t xml:space="preserve"> expedite reaching consensus at an earlier </w:t>
      </w:r>
      <w:r w:rsidR="007E7F52">
        <w:t>stage of evaluations</w:t>
      </w:r>
      <w:r w:rsidR="00B22DB4">
        <w:t xml:space="preserve">, </w:t>
      </w:r>
      <w:r w:rsidR="007E7F52">
        <w:t>support</w:t>
      </w:r>
      <w:r w:rsidR="00B22DB4">
        <w:t>ing</w:t>
      </w:r>
      <w:r w:rsidR="007E7F52">
        <w:t xml:space="preserve"> streamlined decision</w:t>
      </w:r>
      <w:r w:rsidR="00767E32">
        <w:t xml:space="preserve"> </w:t>
      </w:r>
      <w:r w:rsidR="007E7F52">
        <w:t>making.</w:t>
      </w:r>
    </w:p>
    <w:p w14:paraId="2D0D0887" w14:textId="0FE43763" w:rsidR="095528BD" w:rsidRDefault="095528BD" w:rsidP="002B34E7">
      <w:pPr>
        <w:pStyle w:val="Numberedheading1"/>
      </w:pPr>
      <w:bookmarkStart w:id="52" w:name="_Toc226454922"/>
      <w:r w:rsidRPr="5FEFA46D">
        <w:t>Conclusion</w:t>
      </w:r>
      <w:bookmarkEnd w:id="52"/>
    </w:p>
    <w:p w14:paraId="142B92F2" w14:textId="34935CB2" w:rsidR="002B34E7" w:rsidRPr="002B34E7" w:rsidRDefault="002B34E7" w:rsidP="00E22299">
      <w:pPr>
        <w:pStyle w:val="Paragraph"/>
      </w:pPr>
      <w:r w:rsidRPr="002B34E7">
        <w:t xml:space="preserve">The case studies </w:t>
      </w:r>
      <w:r w:rsidR="008154E5">
        <w:t>showed</w:t>
      </w:r>
      <w:r w:rsidR="008154E5" w:rsidRPr="002B34E7">
        <w:t xml:space="preserve"> </w:t>
      </w:r>
      <w:r w:rsidRPr="002B34E7">
        <w:t>the value of applying a structured taxonomy to identify and categori</w:t>
      </w:r>
      <w:r w:rsidR="002512EC">
        <w:t>s</w:t>
      </w:r>
      <w:r w:rsidRPr="002B34E7">
        <w:t>e implementation costs associated with new health technologies.</w:t>
      </w:r>
      <w:r w:rsidRPr="002E2AAD">
        <w:t xml:space="preserve"> </w:t>
      </w:r>
      <w:r w:rsidRPr="002B34E7">
        <w:t xml:space="preserve">These findings reinforce the importance of early and proactive engagement with stakeholders to anticipate resource needs and service redesign requirements. They also underscore the need for clear guidance on which costs should be considered part of baseline care versus </w:t>
      </w:r>
      <w:r w:rsidR="00DF41D9">
        <w:t>costs</w:t>
      </w:r>
      <w:r w:rsidR="00DF41D9" w:rsidRPr="002B34E7">
        <w:t xml:space="preserve"> </w:t>
      </w:r>
      <w:r w:rsidRPr="002B34E7">
        <w:t>attributable to new technologies.</w:t>
      </w:r>
    </w:p>
    <w:p w14:paraId="0475B1BD" w14:textId="1516A123" w:rsidR="00E57AE6" w:rsidRDefault="00E57AE6" w:rsidP="00F93F21">
      <w:pPr>
        <w:pStyle w:val="Numberedheading1"/>
      </w:pPr>
      <w:bookmarkStart w:id="53" w:name="_Toc226454923"/>
      <w:r>
        <w:t>References</w:t>
      </w:r>
      <w:bookmarkEnd w:id="53"/>
    </w:p>
    <w:p w14:paraId="3D4BA484" w14:textId="1B17F9A6" w:rsidR="00A3569D" w:rsidRPr="002E2AAD" w:rsidRDefault="004D163A" w:rsidP="00D071D3">
      <w:pPr>
        <w:pStyle w:val="NICEnormal"/>
      </w:pPr>
      <w:r w:rsidRPr="002E2AAD">
        <w:t>Administration of Radioactive Substances Advisory Committee</w:t>
      </w:r>
      <w:r w:rsidR="008B13D4">
        <w:t xml:space="preserve"> (</w:t>
      </w:r>
      <w:r w:rsidRPr="002E2AAD">
        <w:t>2025</w:t>
      </w:r>
      <w:r w:rsidR="008B13D4">
        <w:t>)</w:t>
      </w:r>
      <w:r w:rsidRPr="002E2AAD">
        <w:t xml:space="preserve"> </w:t>
      </w:r>
      <w:hyperlink r:id="rId31" w:history="1">
        <w:r w:rsidR="00A3569D" w:rsidRPr="002E2AAD">
          <w:rPr>
            <w:rStyle w:val="Hyperlink"/>
          </w:rPr>
          <w:t>Guide to submitting employer licence applications to the Administration of Radioactive Substances Advisory Committee (ARSAC)</w:t>
        </w:r>
      </w:hyperlink>
    </w:p>
    <w:p w14:paraId="3FCDE3C0" w14:textId="7171326C" w:rsidR="008B13D4" w:rsidRDefault="008B13D4" w:rsidP="00F8410D">
      <w:pPr>
        <w:pStyle w:val="NICEnormal"/>
        <w:rPr>
          <w:rFonts w:cs="Arial"/>
          <w:lang w:eastAsia="en-GB"/>
        </w:rPr>
      </w:pPr>
      <w:r>
        <w:t xml:space="preserve">Care Quality Commission (2022) </w:t>
      </w:r>
      <w:hyperlink r:id="rId32" w:history="1">
        <w:r w:rsidRPr="00024A81">
          <w:rPr>
            <w:rStyle w:val="Hyperlink"/>
          </w:rPr>
          <w:t>IR(ME)R annual report 2020/21</w:t>
        </w:r>
      </w:hyperlink>
    </w:p>
    <w:p w14:paraId="0493A9E1" w14:textId="77777777" w:rsidR="00DA7238" w:rsidRDefault="00DA7238" w:rsidP="00DA7238">
      <w:pPr>
        <w:pStyle w:val="NICEnormal"/>
      </w:pPr>
      <w:r>
        <w:t xml:space="preserve">HM Government (2017) </w:t>
      </w:r>
      <w:hyperlink r:id="rId33">
        <w:r w:rsidRPr="6BCEEF07">
          <w:rPr>
            <w:rStyle w:val="Hyperlink"/>
          </w:rPr>
          <w:t>The Ionising Radiation (Medical Exposure) Regulations</w:t>
        </w:r>
      </w:hyperlink>
    </w:p>
    <w:p w14:paraId="4E430439" w14:textId="67E137FE" w:rsidR="00F8410D" w:rsidRPr="00F8410D" w:rsidRDefault="00256D6D" w:rsidP="00F8410D">
      <w:pPr>
        <w:pStyle w:val="NICEnormal"/>
      </w:pPr>
      <w:r>
        <w:rPr>
          <w:rFonts w:cs="Arial"/>
          <w:lang w:eastAsia="en-GB"/>
        </w:rPr>
        <w:t xml:space="preserve">NHS England </w:t>
      </w:r>
      <w:r w:rsidR="008B13D4">
        <w:rPr>
          <w:rFonts w:cs="Arial"/>
          <w:lang w:eastAsia="en-GB"/>
        </w:rPr>
        <w:t>(</w:t>
      </w:r>
      <w:r>
        <w:rPr>
          <w:rFonts w:cs="Arial"/>
          <w:lang w:eastAsia="en-GB"/>
        </w:rPr>
        <w:t>2024</w:t>
      </w:r>
      <w:r w:rsidR="008B13D4">
        <w:rPr>
          <w:rFonts w:cs="Arial"/>
          <w:lang w:eastAsia="en-GB"/>
        </w:rPr>
        <w:t>)</w:t>
      </w:r>
      <w:r w:rsidRPr="00256D6D">
        <w:t xml:space="preserve"> </w:t>
      </w:r>
      <w:hyperlink r:id="rId34">
        <w:r w:rsidRPr="00256D6D">
          <w:rPr>
            <w:rStyle w:val="Hyperlink"/>
            <w:rFonts w:cs="Arial"/>
          </w:rPr>
          <w:t>NHS service specification for MRT</w:t>
        </w:r>
      </w:hyperlink>
    </w:p>
    <w:p w14:paraId="49B25587" w14:textId="0D0FA1C3" w:rsidR="000B3A7C" w:rsidRDefault="000B3A7C" w:rsidP="00D071D3">
      <w:pPr>
        <w:pStyle w:val="NICEnormal"/>
      </w:pPr>
      <w:r>
        <w:t>NHS England</w:t>
      </w:r>
      <w:r w:rsidR="00626B93">
        <w:t xml:space="preserve"> </w:t>
      </w:r>
      <w:r w:rsidR="008B13D4">
        <w:t>(</w:t>
      </w:r>
      <w:r w:rsidR="00626B93">
        <w:t>2025</w:t>
      </w:r>
      <w:r w:rsidR="00C230D4">
        <w:t>a</w:t>
      </w:r>
      <w:r w:rsidR="008B13D4">
        <w:t>)</w:t>
      </w:r>
      <w:r w:rsidR="00626B93">
        <w:t xml:space="preserve"> </w:t>
      </w:r>
      <w:hyperlink r:id="rId35" w:history="1">
        <w:r w:rsidR="00626B93" w:rsidRPr="00626B93">
          <w:rPr>
            <w:rStyle w:val="Hyperlink"/>
          </w:rPr>
          <w:t>Commissioning policy.</w:t>
        </w:r>
        <w:r w:rsidRPr="00626B93">
          <w:rPr>
            <w:rStyle w:val="Hyperlink"/>
          </w:rPr>
          <w:t xml:space="preserve"> </w:t>
        </w:r>
        <w:r w:rsidR="00626B93" w:rsidRPr="00626B93">
          <w:rPr>
            <w:rStyle w:val="Hyperlink"/>
          </w:rPr>
          <w:t>PSMA radiotracers in PETCT Imaging for individuals with high-risk primary or recurrent prostate cancer (adults) [2307]</w:t>
        </w:r>
      </w:hyperlink>
    </w:p>
    <w:p w14:paraId="2F100023" w14:textId="7F4E8A38" w:rsidR="00F8410D" w:rsidRDefault="00F8410D" w:rsidP="00F8410D">
      <w:pPr>
        <w:pStyle w:val="NICEnormal"/>
      </w:pPr>
      <w:r>
        <w:t xml:space="preserve">NHS England </w:t>
      </w:r>
      <w:r w:rsidR="008B13D4">
        <w:t>(</w:t>
      </w:r>
      <w:r>
        <w:t>2025</w:t>
      </w:r>
      <w:r w:rsidR="00C230D4">
        <w:t>b</w:t>
      </w:r>
      <w:r w:rsidR="008B13D4">
        <w:t>)</w:t>
      </w:r>
      <w:r>
        <w:t xml:space="preserve"> </w:t>
      </w:r>
      <w:hyperlink r:id="rId36" w:history="1">
        <w:r w:rsidR="00E045DA">
          <w:rPr>
            <w:rStyle w:val="Hyperlink"/>
          </w:rPr>
          <w:t>Symptoms of age-related macular degeneration (AMD)</w:t>
        </w:r>
      </w:hyperlink>
    </w:p>
    <w:p w14:paraId="587F3343" w14:textId="12C184B2" w:rsidR="00E045DA" w:rsidRDefault="00E045DA" w:rsidP="00F8410D">
      <w:pPr>
        <w:pStyle w:val="NICEnormal"/>
      </w:pPr>
      <w:r>
        <w:t>NHS England (2025</w:t>
      </w:r>
      <w:r w:rsidR="00C230D4">
        <w:t>c</w:t>
      </w:r>
      <w:r>
        <w:t xml:space="preserve">) </w:t>
      </w:r>
      <w:hyperlink r:id="rId37" w:history="1">
        <w:r>
          <w:rPr>
            <w:rStyle w:val="Hyperlink"/>
          </w:rPr>
          <w:t>Treatments for age-related macular degeneration (AMD)</w:t>
        </w:r>
      </w:hyperlink>
    </w:p>
    <w:p w14:paraId="4511A691" w14:textId="6BA34516" w:rsidR="00EE2A5A" w:rsidRDefault="00EE2A5A" w:rsidP="00EE2A5A">
      <w:pPr>
        <w:pStyle w:val="NICEnormal"/>
      </w:pPr>
      <w:r>
        <w:t xml:space="preserve">NICE </w:t>
      </w:r>
      <w:r w:rsidR="008B13D4">
        <w:t>(</w:t>
      </w:r>
      <w:r>
        <w:t>2018</w:t>
      </w:r>
      <w:r w:rsidR="00D709E1">
        <w:t>a</w:t>
      </w:r>
      <w:r w:rsidR="008B13D4">
        <w:t>)</w:t>
      </w:r>
      <w:r w:rsidRPr="00C55CBA">
        <w:t xml:space="preserve"> </w:t>
      </w:r>
      <w:hyperlink r:id="rId38" w:history="1">
        <w:r w:rsidRPr="0059020B">
          <w:rPr>
            <w:rStyle w:val="Hyperlink"/>
          </w:rPr>
          <w:t>Lutetium (177Lu) oxodotreotide for treating unresectable or metastatic neuroendocrine tumours</w:t>
        </w:r>
      </w:hyperlink>
    </w:p>
    <w:p w14:paraId="317C5FF8" w14:textId="3BAE8FA9" w:rsidR="00AB5D6A" w:rsidRDefault="00AB5D6A" w:rsidP="00EE2A5A">
      <w:pPr>
        <w:pStyle w:val="NICEnormal"/>
      </w:pPr>
      <w:r>
        <w:t xml:space="preserve">NICE </w:t>
      </w:r>
      <w:r w:rsidR="008B13D4">
        <w:t>(</w:t>
      </w:r>
      <w:r>
        <w:t>2018</w:t>
      </w:r>
      <w:r w:rsidR="00D709E1">
        <w:t>b</w:t>
      </w:r>
      <w:r w:rsidR="008B13D4">
        <w:t>)</w:t>
      </w:r>
      <w:r>
        <w:t xml:space="preserve"> </w:t>
      </w:r>
      <w:hyperlink r:id="rId39" w:history="1">
        <w:r w:rsidRPr="008B13D4">
          <w:rPr>
            <w:rStyle w:val="Hyperlink"/>
          </w:rPr>
          <w:t>Age-related macular degeneration</w:t>
        </w:r>
      </w:hyperlink>
    </w:p>
    <w:p w14:paraId="1FE4F513" w14:textId="44FEAFBA" w:rsidR="009E60B6" w:rsidRDefault="009E60B6" w:rsidP="00614608">
      <w:pPr>
        <w:pStyle w:val="NICEnormal"/>
      </w:pPr>
      <w:r w:rsidRPr="009E60B6">
        <w:t xml:space="preserve">Owen CG, Jarrar Z, Wormald R </w:t>
      </w:r>
      <w:r w:rsidR="008B13D4">
        <w:t>(</w:t>
      </w:r>
      <w:r w:rsidR="00614608">
        <w:t>2012</w:t>
      </w:r>
      <w:r w:rsidR="008B13D4">
        <w:t>)</w:t>
      </w:r>
      <w:r w:rsidR="00614608">
        <w:t xml:space="preserve"> </w:t>
      </w:r>
      <w:hyperlink r:id="rId40" w:history="1">
        <w:r w:rsidR="003C3226">
          <w:rPr>
            <w:rStyle w:val="Hyperlink"/>
          </w:rPr>
          <w:t xml:space="preserve">The estimated prevalence and incidence of </w:t>
        </w:r>
        <w:proofErr w:type="gramStart"/>
        <w:r w:rsidR="003C3226">
          <w:rPr>
            <w:rStyle w:val="Hyperlink"/>
          </w:rPr>
          <w:t>late stage</w:t>
        </w:r>
        <w:proofErr w:type="gramEnd"/>
        <w:r w:rsidR="003C3226">
          <w:rPr>
            <w:rStyle w:val="Hyperlink"/>
          </w:rPr>
          <w:t xml:space="preserve"> age related macular degeneration in the UK</w:t>
        </w:r>
      </w:hyperlink>
      <w:r w:rsidR="003C3226">
        <w:t xml:space="preserve"> </w:t>
      </w:r>
      <w:r w:rsidR="001C3C6C">
        <w:t>British Journal of Ophthalmology</w:t>
      </w:r>
      <w:r w:rsidR="003B2ECD">
        <w:t xml:space="preserve"> </w:t>
      </w:r>
      <w:r w:rsidR="003B2ECD" w:rsidRPr="003B2ECD">
        <w:t>96(5):752–756</w:t>
      </w:r>
    </w:p>
    <w:p w14:paraId="4DBA9C05" w14:textId="20378E38" w:rsidR="00F443F3" w:rsidRDefault="00F443F3" w:rsidP="00F443F3">
      <w:pPr>
        <w:pStyle w:val="NICEnormal"/>
      </w:pPr>
      <w:r>
        <w:t xml:space="preserve">The Health Policy Partnership </w:t>
      </w:r>
      <w:r w:rsidR="003B2ECD">
        <w:t>(</w:t>
      </w:r>
      <w:r>
        <w:t>2021</w:t>
      </w:r>
      <w:r w:rsidR="003B2ECD">
        <w:t>)</w:t>
      </w:r>
      <w:r>
        <w:t xml:space="preserve"> </w:t>
      </w:r>
      <w:hyperlink r:id="rId41" w:history="1">
        <w:r w:rsidRPr="008B13D4">
          <w:rPr>
            <w:rStyle w:val="Hyperlink"/>
          </w:rPr>
          <w:t xml:space="preserve">Health system readiness for radioligand therapy </w:t>
        </w:r>
        <w:r w:rsidR="003B2ECD">
          <w:rPr>
            <w:rStyle w:val="Hyperlink"/>
          </w:rPr>
          <w:t>s</w:t>
        </w:r>
        <w:r w:rsidRPr="008B13D4">
          <w:rPr>
            <w:rStyle w:val="Hyperlink"/>
          </w:rPr>
          <w:t>ituation analysis report</w:t>
        </w:r>
      </w:hyperlink>
    </w:p>
    <w:bookmarkEnd w:id="8"/>
    <w:p w14:paraId="44932170" w14:textId="77777777" w:rsidR="00993A08" w:rsidRPr="006A14A8" w:rsidRDefault="00993A08" w:rsidP="00D071D3">
      <w:pPr>
        <w:pStyle w:val="NICEnormal"/>
      </w:pPr>
    </w:p>
    <w:sectPr w:rsidR="00993A08" w:rsidRPr="006A14A8" w:rsidSect="00C805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96B1" w14:textId="77777777" w:rsidR="001479BA" w:rsidRDefault="001479BA" w:rsidP="00446BEE">
      <w:r>
        <w:separator/>
      </w:r>
    </w:p>
  </w:endnote>
  <w:endnote w:type="continuationSeparator" w:id="0">
    <w:p w14:paraId="76F34138" w14:textId="77777777" w:rsidR="001479BA" w:rsidRDefault="001479BA" w:rsidP="00446BEE">
      <w:r>
        <w:continuationSeparator/>
      </w:r>
    </w:p>
  </w:endnote>
  <w:endnote w:type="continuationNotice" w:id="1">
    <w:p w14:paraId="15985933" w14:textId="77777777" w:rsidR="001479BA" w:rsidRDefault="00147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Inter">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08957A83" w:rsidR="007400D7" w:rsidRPr="007400D7" w:rsidRDefault="42753707" w:rsidP="00E57AE6">
    <w:pPr>
      <w:tabs>
        <w:tab w:val="right" w:pos="8306"/>
      </w:tabs>
      <w:spacing w:after="240"/>
      <w:rPr>
        <w:rFonts w:ascii="Arial" w:hAnsi="Arial" w:cs="Arial"/>
        <w:color w:val="000000"/>
        <w:sz w:val="18"/>
        <w:szCs w:val="18"/>
      </w:rPr>
    </w:pPr>
    <w:r w:rsidRPr="42753707">
      <w:rPr>
        <w:rFonts w:ascii="Arial" w:hAnsi="Arial"/>
        <w:color w:val="000000" w:themeColor="text1"/>
        <w:sz w:val="18"/>
        <w:szCs w:val="18"/>
      </w:rPr>
      <w:t>© NICE 202</w:t>
    </w:r>
    <w:r w:rsidR="00A47422">
      <w:rPr>
        <w:rFonts w:ascii="Arial" w:hAnsi="Arial"/>
        <w:color w:val="000000" w:themeColor="text1"/>
        <w:sz w:val="18"/>
        <w:szCs w:val="18"/>
      </w:rPr>
      <w:t>6</w:t>
    </w:r>
    <w:r w:rsidRPr="42753707">
      <w:rPr>
        <w:rFonts w:ascii="Arial" w:hAnsi="Arial"/>
        <w:color w:val="000000" w:themeColor="text1"/>
        <w:sz w:val="18"/>
        <w:szCs w:val="18"/>
      </w:rPr>
      <w:t xml:space="preserve">. All rights reserved. Subject to </w:t>
    </w:r>
    <w:hyperlink r:id="rId1" w:anchor="notice-of-rights" w:history="1">
      <w:r w:rsidRPr="00C579CF">
        <w:rPr>
          <w:rStyle w:val="Hyperlink"/>
          <w:rFonts w:ascii="Arial" w:hAnsi="Arial"/>
          <w:sz w:val="18"/>
          <w:szCs w:val="18"/>
        </w:rPr>
        <w:t>Notice of rights</w:t>
      </w:r>
    </w:hyperlink>
    <w:r w:rsidRPr="42753707">
      <w:rPr>
        <w:rFonts w:ascii="Arial" w:hAnsi="Arial"/>
        <w:color w:val="000000" w:themeColor="text1"/>
        <w:sz w:val="18"/>
        <w:szCs w:val="18"/>
      </w:rPr>
      <w:t>.</w:t>
    </w:r>
    <w:r w:rsidR="5DD8AEA6">
      <w:tab/>
    </w:r>
  </w:p>
  <w:p w14:paraId="49461CE2" w14:textId="6CF74081" w:rsidR="007400D7" w:rsidRPr="00A47422" w:rsidRDefault="00A47422" w:rsidP="00C963F5">
    <w:pPr>
      <w:pStyle w:val="Footer"/>
      <w:rPr>
        <w:color w:val="000000"/>
        <w:sz w:val="18"/>
        <w:szCs w:val="18"/>
      </w:rPr>
    </w:pPr>
    <w:r w:rsidRPr="00A47422">
      <w:rPr>
        <w:color w:val="000000" w:themeColor="text1"/>
        <w:sz w:val="18"/>
        <w:szCs w:val="18"/>
      </w:rPr>
      <w:t xml:space="preserve">Infrastructure and service redesign: examining the methods for capturing implementation costs-Appendix </w:t>
    </w:r>
    <w:r w:rsidR="00C25B9F">
      <w:rPr>
        <w:color w:val="000000" w:themeColor="text1"/>
        <w:sz w:val="18"/>
        <w:szCs w:val="18"/>
      </w:rPr>
      <w:t>E</w:t>
    </w:r>
  </w:p>
  <w:p w14:paraId="339F88C0" w14:textId="5EA4372F" w:rsidR="00E57AE6" w:rsidRPr="00A47422" w:rsidRDefault="00C963F5" w:rsidP="3392959B">
    <w:pPr>
      <w:pStyle w:val="Footer"/>
      <w:rPr>
        <w:sz w:val="12"/>
        <w:szCs w:val="12"/>
      </w:rPr>
    </w:pPr>
    <w:r>
      <w:rPr>
        <w:color w:val="000000" w:themeColor="text1"/>
        <w:sz w:val="18"/>
        <w:szCs w:val="18"/>
      </w:rPr>
      <w:t>June</w:t>
    </w:r>
    <w:r w:rsidR="000147E9">
      <w:rPr>
        <w:color w:val="000000" w:themeColor="text1"/>
        <w:sz w:val="18"/>
        <w:szCs w:val="18"/>
      </w:rPr>
      <w:t xml:space="preserve"> </w:t>
    </w:r>
    <w:r w:rsidR="00A47422" w:rsidRPr="00A47422">
      <w:rPr>
        <w:color w:val="000000" w:themeColor="text1"/>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07747A">
    <w:pPr>
      <w:pStyle w:val="Footer"/>
      <w:jc w:val="center"/>
    </w:pP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387F" w14:textId="77777777" w:rsidR="001479BA" w:rsidRDefault="001479BA" w:rsidP="00446BEE">
      <w:r>
        <w:separator/>
      </w:r>
    </w:p>
  </w:footnote>
  <w:footnote w:type="continuationSeparator" w:id="0">
    <w:p w14:paraId="5FE404BC" w14:textId="77777777" w:rsidR="001479BA" w:rsidRDefault="001479BA" w:rsidP="00446BEE">
      <w:r>
        <w:continuationSeparator/>
      </w:r>
    </w:p>
  </w:footnote>
  <w:footnote w:type="continuationNotice" w:id="1">
    <w:p w14:paraId="2CDE2221" w14:textId="77777777" w:rsidR="001479BA" w:rsidRDefault="00147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713519115" name="Picture 713519115"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00F6603E">
      <w:trPr>
        <w:trHeight w:val="180"/>
      </w:trPr>
      <w:tc>
        <w:tcPr>
          <w:tcW w:w="2765" w:type="dxa"/>
        </w:tcPr>
        <w:p w14:paraId="6D48A4D3" w14:textId="724ED153" w:rsidR="5DD8AEA6" w:rsidRPr="00F6603E" w:rsidRDefault="5DD8AEA6" w:rsidP="5DD8AEA6">
          <w:pPr>
            <w:pStyle w:val="Header"/>
            <w:ind w:left="-115"/>
            <w:rPr>
              <w:b/>
              <w:bCs/>
            </w:rPr>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2F94956F" w:rsidR="5DD8AEA6" w:rsidRDefault="5DD8AEA6" w:rsidP="5DD8AEA6">
          <w:pPr>
            <w:pStyle w:val="Header"/>
            <w:ind w:left="-115"/>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46F0"/>
    <w:multiLevelType w:val="hybridMultilevel"/>
    <w:tmpl w:val="6D5E52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9227D30"/>
    <w:multiLevelType w:val="hybridMultilevel"/>
    <w:tmpl w:val="2CDEAA70"/>
    <w:lvl w:ilvl="0" w:tplc="FFFFFFFF">
      <w:start w:val="1"/>
      <w:numFmt w:val="bullet"/>
      <w:lvlText w:val=""/>
      <w:lvlJc w:val="left"/>
      <w:pPr>
        <w:ind w:left="785" w:hanging="360"/>
      </w:pPr>
      <w:rPr>
        <w:rFonts w:ascii="Symbol" w:hAnsi="Symbol" w:hint="default"/>
      </w:rPr>
    </w:lvl>
    <w:lvl w:ilvl="1" w:tplc="0809001B">
      <w:start w:val="1"/>
      <w:numFmt w:val="lowerRoman"/>
      <w:lvlText w:val="%2."/>
      <w:lvlJc w:val="right"/>
      <w:pPr>
        <w:ind w:left="720" w:hanging="360"/>
      </w:p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0E905008"/>
    <w:multiLevelType w:val="hybridMultilevel"/>
    <w:tmpl w:val="3408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BE34E8"/>
    <w:multiLevelType w:val="hybridMultilevel"/>
    <w:tmpl w:val="3A842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720765"/>
    <w:multiLevelType w:val="hybridMultilevel"/>
    <w:tmpl w:val="1946F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5A51AF7"/>
    <w:multiLevelType w:val="hybridMultilevel"/>
    <w:tmpl w:val="AF5042C6"/>
    <w:lvl w:ilvl="0" w:tplc="3C142DA0">
      <w:start w:val="1"/>
      <w:numFmt w:val="bullet"/>
      <w:lvlText w:val="-"/>
      <w:lvlJc w:val="left"/>
      <w:pPr>
        <w:ind w:left="720" w:hanging="360"/>
      </w:pPr>
      <w:rPr>
        <w:rFonts w:ascii="Calibri" w:hAnsi="Calibri" w:hint="default"/>
      </w:rPr>
    </w:lvl>
    <w:lvl w:ilvl="1" w:tplc="B7B2C1CC">
      <w:start w:val="1"/>
      <w:numFmt w:val="bullet"/>
      <w:lvlText w:val="o"/>
      <w:lvlJc w:val="left"/>
      <w:pPr>
        <w:ind w:left="1440" w:hanging="360"/>
      </w:pPr>
      <w:rPr>
        <w:rFonts w:ascii="Courier New" w:hAnsi="Courier New" w:hint="default"/>
      </w:rPr>
    </w:lvl>
    <w:lvl w:ilvl="2" w:tplc="4670BBEC">
      <w:start w:val="1"/>
      <w:numFmt w:val="bullet"/>
      <w:lvlText w:val=""/>
      <w:lvlJc w:val="left"/>
      <w:pPr>
        <w:ind w:left="2160" w:hanging="360"/>
      </w:pPr>
      <w:rPr>
        <w:rFonts w:ascii="Wingdings" w:hAnsi="Wingdings" w:hint="default"/>
      </w:rPr>
    </w:lvl>
    <w:lvl w:ilvl="3" w:tplc="04F2F41A">
      <w:start w:val="1"/>
      <w:numFmt w:val="bullet"/>
      <w:lvlText w:val=""/>
      <w:lvlJc w:val="left"/>
      <w:pPr>
        <w:ind w:left="2880" w:hanging="360"/>
      </w:pPr>
      <w:rPr>
        <w:rFonts w:ascii="Symbol" w:hAnsi="Symbol" w:hint="default"/>
      </w:rPr>
    </w:lvl>
    <w:lvl w:ilvl="4" w:tplc="29062304">
      <w:start w:val="1"/>
      <w:numFmt w:val="bullet"/>
      <w:lvlText w:val="o"/>
      <w:lvlJc w:val="left"/>
      <w:pPr>
        <w:ind w:left="3600" w:hanging="360"/>
      </w:pPr>
      <w:rPr>
        <w:rFonts w:ascii="Courier New" w:hAnsi="Courier New" w:hint="default"/>
      </w:rPr>
    </w:lvl>
    <w:lvl w:ilvl="5" w:tplc="B8E602E6">
      <w:start w:val="1"/>
      <w:numFmt w:val="bullet"/>
      <w:lvlText w:val=""/>
      <w:lvlJc w:val="left"/>
      <w:pPr>
        <w:ind w:left="4320" w:hanging="360"/>
      </w:pPr>
      <w:rPr>
        <w:rFonts w:ascii="Wingdings" w:hAnsi="Wingdings" w:hint="default"/>
      </w:rPr>
    </w:lvl>
    <w:lvl w:ilvl="6" w:tplc="6FD6D436">
      <w:start w:val="1"/>
      <w:numFmt w:val="bullet"/>
      <w:lvlText w:val=""/>
      <w:lvlJc w:val="left"/>
      <w:pPr>
        <w:ind w:left="5040" w:hanging="360"/>
      </w:pPr>
      <w:rPr>
        <w:rFonts w:ascii="Symbol" w:hAnsi="Symbol" w:hint="default"/>
      </w:rPr>
    </w:lvl>
    <w:lvl w:ilvl="7" w:tplc="CAF0FE4C">
      <w:start w:val="1"/>
      <w:numFmt w:val="bullet"/>
      <w:lvlText w:val="o"/>
      <w:lvlJc w:val="left"/>
      <w:pPr>
        <w:ind w:left="5760" w:hanging="360"/>
      </w:pPr>
      <w:rPr>
        <w:rFonts w:ascii="Courier New" w:hAnsi="Courier New" w:hint="default"/>
      </w:rPr>
    </w:lvl>
    <w:lvl w:ilvl="8" w:tplc="5854065E">
      <w:start w:val="1"/>
      <w:numFmt w:val="bullet"/>
      <w:lvlText w:val=""/>
      <w:lvlJc w:val="left"/>
      <w:pPr>
        <w:ind w:left="6480" w:hanging="360"/>
      </w:pPr>
      <w:rPr>
        <w:rFonts w:ascii="Wingdings" w:hAnsi="Wingdings" w:hint="default"/>
      </w:rPr>
    </w:lvl>
  </w:abstractNum>
  <w:abstractNum w:abstractNumId="19" w15:restartNumberingAfterBreak="0">
    <w:nsid w:val="16351ECB"/>
    <w:multiLevelType w:val="hybridMultilevel"/>
    <w:tmpl w:val="FC92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4C5CCB"/>
    <w:multiLevelType w:val="hybridMultilevel"/>
    <w:tmpl w:val="7A8CB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2B35BF"/>
    <w:multiLevelType w:val="hybridMultilevel"/>
    <w:tmpl w:val="4A563D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CC3584"/>
    <w:multiLevelType w:val="multilevel"/>
    <w:tmpl w:val="EFAAD51A"/>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15:restartNumberingAfterBreak="0">
    <w:nsid w:val="2ED7580F"/>
    <w:multiLevelType w:val="hybridMultilevel"/>
    <w:tmpl w:val="CA801352"/>
    <w:lvl w:ilvl="0" w:tplc="724C4D24">
      <w:start w:val="1"/>
      <w:numFmt w:val="bullet"/>
      <w:lvlText w:val="-"/>
      <w:lvlJc w:val="left"/>
      <w:pPr>
        <w:ind w:left="720" w:hanging="360"/>
      </w:pPr>
      <w:rPr>
        <w:rFonts w:ascii="Aptos" w:hAnsi="Aptos" w:hint="default"/>
      </w:rPr>
    </w:lvl>
    <w:lvl w:ilvl="1" w:tplc="E17C1784">
      <w:start w:val="1"/>
      <w:numFmt w:val="bullet"/>
      <w:lvlText w:val="o"/>
      <w:lvlJc w:val="left"/>
      <w:pPr>
        <w:ind w:left="1440" w:hanging="360"/>
      </w:pPr>
      <w:rPr>
        <w:rFonts w:ascii="Courier New" w:hAnsi="Courier New" w:hint="default"/>
      </w:rPr>
    </w:lvl>
    <w:lvl w:ilvl="2" w:tplc="78D26F4A">
      <w:start w:val="1"/>
      <w:numFmt w:val="bullet"/>
      <w:lvlText w:val=""/>
      <w:lvlJc w:val="left"/>
      <w:pPr>
        <w:ind w:left="2160" w:hanging="360"/>
      </w:pPr>
      <w:rPr>
        <w:rFonts w:ascii="Wingdings" w:hAnsi="Wingdings" w:hint="default"/>
      </w:rPr>
    </w:lvl>
    <w:lvl w:ilvl="3" w:tplc="03648FB6">
      <w:start w:val="1"/>
      <w:numFmt w:val="bullet"/>
      <w:lvlText w:val=""/>
      <w:lvlJc w:val="left"/>
      <w:pPr>
        <w:ind w:left="2880" w:hanging="360"/>
      </w:pPr>
      <w:rPr>
        <w:rFonts w:ascii="Symbol" w:hAnsi="Symbol" w:hint="default"/>
      </w:rPr>
    </w:lvl>
    <w:lvl w:ilvl="4" w:tplc="A640771A">
      <w:start w:val="1"/>
      <w:numFmt w:val="bullet"/>
      <w:lvlText w:val="o"/>
      <w:lvlJc w:val="left"/>
      <w:pPr>
        <w:ind w:left="3600" w:hanging="360"/>
      </w:pPr>
      <w:rPr>
        <w:rFonts w:ascii="Courier New" w:hAnsi="Courier New" w:hint="default"/>
      </w:rPr>
    </w:lvl>
    <w:lvl w:ilvl="5" w:tplc="8E5E56B6">
      <w:start w:val="1"/>
      <w:numFmt w:val="bullet"/>
      <w:lvlText w:val=""/>
      <w:lvlJc w:val="left"/>
      <w:pPr>
        <w:ind w:left="4320" w:hanging="360"/>
      </w:pPr>
      <w:rPr>
        <w:rFonts w:ascii="Wingdings" w:hAnsi="Wingdings" w:hint="default"/>
      </w:rPr>
    </w:lvl>
    <w:lvl w:ilvl="6" w:tplc="EAA8BA5C">
      <w:start w:val="1"/>
      <w:numFmt w:val="bullet"/>
      <w:lvlText w:val=""/>
      <w:lvlJc w:val="left"/>
      <w:pPr>
        <w:ind w:left="5040" w:hanging="360"/>
      </w:pPr>
      <w:rPr>
        <w:rFonts w:ascii="Symbol" w:hAnsi="Symbol" w:hint="default"/>
      </w:rPr>
    </w:lvl>
    <w:lvl w:ilvl="7" w:tplc="E9B69402">
      <w:start w:val="1"/>
      <w:numFmt w:val="bullet"/>
      <w:lvlText w:val="o"/>
      <w:lvlJc w:val="left"/>
      <w:pPr>
        <w:ind w:left="5760" w:hanging="360"/>
      </w:pPr>
      <w:rPr>
        <w:rFonts w:ascii="Courier New" w:hAnsi="Courier New" w:hint="default"/>
      </w:rPr>
    </w:lvl>
    <w:lvl w:ilvl="8" w:tplc="A65EFD2A">
      <w:start w:val="1"/>
      <w:numFmt w:val="bullet"/>
      <w:lvlText w:val=""/>
      <w:lvlJc w:val="left"/>
      <w:pPr>
        <w:ind w:left="6480" w:hanging="360"/>
      </w:pPr>
      <w:rPr>
        <w:rFonts w:ascii="Wingdings" w:hAnsi="Wingdings" w:hint="default"/>
      </w:rPr>
    </w:lvl>
  </w:abstractNum>
  <w:abstractNum w:abstractNumId="27" w15:restartNumberingAfterBreak="0">
    <w:nsid w:val="2FDC52CA"/>
    <w:multiLevelType w:val="hybridMultilevel"/>
    <w:tmpl w:val="915AC382"/>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344EB085"/>
    <w:multiLevelType w:val="hybridMultilevel"/>
    <w:tmpl w:val="4ECA297C"/>
    <w:lvl w:ilvl="0" w:tplc="D9A63D56">
      <w:start w:val="1"/>
      <w:numFmt w:val="bullet"/>
      <w:lvlText w:val=""/>
      <w:lvlJc w:val="left"/>
      <w:pPr>
        <w:ind w:left="720" w:hanging="360"/>
      </w:pPr>
      <w:rPr>
        <w:rFonts w:ascii="Symbol" w:hAnsi="Symbol" w:hint="default"/>
      </w:rPr>
    </w:lvl>
    <w:lvl w:ilvl="1" w:tplc="87F8CDB0">
      <w:start w:val="1"/>
      <w:numFmt w:val="bullet"/>
      <w:lvlText w:val="o"/>
      <w:lvlJc w:val="left"/>
      <w:pPr>
        <w:ind w:left="1440" w:hanging="360"/>
      </w:pPr>
      <w:rPr>
        <w:rFonts w:ascii="Courier New" w:hAnsi="Courier New" w:hint="default"/>
      </w:rPr>
    </w:lvl>
    <w:lvl w:ilvl="2" w:tplc="88024290">
      <w:start w:val="1"/>
      <w:numFmt w:val="bullet"/>
      <w:lvlText w:val=""/>
      <w:lvlJc w:val="left"/>
      <w:pPr>
        <w:ind w:left="2160" w:hanging="360"/>
      </w:pPr>
      <w:rPr>
        <w:rFonts w:ascii="Wingdings" w:hAnsi="Wingdings" w:hint="default"/>
      </w:rPr>
    </w:lvl>
    <w:lvl w:ilvl="3" w:tplc="DD8CFFD2">
      <w:start w:val="1"/>
      <w:numFmt w:val="bullet"/>
      <w:lvlText w:val=""/>
      <w:lvlJc w:val="left"/>
      <w:pPr>
        <w:ind w:left="2880" w:hanging="360"/>
      </w:pPr>
      <w:rPr>
        <w:rFonts w:ascii="Symbol" w:hAnsi="Symbol" w:hint="default"/>
      </w:rPr>
    </w:lvl>
    <w:lvl w:ilvl="4" w:tplc="DD5CC5FA">
      <w:start w:val="1"/>
      <w:numFmt w:val="bullet"/>
      <w:lvlText w:val="o"/>
      <w:lvlJc w:val="left"/>
      <w:pPr>
        <w:ind w:left="3600" w:hanging="360"/>
      </w:pPr>
      <w:rPr>
        <w:rFonts w:ascii="Courier New" w:hAnsi="Courier New" w:hint="default"/>
      </w:rPr>
    </w:lvl>
    <w:lvl w:ilvl="5" w:tplc="A62A2E20">
      <w:start w:val="1"/>
      <w:numFmt w:val="bullet"/>
      <w:lvlText w:val=""/>
      <w:lvlJc w:val="left"/>
      <w:pPr>
        <w:ind w:left="4320" w:hanging="360"/>
      </w:pPr>
      <w:rPr>
        <w:rFonts w:ascii="Wingdings" w:hAnsi="Wingdings" w:hint="default"/>
      </w:rPr>
    </w:lvl>
    <w:lvl w:ilvl="6" w:tplc="0666DEA0">
      <w:start w:val="1"/>
      <w:numFmt w:val="bullet"/>
      <w:lvlText w:val=""/>
      <w:lvlJc w:val="left"/>
      <w:pPr>
        <w:ind w:left="5040" w:hanging="360"/>
      </w:pPr>
      <w:rPr>
        <w:rFonts w:ascii="Symbol" w:hAnsi="Symbol" w:hint="default"/>
      </w:rPr>
    </w:lvl>
    <w:lvl w:ilvl="7" w:tplc="2130A1D8">
      <w:start w:val="1"/>
      <w:numFmt w:val="bullet"/>
      <w:lvlText w:val="o"/>
      <w:lvlJc w:val="left"/>
      <w:pPr>
        <w:ind w:left="5760" w:hanging="360"/>
      </w:pPr>
      <w:rPr>
        <w:rFonts w:ascii="Courier New" w:hAnsi="Courier New" w:hint="default"/>
      </w:rPr>
    </w:lvl>
    <w:lvl w:ilvl="8" w:tplc="7CDC654C">
      <w:start w:val="1"/>
      <w:numFmt w:val="bullet"/>
      <w:lvlText w:val=""/>
      <w:lvlJc w:val="left"/>
      <w:pPr>
        <w:ind w:left="6480" w:hanging="360"/>
      </w:pPr>
      <w:rPr>
        <w:rFonts w:ascii="Wingdings" w:hAnsi="Wingdings" w:hint="default"/>
      </w:rPr>
    </w:lvl>
  </w:abstractNum>
  <w:abstractNum w:abstractNumId="29" w15:restartNumberingAfterBreak="0">
    <w:nsid w:val="3752FAB7"/>
    <w:multiLevelType w:val="hybridMultilevel"/>
    <w:tmpl w:val="51AA6B4A"/>
    <w:lvl w:ilvl="0" w:tplc="5CA82F18">
      <w:start w:val="1"/>
      <w:numFmt w:val="bullet"/>
      <w:lvlText w:val="-"/>
      <w:lvlJc w:val="left"/>
      <w:pPr>
        <w:ind w:left="720" w:hanging="360"/>
      </w:pPr>
      <w:rPr>
        <w:rFonts w:ascii="Calibri" w:hAnsi="Calibri" w:hint="default"/>
      </w:rPr>
    </w:lvl>
    <w:lvl w:ilvl="1" w:tplc="38603EDC">
      <w:start w:val="1"/>
      <w:numFmt w:val="bullet"/>
      <w:lvlText w:val="o"/>
      <w:lvlJc w:val="left"/>
      <w:pPr>
        <w:ind w:left="1440" w:hanging="360"/>
      </w:pPr>
      <w:rPr>
        <w:rFonts w:ascii="Courier New" w:hAnsi="Courier New" w:hint="default"/>
      </w:rPr>
    </w:lvl>
    <w:lvl w:ilvl="2" w:tplc="FBA69648">
      <w:start w:val="1"/>
      <w:numFmt w:val="bullet"/>
      <w:lvlText w:val=""/>
      <w:lvlJc w:val="left"/>
      <w:pPr>
        <w:ind w:left="2160" w:hanging="360"/>
      </w:pPr>
      <w:rPr>
        <w:rFonts w:ascii="Wingdings" w:hAnsi="Wingdings" w:hint="default"/>
      </w:rPr>
    </w:lvl>
    <w:lvl w:ilvl="3" w:tplc="CA76C530">
      <w:start w:val="1"/>
      <w:numFmt w:val="bullet"/>
      <w:lvlText w:val=""/>
      <w:lvlJc w:val="left"/>
      <w:pPr>
        <w:ind w:left="2880" w:hanging="360"/>
      </w:pPr>
      <w:rPr>
        <w:rFonts w:ascii="Symbol" w:hAnsi="Symbol" w:hint="default"/>
      </w:rPr>
    </w:lvl>
    <w:lvl w:ilvl="4" w:tplc="51EC3DF6">
      <w:start w:val="1"/>
      <w:numFmt w:val="bullet"/>
      <w:lvlText w:val="o"/>
      <w:lvlJc w:val="left"/>
      <w:pPr>
        <w:ind w:left="3600" w:hanging="360"/>
      </w:pPr>
      <w:rPr>
        <w:rFonts w:ascii="Courier New" w:hAnsi="Courier New" w:hint="default"/>
      </w:rPr>
    </w:lvl>
    <w:lvl w:ilvl="5" w:tplc="6C72ABAA">
      <w:start w:val="1"/>
      <w:numFmt w:val="bullet"/>
      <w:lvlText w:val=""/>
      <w:lvlJc w:val="left"/>
      <w:pPr>
        <w:ind w:left="4320" w:hanging="360"/>
      </w:pPr>
      <w:rPr>
        <w:rFonts w:ascii="Wingdings" w:hAnsi="Wingdings" w:hint="default"/>
      </w:rPr>
    </w:lvl>
    <w:lvl w:ilvl="6" w:tplc="0584D508">
      <w:start w:val="1"/>
      <w:numFmt w:val="bullet"/>
      <w:lvlText w:val=""/>
      <w:lvlJc w:val="left"/>
      <w:pPr>
        <w:ind w:left="5040" w:hanging="360"/>
      </w:pPr>
      <w:rPr>
        <w:rFonts w:ascii="Symbol" w:hAnsi="Symbol" w:hint="default"/>
      </w:rPr>
    </w:lvl>
    <w:lvl w:ilvl="7" w:tplc="3692D488">
      <w:start w:val="1"/>
      <w:numFmt w:val="bullet"/>
      <w:lvlText w:val="o"/>
      <w:lvlJc w:val="left"/>
      <w:pPr>
        <w:ind w:left="5760" w:hanging="360"/>
      </w:pPr>
      <w:rPr>
        <w:rFonts w:ascii="Courier New" w:hAnsi="Courier New" w:hint="default"/>
      </w:rPr>
    </w:lvl>
    <w:lvl w:ilvl="8" w:tplc="00701548">
      <w:start w:val="1"/>
      <w:numFmt w:val="bullet"/>
      <w:lvlText w:val=""/>
      <w:lvlJc w:val="left"/>
      <w:pPr>
        <w:ind w:left="6480" w:hanging="360"/>
      </w:pPr>
      <w:rPr>
        <w:rFonts w:ascii="Wingdings" w:hAnsi="Wingdings" w:hint="default"/>
      </w:rPr>
    </w:lvl>
  </w:abstractNum>
  <w:abstractNum w:abstractNumId="30" w15:restartNumberingAfterBreak="0">
    <w:nsid w:val="3A836382"/>
    <w:multiLevelType w:val="hybridMultilevel"/>
    <w:tmpl w:val="C84E072C"/>
    <w:lvl w:ilvl="0" w:tplc="66BEEA2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BD4F55"/>
    <w:multiLevelType w:val="multilevel"/>
    <w:tmpl w:val="5A7E27B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3B95614"/>
    <w:multiLevelType w:val="hybridMultilevel"/>
    <w:tmpl w:val="E4FC33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4" w15:restartNumberingAfterBreak="0">
    <w:nsid w:val="44A07336"/>
    <w:multiLevelType w:val="hybridMultilevel"/>
    <w:tmpl w:val="7C6A65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6" w15:restartNumberingAfterBreak="0">
    <w:nsid w:val="4A3639AF"/>
    <w:multiLevelType w:val="hybridMultilevel"/>
    <w:tmpl w:val="6078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704A4C3"/>
    <w:multiLevelType w:val="hybridMultilevel"/>
    <w:tmpl w:val="B616ECC4"/>
    <w:lvl w:ilvl="0" w:tplc="A0349782">
      <w:start w:val="1"/>
      <w:numFmt w:val="bullet"/>
      <w:lvlText w:val="-"/>
      <w:lvlJc w:val="left"/>
      <w:pPr>
        <w:ind w:left="720" w:hanging="360"/>
      </w:pPr>
      <w:rPr>
        <w:rFonts w:ascii="Calibri" w:hAnsi="Calibri" w:hint="default"/>
      </w:rPr>
    </w:lvl>
    <w:lvl w:ilvl="1" w:tplc="CF184F74">
      <w:start w:val="1"/>
      <w:numFmt w:val="bullet"/>
      <w:lvlText w:val="o"/>
      <w:lvlJc w:val="left"/>
      <w:pPr>
        <w:ind w:left="1440" w:hanging="360"/>
      </w:pPr>
      <w:rPr>
        <w:rFonts w:ascii="Courier New" w:hAnsi="Courier New" w:hint="default"/>
      </w:rPr>
    </w:lvl>
    <w:lvl w:ilvl="2" w:tplc="68D061D4">
      <w:start w:val="1"/>
      <w:numFmt w:val="bullet"/>
      <w:lvlText w:val=""/>
      <w:lvlJc w:val="left"/>
      <w:pPr>
        <w:ind w:left="2160" w:hanging="360"/>
      </w:pPr>
      <w:rPr>
        <w:rFonts w:ascii="Wingdings" w:hAnsi="Wingdings" w:hint="default"/>
      </w:rPr>
    </w:lvl>
    <w:lvl w:ilvl="3" w:tplc="8B20E59E">
      <w:start w:val="1"/>
      <w:numFmt w:val="bullet"/>
      <w:lvlText w:val=""/>
      <w:lvlJc w:val="left"/>
      <w:pPr>
        <w:ind w:left="2880" w:hanging="360"/>
      </w:pPr>
      <w:rPr>
        <w:rFonts w:ascii="Symbol" w:hAnsi="Symbol" w:hint="default"/>
      </w:rPr>
    </w:lvl>
    <w:lvl w:ilvl="4" w:tplc="6298D8B8">
      <w:start w:val="1"/>
      <w:numFmt w:val="bullet"/>
      <w:lvlText w:val="o"/>
      <w:lvlJc w:val="left"/>
      <w:pPr>
        <w:ind w:left="3600" w:hanging="360"/>
      </w:pPr>
      <w:rPr>
        <w:rFonts w:ascii="Courier New" w:hAnsi="Courier New" w:hint="default"/>
      </w:rPr>
    </w:lvl>
    <w:lvl w:ilvl="5" w:tplc="9E62A812">
      <w:start w:val="1"/>
      <w:numFmt w:val="bullet"/>
      <w:lvlText w:val=""/>
      <w:lvlJc w:val="left"/>
      <w:pPr>
        <w:ind w:left="4320" w:hanging="360"/>
      </w:pPr>
      <w:rPr>
        <w:rFonts w:ascii="Wingdings" w:hAnsi="Wingdings" w:hint="default"/>
      </w:rPr>
    </w:lvl>
    <w:lvl w:ilvl="6" w:tplc="510A4938">
      <w:start w:val="1"/>
      <w:numFmt w:val="bullet"/>
      <w:lvlText w:val=""/>
      <w:lvlJc w:val="left"/>
      <w:pPr>
        <w:ind w:left="5040" w:hanging="360"/>
      </w:pPr>
      <w:rPr>
        <w:rFonts w:ascii="Symbol" w:hAnsi="Symbol" w:hint="default"/>
      </w:rPr>
    </w:lvl>
    <w:lvl w:ilvl="7" w:tplc="5E08EB36">
      <w:start w:val="1"/>
      <w:numFmt w:val="bullet"/>
      <w:lvlText w:val="o"/>
      <w:lvlJc w:val="left"/>
      <w:pPr>
        <w:ind w:left="5760" w:hanging="360"/>
      </w:pPr>
      <w:rPr>
        <w:rFonts w:ascii="Courier New" w:hAnsi="Courier New" w:hint="default"/>
      </w:rPr>
    </w:lvl>
    <w:lvl w:ilvl="8" w:tplc="1D1E8218">
      <w:start w:val="1"/>
      <w:numFmt w:val="bullet"/>
      <w:lvlText w:val=""/>
      <w:lvlJc w:val="left"/>
      <w:pPr>
        <w:ind w:left="6480" w:hanging="360"/>
      </w:pPr>
      <w:rPr>
        <w:rFonts w:ascii="Wingdings" w:hAnsi="Wingdings" w:hint="default"/>
      </w:rPr>
    </w:lvl>
  </w:abstractNum>
  <w:abstractNum w:abstractNumId="3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AC27EEC"/>
    <w:multiLevelType w:val="hybridMultilevel"/>
    <w:tmpl w:val="882A5464"/>
    <w:lvl w:ilvl="0" w:tplc="65CCC2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276BAC"/>
    <w:multiLevelType w:val="hybridMultilevel"/>
    <w:tmpl w:val="CDEA3BA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3"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6" w15:restartNumberingAfterBreak="0">
    <w:nsid w:val="68750B08"/>
    <w:multiLevelType w:val="hybridMultilevel"/>
    <w:tmpl w:val="A7B2E2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997CB3"/>
    <w:multiLevelType w:val="hybridMultilevel"/>
    <w:tmpl w:val="5294732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0" w15:restartNumberingAfterBreak="0">
    <w:nsid w:val="7FE84C00"/>
    <w:multiLevelType w:val="hybridMultilevel"/>
    <w:tmpl w:val="CCD0B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9716702">
    <w:abstractNumId w:val="39"/>
  </w:num>
  <w:num w:numId="2" w16cid:durableId="1595244151">
    <w:abstractNumId w:val="47"/>
  </w:num>
  <w:num w:numId="3" w16cid:durableId="368646558">
    <w:abstractNumId w:val="23"/>
  </w:num>
  <w:num w:numId="4" w16cid:durableId="534393170">
    <w:abstractNumId w:val="44"/>
  </w:num>
  <w:num w:numId="5" w16cid:durableId="609512517">
    <w:abstractNumId w:val="49"/>
  </w:num>
  <w:num w:numId="6" w16cid:durableId="1428035579">
    <w:abstractNumId w:val="25"/>
  </w:num>
  <w:num w:numId="7" w16cid:durableId="46489587">
    <w:abstractNumId w:val="31"/>
  </w:num>
  <w:num w:numId="8" w16cid:durableId="1052071124">
    <w:abstractNumId w:val="28"/>
  </w:num>
  <w:num w:numId="9" w16cid:durableId="1771581146">
    <w:abstractNumId w:val="14"/>
  </w:num>
  <w:num w:numId="10" w16cid:durableId="89206801">
    <w:abstractNumId w:val="36"/>
  </w:num>
  <w:num w:numId="11" w16cid:durableId="1558392490">
    <w:abstractNumId w:val="48"/>
  </w:num>
  <w:num w:numId="12" w16cid:durableId="732392703">
    <w:abstractNumId w:val="27"/>
  </w:num>
  <w:num w:numId="13" w16cid:durableId="1108505914">
    <w:abstractNumId w:val="38"/>
  </w:num>
  <w:num w:numId="14" w16cid:durableId="1215891292">
    <w:abstractNumId w:val="29"/>
  </w:num>
  <w:num w:numId="15" w16cid:durableId="53815730">
    <w:abstractNumId w:val="18"/>
  </w:num>
  <w:num w:numId="16" w16cid:durableId="987441700">
    <w:abstractNumId w:val="47"/>
    <w:lvlOverride w:ilvl="0">
      <w:startOverride w:val="1"/>
    </w:lvlOverride>
  </w:num>
  <w:num w:numId="17" w16cid:durableId="1499422565">
    <w:abstractNumId w:val="47"/>
    <w:lvlOverride w:ilvl="0">
      <w:startOverride w:val="1"/>
    </w:lvlOverride>
  </w:num>
  <w:num w:numId="18" w16cid:durableId="2069916214">
    <w:abstractNumId w:val="47"/>
    <w:lvlOverride w:ilvl="0">
      <w:startOverride w:val="1"/>
    </w:lvlOverride>
  </w:num>
  <w:num w:numId="19" w16cid:durableId="1714303981">
    <w:abstractNumId w:val="47"/>
    <w:lvlOverride w:ilvl="0">
      <w:startOverride w:val="1"/>
    </w:lvlOverride>
  </w:num>
  <w:num w:numId="20" w16cid:durableId="1383334273">
    <w:abstractNumId w:val="47"/>
    <w:lvlOverride w:ilvl="0">
      <w:startOverride w:val="1"/>
    </w:lvlOverride>
  </w:num>
  <w:num w:numId="21" w16cid:durableId="1773280767">
    <w:abstractNumId w:val="9"/>
  </w:num>
  <w:num w:numId="22" w16cid:durableId="25370262">
    <w:abstractNumId w:val="7"/>
  </w:num>
  <w:num w:numId="23" w16cid:durableId="631717178">
    <w:abstractNumId w:val="6"/>
  </w:num>
  <w:num w:numId="24" w16cid:durableId="229852498">
    <w:abstractNumId w:val="5"/>
  </w:num>
  <w:num w:numId="25" w16cid:durableId="619150223">
    <w:abstractNumId w:val="4"/>
  </w:num>
  <w:num w:numId="26" w16cid:durableId="1727877967">
    <w:abstractNumId w:val="8"/>
  </w:num>
  <w:num w:numId="27" w16cid:durableId="1039671961">
    <w:abstractNumId w:val="3"/>
  </w:num>
  <w:num w:numId="28" w16cid:durableId="1876431772">
    <w:abstractNumId w:val="2"/>
  </w:num>
  <w:num w:numId="29" w16cid:durableId="1799951448">
    <w:abstractNumId w:val="1"/>
  </w:num>
  <w:num w:numId="30" w16cid:durableId="960921361">
    <w:abstractNumId w:val="0"/>
  </w:num>
  <w:num w:numId="31" w16cid:durableId="1373924523">
    <w:abstractNumId w:val="23"/>
    <w:lvlOverride w:ilvl="0">
      <w:startOverride w:val="1"/>
    </w:lvlOverride>
  </w:num>
  <w:num w:numId="32" w16cid:durableId="1752120768">
    <w:abstractNumId w:val="40"/>
  </w:num>
  <w:num w:numId="33" w16cid:durableId="527569269">
    <w:abstractNumId w:val="16"/>
  </w:num>
  <w:num w:numId="34" w16cid:durableId="341933083">
    <w:abstractNumId w:val="10"/>
  </w:num>
  <w:num w:numId="35" w16cid:durableId="1373649310">
    <w:abstractNumId w:val="15"/>
  </w:num>
  <w:num w:numId="36" w16cid:durableId="1111901251">
    <w:abstractNumId w:val="50"/>
  </w:num>
  <w:num w:numId="37" w16cid:durableId="1466505542">
    <w:abstractNumId w:val="21"/>
  </w:num>
  <w:num w:numId="38" w16cid:durableId="724528389">
    <w:abstractNumId w:val="26"/>
  </w:num>
  <w:num w:numId="39" w16cid:durableId="349962870">
    <w:abstractNumId w:val="19"/>
  </w:num>
  <w:num w:numId="40" w16cid:durableId="1172989639">
    <w:abstractNumId w:val="30"/>
  </w:num>
  <w:num w:numId="41" w16cid:durableId="46801242">
    <w:abstractNumId w:val="34"/>
  </w:num>
  <w:num w:numId="42" w16cid:durableId="1917207597">
    <w:abstractNumId w:val="24"/>
  </w:num>
  <w:num w:numId="43" w16cid:durableId="294605908">
    <w:abstractNumId w:val="46"/>
  </w:num>
  <w:num w:numId="44" w16cid:durableId="499740974">
    <w:abstractNumId w:val="32"/>
  </w:num>
  <w:num w:numId="45" w16cid:durableId="1911311890">
    <w:abstractNumId w:val="42"/>
  </w:num>
  <w:num w:numId="46" w16cid:durableId="1947929630">
    <w:abstractNumId w:val="12"/>
  </w:num>
  <w:num w:numId="47" w16cid:durableId="23135988">
    <w:abstractNumId w:val="11"/>
  </w:num>
  <w:num w:numId="48" w16cid:durableId="1591038059">
    <w:abstractNumId w:val="22"/>
  </w:num>
  <w:num w:numId="49" w16cid:durableId="1838769205">
    <w:abstractNumId w:val="33"/>
  </w:num>
  <w:num w:numId="50" w16cid:durableId="383212432">
    <w:abstractNumId w:val="35"/>
  </w:num>
  <w:num w:numId="51" w16cid:durableId="1866097095">
    <w:abstractNumId w:val="35"/>
  </w:num>
  <w:num w:numId="52" w16cid:durableId="1764764686">
    <w:abstractNumId w:val="17"/>
  </w:num>
  <w:num w:numId="53" w16cid:durableId="1557397753">
    <w:abstractNumId w:val="20"/>
  </w:num>
  <w:num w:numId="54" w16cid:durableId="216165474">
    <w:abstractNumId w:val="13"/>
  </w:num>
  <w:num w:numId="55" w16cid:durableId="860439472">
    <w:abstractNumId w:val="45"/>
  </w:num>
  <w:num w:numId="56" w16cid:durableId="1853950209">
    <w:abstractNumId w:val="25"/>
  </w:num>
  <w:num w:numId="57" w16cid:durableId="199827830">
    <w:abstractNumId w:val="25"/>
  </w:num>
  <w:num w:numId="58" w16cid:durableId="1410688976">
    <w:abstractNumId w:val="41"/>
  </w:num>
  <w:num w:numId="59" w16cid:durableId="1912151679">
    <w:abstractNumId w:val="39"/>
  </w:num>
  <w:num w:numId="60" w16cid:durableId="414740202">
    <w:abstractNumId w:val="37"/>
  </w:num>
  <w:num w:numId="61" w16cid:durableId="1311178778">
    <w:abstractNumId w:val="44"/>
  </w:num>
  <w:num w:numId="62" w16cid:durableId="1924795201">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D76"/>
    <w:rsid w:val="000053F8"/>
    <w:rsid w:val="00006515"/>
    <w:rsid w:val="0000797C"/>
    <w:rsid w:val="000147E9"/>
    <w:rsid w:val="0001797E"/>
    <w:rsid w:val="00017D61"/>
    <w:rsid w:val="00021FA2"/>
    <w:rsid w:val="00023335"/>
    <w:rsid w:val="0002373B"/>
    <w:rsid w:val="00024879"/>
    <w:rsid w:val="00024D0A"/>
    <w:rsid w:val="00024E1C"/>
    <w:rsid w:val="00030D61"/>
    <w:rsid w:val="00031C61"/>
    <w:rsid w:val="00032E2E"/>
    <w:rsid w:val="000343E6"/>
    <w:rsid w:val="0003452E"/>
    <w:rsid w:val="00034F75"/>
    <w:rsid w:val="00036EA9"/>
    <w:rsid w:val="00040F4B"/>
    <w:rsid w:val="00042C7B"/>
    <w:rsid w:val="00042F0D"/>
    <w:rsid w:val="000455CC"/>
    <w:rsid w:val="00046512"/>
    <w:rsid w:val="000525F6"/>
    <w:rsid w:val="0005388D"/>
    <w:rsid w:val="00060A09"/>
    <w:rsid w:val="00061A95"/>
    <w:rsid w:val="000653DD"/>
    <w:rsid w:val="00070065"/>
    <w:rsid w:val="00071BD2"/>
    <w:rsid w:val="00071C6B"/>
    <w:rsid w:val="000722E4"/>
    <w:rsid w:val="00074D10"/>
    <w:rsid w:val="0007747A"/>
    <w:rsid w:val="000902F4"/>
    <w:rsid w:val="000918F2"/>
    <w:rsid w:val="00093C37"/>
    <w:rsid w:val="00093F3B"/>
    <w:rsid w:val="00096014"/>
    <w:rsid w:val="000A253E"/>
    <w:rsid w:val="000A4FEE"/>
    <w:rsid w:val="000A6732"/>
    <w:rsid w:val="000A7087"/>
    <w:rsid w:val="000B13AE"/>
    <w:rsid w:val="000B2A27"/>
    <w:rsid w:val="000B2C7F"/>
    <w:rsid w:val="000B3A7C"/>
    <w:rsid w:val="000B5939"/>
    <w:rsid w:val="000B74C7"/>
    <w:rsid w:val="000C201C"/>
    <w:rsid w:val="000C25AC"/>
    <w:rsid w:val="000C2770"/>
    <w:rsid w:val="000C44DC"/>
    <w:rsid w:val="000D00FB"/>
    <w:rsid w:val="000D2F67"/>
    <w:rsid w:val="000E0803"/>
    <w:rsid w:val="000E0DC8"/>
    <w:rsid w:val="000E1AB0"/>
    <w:rsid w:val="000E2A17"/>
    <w:rsid w:val="000E67EE"/>
    <w:rsid w:val="000E7288"/>
    <w:rsid w:val="000F4FDB"/>
    <w:rsid w:val="000F63D2"/>
    <w:rsid w:val="000F7461"/>
    <w:rsid w:val="00100BDB"/>
    <w:rsid w:val="00102F99"/>
    <w:rsid w:val="001050B5"/>
    <w:rsid w:val="00107122"/>
    <w:rsid w:val="0011043A"/>
    <w:rsid w:val="00111B19"/>
    <w:rsid w:val="00112889"/>
    <w:rsid w:val="001134E7"/>
    <w:rsid w:val="001138D4"/>
    <w:rsid w:val="0011544F"/>
    <w:rsid w:val="001160A2"/>
    <w:rsid w:val="00121290"/>
    <w:rsid w:val="001223B1"/>
    <w:rsid w:val="001261CA"/>
    <w:rsid w:val="0012697A"/>
    <w:rsid w:val="00126D7E"/>
    <w:rsid w:val="001276F5"/>
    <w:rsid w:val="00127EA2"/>
    <w:rsid w:val="001336FF"/>
    <w:rsid w:val="0013609F"/>
    <w:rsid w:val="00136206"/>
    <w:rsid w:val="00137E0A"/>
    <w:rsid w:val="00140286"/>
    <w:rsid w:val="00141A8C"/>
    <w:rsid w:val="001424B8"/>
    <w:rsid w:val="001459A1"/>
    <w:rsid w:val="00146333"/>
    <w:rsid w:val="001471C1"/>
    <w:rsid w:val="001479BA"/>
    <w:rsid w:val="00147C6B"/>
    <w:rsid w:val="00150EA5"/>
    <w:rsid w:val="001537CA"/>
    <w:rsid w:val="001558B1"/>
    <w:rsid w:val="00157BBE"/>
    <w:rsid w:val="00161A8C"/>
    <w:rsid w:val="0016349D"/>
    <w:rsid w:val="00166CCE"/>
    <w:rsid w:val="0016766B"/>
    <w:rsid w:val="0017062A"/>
    <w:rsid w:val="0017169E"/>
    <w:rsid w:val="001735A2"/>
    <w:rsid w:val="00173D4C"/>
    <w:rsid w:val="001764D2"/>
    <w:rsid w:val="00177465"/>
    <w:rsid w:val="00177CF1"/>
    <w:rsid w:val="00190CDB"/>
    <w:rsid w:val="001928F6"/>
    <w:rsid w:val="00197F2A"/>
    <w:rsid w:val="001A01AB"/>
    <w:rsid w:val="001A1595"/>
    <w:rsid w:val="001A19A9"/>
    <w:rsid w:val="001A33FB"/>
    <w:rsid w:val="001A6635"/>
    <w:rsid w:val="001B0EE9"/>
    <w:rsid w:val="001B1B2E"/>
    <w:rsid w:val="001B202A"/>
    <w:rsid w:val="001B2FB6"/>
    <w:rsid w:val="001B43CC"/>
    <w:rsid w:val="001B65B3"/>
    <w:rsid w:val="001C3204"/>
    <w:rsid w:val="001C3C6C"/>
    <w:rsid w:val="001C4448"/>
    <w:rsid w:val="001C4B49"/>
    <w:rsid w:val="001C55A2"/>
    <w:rsid w:val="001C7620"/>
    <w:rsid w:val="001D1C9A"/>
    <w:rsid w:val="001D7202"/>
    <w:rsid w:val="001E5719"/>
    <w:rsid w:val="001E60D6"/>
    <w:rsid w:val="001E76A5"/>
    <w:rsid w:val="001F021F"/>
    <w:rsid w:val="001F2BCF"/>
    <w:rsid w:val="001F332C"/>
    <w:rsid w:val="001F475D"/>
    <w:rsid w:val="001F5596"/>
    <w:rsid w:val="001F55A6"/>
    <w:rsid w:val="001F5CA5"/>
    <w:rsid w:val="001F670E"/>
    <w:rsid w:val="001F7178"/>
    <w:rsid w:val="00203293"/>
    <w:rsid w:val="002046CF"/>
    <w:rsid w:val="002106D1"/>
    <w:rsid w:val="002115A8"/>
    <w:rsid w:val="002124D5"/>
    <w:rsid w:val="00213187"/>
    <w:rsid w:val="002155D0"/>
    <w:rsid w:val="00215762"/>
    <w:rsid w:val="0021741D"/>
    <w:rsid w:val="00222A26"/>
    <w:rsid w:val="0022402B"/>
    <w:rsid w:val="002256CF"/>
    <w:rsid w:val="00225C84"/>
    <w:rsid w:val="002278C9"/>
    <w:rsid w:val="0023166F"/>
    <w:rsid w:val="00231822"/>
    <w:rsid w:val="002332B1"/>
    <w:rsid w:val="002369BC"/>
    <w:rsid w:val="002408EA"/>
    <w:rsid w:val="0024173D"/>
    <w:rsid w:val="002423F9"/>
    <w:rsid w:val="00244E5F"/>
    <w:rsid w:val="00246165"/>
    <w:rsid w:val="00246D9B"/>
    <w:rsid w:val="002476AF"/>
    <w:rsid w:val="002512EC"/>
    <w:rsid w:val="00251B68"/>
    <w:rsid w:val="0025308C"/>
    <w:rsid w:val="002544AD"/>
    <w:rsid w:val="0025603E"/>
    <w:rsid w:val="00256D6D"/>
    <w:rsid w:val="00261EFA"/>
    <w:rsid w:val="0026742E"/>
    <w:rsid w:val="0027570A"/>
    <w:rsid w:val="002767D3"/>
    <w:rsid w:val="002809A5"/>
    <w:rsid w:val="00280CFF"/>
    <w:rsid w:val="002819D7"/>
    <w:rsid w:val="00281FD5"/>
    <w:rsid w:val="00282974"/>
    <w:rsid w:val="00282A1F"/>
    <w:rsid w:val="00287008"/>
    <w:rsid w:val="002910D4"/>
    <w:rsid w:val="00294F60"/>
    <w:rsid w:val="00295CC0"/>
    <w:rsid w:val="002A423B"/>
    <w:rsid w:val="002B15B2"/>
    <w:rsid w:val="002B196B"/>
    <w:rsid w:val="002B1DAE"/>
    <w:rsid w:val="002B34E7"/>
    <w:rsid w:val="002B4F3E"/>
    <w:rsid w:val="002B5ED0"/>
    <w:rsid w:val="002B66B6"/>
    <w:rsid w:val="002C1A7E"/>
    <w:rsid w:val="002C4669"/>
    <w:rsid w:val="002C5E09"/>
    <w:rsid w:val="002C6BD1"/>
    <w:rsid w:val="002D23A1"/>
    <w:rsid w:val="002D3376"/>
    <w:rsid w:val="002D7691"/>
    <w:rsid w:val="002D77C8"/>
    <w:rsid w:val="002E2970"/>
    <w:rsid w:val="002E2AAD"/>
    <w:rsid w:val="002E6D64"/>
    <w:rsid w:val="002F103F"/>
    <w:rsid w:val="002F4167"/>
    <w:rsid w:val="002F5F46"/>
    <w:rsid w:val="002F6D12"/>
    <w:rsid w:val="002F7FB8"/>
    <w:rsid w:val="00300C32"/>
    <w:rsid w:val="0030610C"/>
    <w:rsid w:val="003070DA"/>
    <w:rsid w:val="00310FDA"/>
    <w:rsid w:val="0031143E"/>
    <w:rsid w:val="00311ED0"/>
    <w:rsid w:val="00315089"/>
    <w:rsid w:val="0031613F"/>
    <w:rsid w:val="00316DE5"/>
    <w:rsid w:val="00325353"/>
    <w:rsid w:val="00325DB0"/>
    <w:rsid w:val="00330517"/>
    <w:rsid w:val="00330B32"/>
    <w:rsid w:val="00331545"/>
    <w:rsid w:val="00332C68"/>
    <w:rsid w:val="00333933"/>
    <w:rsid w:val="00333F72"/>
    <w:rsid w:val="00337A61"/>
    <w:rsid w:val="003411FC"/>
    <w:rsid w:val="003415A3"/>
    <w:rsid w:val="00343D00"/>
    <w:rsid w:val="00344D43"/>
    <w:rsid w:val="00345374"/>
    <w:rsid w:val="00347C81"/>
    <w:rsid w:val="003533AA"/>
    <w:rsid w:val="0036104A"/>
    <w:rsid w:val="003620C0"/>
    <w:rsid w:val="00363D4E"/>
    <w:rsid w:val="003648C5"/>
    <w:rsid w:val="00367F50"/>
    <w:rsid w:val="00371735"/>
    <w:rsid w:val="003722FA"/>
    <w:rsid w:val="00373E7F"/>
    <w:rsid w:val="0037415C"/>
    <w:rsid w:val="0037494C"/>
    <w:rsid w:val="00375B0C"/>
    <w:rsid w:val="003765BD"/>
    <w:rsid w:val="00377C02"/>
    <w:rsid w:val="0038308B"/>
    <w:rsid w:val="00386E4C"/>
    <w:rsid w:val="00390BB5"/>
    <w:rsid w:val="00392A4A"/>
    <w:rsid w:val="00393C97"/>
    <w:rsid w:val="00397383"/>
    <w:rsid w:val="00397748"/>
    <w:rsid w:val="003A0B3B"/>
    <w:rsid w:val="003A3A8F"/>
    <w:rsid w:val="003A410D"/>
    <w:rsid w:val="003A5DD0"/>
    <w:rsid w:val="003A6351"/>
    <w:rsid w:val="003A7BCA"/>
    <w:rsid w:val="003B0464"/>
    <w:rsid w:val="003B0606"/>
    <w:rsid w:val="003B10B6"/>
    <w:rsid w:val="003B2ECD"/>
    <w:rsid w:val="003B647B"/>
    <w:rsid w:val="003B6725"/>
    <w:rsid w:val="003B780B"/>
    <w:rsid w:val="003C3226"/>
    <w:rsid w:val="003C3B74"/>
    <w:rsid w:val="003C5FD2"/>
    <w:rsid w:val="003C7AAF"/>
    <w:rsid w:val="003D1C0D"/>
    <w:rsid w:val="003D7BC2"/>
    <w:rsid w:val="003E21BC"/>
    <w:rsid w:val="003E2FD0"/>
    <w:rsid w:val="003E3903"/>
    <w:rsid w:val="003E3F1D"/>
    <w:rsid w:val="003E6741"/>
    <w:rsid w:val="003E6E67"/>
    <w:rsid w:val="003E74E7"/>
    <w:rsid w:val="003E7AFE"/>
    <w:rsid w:val="003E7B1C"/>
    <w:rsid w:val="003F0A04"/>
    <w:rsid w:val="003F1C1C"/>
    <w:rsid w:val="003F242E"/>
    <w:rsid w:val="003F36DF"/>
    <w:rsid w:val="003F4864"/>
    <w:rsid w:val="003F4D3B"/>
    <w:rsid w:val="003F7BA1"/>
    <w:rsid w:val="004005EA"/>
    <w:rsid w:val="00401C03"/>
    <w:rsid w:val="0040586E"/>
    <w:rsid w:val="004075B6"/>
    <w:rsid w:val="00407E61"/>
    <w:rsid w:val="00410A58"/>
    <w:rsid w:val="004175B8"/>
    <w:rsid w:val="00417658"/>
    <w:rsid w:val="00417A3F"/>
    <w:rsid w:val="00420952"/>
    <w:rsid w:val="00421AD0"/>
    <w:rsid w:val="00421F05"/>
    <w:rsid w:val="00426032"/>
    <w:rsid w:val="0042620D"/>
    <w:rsid w:val="00426775"/>
    <w:rsid w:val="00426C41"/>
    <w:rsid w:val="00435282"/>
    <w:rsid w:val="00436481"/>
    <w:rsid w:val="00437EF0"/>
    <w:rsid w:val="004415B7"/>
    <w:rsid w:val="00442D41"/>
    <w:rsid w:val="0044306F"/>
    <w:rsid w:val="00446BEE"/>
    <w:rsid w:val="00446C00"/>
    <w:rsid w:val="00450909"/>
    <w:rsid w:val="00451D4E"/>
    <w:rsid w:val="00452020"/>
    <w:rsid w:val="004548E4"/>
    <w:rsid w:val="00454EAB"/>
    <w:rsid w:val="00456581"/>
    <w:rsid w:val="004566D2"/>
    <w:rsid w:val="004567B3"/>
    <w:rsid w:val="00461E36"/>
    <w:rsid w:val="0046309B"/>
    <w:rsid w:val="00467286"/>
    <w:rsid w:val="00467517"/>
    <w:rsid w:val="004753FB"/>
    <w:rsid w:val="004820D2"/>
    <w:rsid w:val="004834E9"/>
    <w:rsid w:val="00487503"/>
    <w:rsid w:val="004936EC"/>
    <w:rsid w:val="00494018"/>
    <w:rsid w:val="004955CE"/>
    <w:rsid w:val="004A15FA"/>
    <w:rsid w:val="004A4B4F"/>
    <w:rsid w:val="004B1A44"/>
    <w:rsid w:val="004B2244"/>
    <w:rsid w:val="004B2AD8"/>
    <w:rsid w:val="004B2C6E"/>
    <w:rsid w:val="004B3400"/>
    <w:rsid w:val="004B377A"/>
    <w:rsid w:val="004B7AA8"/>
    <w:rsid w:val="004B7DBF"/>
    <w:rsid w:val="004C0D7B"/>
    <w:rsid w:val="004C132A"/>
    <w:rsid w:val="004C4348"/>
    <w:rsid w:val="004C4B42"/>
    <w:rsid w:val="004C74A8"/>
    <w:rsid w:val="004C76F6"/>
    <w:rsid w:val="004D163A"/>
    <w:rsid w:val="004D257E"/>
    <w:rsid w:val="004D4345"/>
    <w:rsid w:val="004D4E2E"/>
    <w:rsid w:val="004E671C"/>
    <w:rsid w:val="004F3270"/>
    <w:rsid w:val="005025A1"/>
    <w:rsid w:val="00504A5A"/>
    <w:rsid w:val="0050661A"/>
    <w:rsid w:val="00511561"/>
    <w:rsid w:val="00514B64"/>
    <w:rsid w:val="00520826"/>
    <w:rsid w:val="005226C4"/>
    <w:rsid w:val="005231F0"/>
    <w:rsid w:val="00531376"/>
    <w:rsid w:val="005317C6"/>
    <w:rsid w:val="00532B62"/>
    <w:rsid w:val="00534AFE"/>
    <w:rsid w:val="00534FE9"/>
    <w:rsid w:val="00535B56"/>
    <w:rsid w:val="005366E1"/>
    <w:rsid w:val="00536AE0"/>
    <w:rsid w:val="00536BD7"/>
    <w:rsid w:val="0053762B"/>
    <w:rsid w:val="00541832"/>
    <w:rsid w:val="00544117"/>
    <w:rsid w:val="00545F34"/>
    <w:rsid w:val="005539AC"/>
    <w:rsid w:val="00554CE9"/>
    <w:rsid w:val="005557C0"/>
    <w:rsid w:val="00563574"/>
    <w:rsid w:val="00564F08"/>
    <w:rsid w:val="00565382"/>
    <w:rsid w:val="00565836"/>
    <w:rsid w:val="00565BAC"/>
    <w:rsid w:val="00566300"/>
    <w:rsid w:val="0056788F"/>
    <w:rsid w:val="00567F4A"/>
    <w:rsid w:val="00576D9E"/>
    <w:rsid w:val="00580760"/>
    <w:rsid w:val="00582C7F"/>
    <w:rsid w:val="00583261"/>
    <w:rsid w:val="0059020B"/>
    <w:rsid w:val="005932D3"/>
    <w:rsid w:val="00594C3A"/>
    <w:rsid w:val="005962AC"/>
    <w:rsid w:val="005A02D5"/>
    <w:rsid w:val="005A2197"/>
    <w:rsid w:val="005A31A0"/>
    <w:rsid w:val="005A4D15"/>
    <w:rsid w:val="005B1167"/>
    <w:rsid w:val="005B1C54"/>
    <w:rsid w:val="005B1E4E"/>
    <w:rsid w:val="005B2007"/>
    <w:rsid w:val="005B27DA"/>
    <w:rsid w:val="005B3577"/>
    <w:rsid w:val="005B3ED7"/>
    <w:rsid w:val="005B661F"/>
    <w:rsid w:val="005B6A3A"/>
    <w:rsid w:val="005C0D22"/>
    <w:rsid w:val="005C7073"/>
    <w:rsid w:val="005D0CE6"/>
    <w:rsid w:val="005D4ECE"/>
    <w:rsid w:val="005D52D0"/>
    <w:rsid w:val="005E03AE"/>
    <w:rsid w:val="005E0871"/>
    <w:rsid w:val="005E438B"/>
    <w:rsid w:val="005F2C53"/>
    <w:rsid w:val="006013C1"/>
    <w:rsid w:val="0060524B"/>
    <w:rsid w:val="006052B7"/>
    <w:rsid w:val="00605678"/>
    <w:rsid w:val="0061117F"/>
    <w:rsid w:val="006123A9"/>
    <w:rsid w:val="00614608"/>
    <w:rsid w:val="00617BBA"/>
    <w:rsid w:val="006220A3"/>
    <w:rsid w:val="0062332F"/>
    <w:rsid w:val="00624140"/>
    <w:rsid w:val="00626B93"/>
    <w:rsid w:val="0062729B"/>
    <w:rsid w:val="00627EB5"/>
    <w:rsid w:val="00630907"/>
    <w:rsid w:val="00632F48"/>
    <w:rsid w:val="00633DB0"/>
    <w:rsid w:val="006344FC"/>
    <w:rsid w:val="00636692"/>
    <w:rsid w:val="00637307"/>
    <w:rsid w:val="00641562"/>
    <w:rsid w:val="00643262"/>
    <w:rsid w:val="00652389"/>
    <w:rsid w:val="0065453C"/>
    <w:rsid w:val="00665475"/>
    <w:rsid w:val="00666CF3"/>
    <w:rsid w:val="006709A9"/>
    <w:rsid w:val="00675C5D"/>
    <w:rsid w:val="00676103"/>
    <w:rsid w:val="0067630D"/>
    <w:rsid w:val="006775E5"/>
    <w:rsid w:val="006802A7"/>
    <w:rsid w:val="00680B3A"/>
    <w:rsid w:val="00681202"/>
    <w:rsid w:val="006844DE"/>
    <w:rsid w:val="006844DF"/>
    <w:rsid w:val="00684B09"/>
    <w:rsid w:val="00687A2E"/>
    <w:rsid w:val="00687E81"/>
    <w:rsid w:val="006921E1"/>
    <w:rsid w:val="00694976"/>
    <w:rsid w:val="00696C0A"/>
    <w:rsid w:val="006A14A8"/>
    <w:rsid w:val="006A28FB"/>
    <w:rsid w:val="006A4C24"/>
    <w:rsid w:val="006A6CD0"/>
    <w:rsid w:val="006A6ED8"/>
    <w:rsid w:val="006B0E58"/>
    <w:rsid w:val="006B3BE5"/>
    <w:rsid w:val="006B418C"/>
    <w:rsid w:val="006C0AAB"/>
    <w:rsid w:val="006C2A9F"/>
    <w:rsid w:val="006C323D"/>
    <w:rsid w:val="006C3A05"/>
    <w:rsid w:val="006C3E12"/>
    <w:rsid w:val="006D0A1A"/>
    <w:rsid w:val="006D4B52"/>
    <w:rsid w:val="006D4C33"/>
    <w:rsid w:val="006E462F"/>
    <w:rsid w:val="006E6034"/>
    <w:rsid w:val="006E62C8"/>
    <w:rsid w:val="006E6625"/>
    <w:rsid w:val="006E704E"/>
    <w:rsid w:val="006F7F5A"/>
    <w:rsid w:val="006F7FAA"/>
    <w:rsid w:val="0070263F"/>
    <w:rsid w:val="00705476"/>
    <w:rsid w:val="007064D1"/>
    <w:rsid w:val="007065B2"/>
    <w:rsid w:val="00706859"/>
    <w:rsid w:val="00706E2D"/>
    <w:rsid w:val="007135C1"/>
    <w:rsid w:val="007156DB"/>
    <w:rsid w:val="00724F02"/>
    <w:rsid w:val="00736348"/>
    <w:rsid w:val="00736425"/>
    <w:rsid w:val="007400D7"/>
    <w:rsid w:val="0074531A"/>
    <w:rsid w:val="007461CD"/>
    <w:rsid w:val="00746722"/>
    <w:rsid w:val="00747131"/>
    <w:rsid w:val="007609F7"/>
    <w:rsid w:val="0076293C"/>
    <w:rsid w:val="0076586F"/>
    <w:rsid w:val="00767E32"/>
    <w:rsid w:val="00773552"/>
    <w:rsid w:val="0077376B"/>
    <w:rsid w:val="00774822"/>
    <w:rsid w:val="00775065"/>
    <w:rsid w:val="00776C9C"/>
    <w:rsid w:val="00776FBD"/>
    <w:rsid w:val="0078004B"/>
    <w:rsid w:val="00781C41"/>
    <w:rsid w:val="007858AB"/>
    <w:rsid w:val="007866D3"/>
    <w:rsid w:val="00787AD2"/>
    <w:rsid w:val="00791826"/>
    <w:rsid w:val="00792564"/>
    <w:rsid w:val="00794BF8"/>
    <w:rsid w:val="00795418"/>
    <w:rsid w:val="007A00B6"/>
    <w:rsid w:val="007A2597"/>
    <w:rsid w:val="007A5BF9"/>
    <w:rsid w:val="007A6717"/>
    <w:rsid w:val="007B1C5F"/>
    <w:rsid w:val="007B1E1D"/>
    <w:rsid w:val="007B4484"/>
    <w:rsid w:val="007B5DBB"/>
    <w:rsid w:val="007C1050"/>
    <w:rsid w:val="007C2049"/>
    <w:rsid w:val="007C2828"/>
    <w:rsid w:val="007C39A1"/>
    <w:rsid w:val="007C446F"/>
    <w:rsid w:val="007C476A"/>
    <w:rsid w:val="007C5857"/>
    <w:rsid w:val="007D2434"/>
    <w:rsid w:val="007D3149"/>
    <w:rsid w:val="007E0D14"/>
    <w:rsid w:val="007E19AF"/>
    <w:rsid w:val="007E341B"/>
    <w:rsid w:val="007E7F52"/>
    <w:rsid w:val="00800279"/>
    <w:rsid w:val="00801FC6"/>
    <w:rsid w:val="0080398B"/>
    <w:rsid w:val="008154E5"/>
    <w:rsid w:val="00816304"/>
    <w:rsid w:val="00821931"/>
    <w:rsid w:val="0082524F"/>
    <w:rsid w:val="00826536"/>
    <w:rsid w:val="00827424"/>
    <w:rsid w:val="008310ED"/>
    <w:rsid w:val="0083291B"/>
    <w:rsid w:val="00833526"/>
    <w:rsid w:val="00833D8A"/>
    <w:rsid w:val="00835586"/>
    <w:rsid w:val="00845A78"/>
    <w:rsid w:val="00846A36"/>
    <w:rsid w:val="008516E5"/>
    <w:rsid w:val="0085186C"/>
    <w:rsid w:val="008520E3"/>
    <w:rsid w:val="0085386E"/>
    <w:rsid w:val="00853DF4"/>
    <w:rsid w:val="008568F4"/>
    <w:rsid w:val="008607A5"/>
    <w:rsid w:val="00861B92"/>
    <w:rsid w:val="00862933"/>
    <w:rsid w:val="00862BDD"/>
    <w:rsid w:val="00863B90"/>
    <w:rsid w:val="0086423B"/>
    <w:rsid w:val="00864446"/>
    <w:rsid w:val="0086522A"/>
    <w:rsid w:val="00865A12"/>
    <w:rsid w:val="00874D99"/>
    <w:rsid w:val="0087513D"/>
    <w:rsid w:val="00880998"/>
    <w:rsid w:val="008814FB"/>
    <w:rsid w:val="00884B41"/>
    <w:rsid w:val="00887E07"/>
    <w:rsid w:val="00891E3F"/>
    <w:rsid w:val="00896DBE"/>
    <w:rsid w:val="0089752D"/>
    <w:rsid w:val="008A2613"/>
    <w:rsid w:val="008A41BF"/>
    <w:rsid w:val="008A6CC1"/>
    <w:rsid w:val="008A7BBE"/>
    <w:rsid w:val="008B0063"/>
    <w:rsid w:val="008B1013"/>
    <w:rsid w:val="008B13D4"/>
    <w:rsid w:val="008B29C5"/>
    <w:rsid w:val="008B5C0F"/>
    <w:rsid w:val="008B6AC2"/>
    <w:rsid w:val="008C029B"/>
    <w:rsid w:val="008C57ED"/>
    <w:rsid w:val="008C59D9"/>
    <w:rsid w:val="008C5D96"/>
    <w:rsid w:val="008C62E3"/>
    <w:rsid w:val="008C7D93"/>
    <w:rsid w:val="008D140D"/>
    <w:rsid w:val="008D1585"/>
    <w:rsid w:val="008D3247"/>
    <w:rsid w:val="008D4EBB"/>
    <w:rsid w:val="008D55F7"/>
    <w:rsid w:val="008E0A4B"/>
    <w:rsid w:val="008E1E42"/>
    <w:rsid w:val="008E3D97"/>
    <w:rsid w:val="008E59A6"/>
    <w:rsid w:val="008E7826"/>
    <w:rsid w:val="008F091A"/>
    <w:rsid w:val="008F42A0"/>
    <w:rsid w:val="008F4B39"/>
    <w:rsid w:val="008F5E30"/>
    <w:rsid w:val="008F6FB7"/>
    <w:rsid w:val="009015B6"/>
    <w:rsid w:val="00902777"/>
    <w:rsid w:val="00905968"/>
    <w:rsid w:val="009101FF"/>
    <w:rsid w:val="0091164F"/>
    <w:rsid w:val="009130A7"/>
    <w:rsid w:val="00914D7F"/>
    <w:rsid w:val="00914E6C"/>
    <w:rsid w:val="00920D0B"/>
    <w:rsid w:val="00921A7E"/>
    <w:rsid w:val="00922083"/>
    <w:rsid w:val="009224E6"/>
    <w:rsid w:val="00922538"/>
    <w:rsid w:val="00923A02"/>
    <w:rsid w:val="009241FF"/>
    <w:rsid w:val="00927F25"/>
    <w:rsid w:val="00930295"/>
    <w:rsid w:val="00931894"/>
    <w:rsid w:val="009327A5"/>
    <w:rsid w:val="0094476E"/>
    <w:rsid w:val="00945FF7"/>
    <w:rsid w:val="009464AC"/>
    <w:rsid w:val="0095265C"/>
    <w:rsid w:val="0095279F"/>
    <w:rsid w:val="009530B3"/>
    <w:rsid w:val="00955AB4"/>
    <w:rsid w:val="009622B2"/>
    <w:rsid w:val="00966E3A"/>
    <w:rsid w:val="0097265F"/>
    <w:rsid w:val="0097305A"/>
    <w:rsid w:val="00973F0F"/>
    <w:rsid w:val="009741A2"/>
    <w:rsid w:val="00974626"/>
    <w:rsid w:val="00974E76"/>
    <w:rsid w:val="00975AB3"/>
    <w:rsid w:val="0097646A"/>
    <w:rsid w:val="00976DA5"/>
    <w:rsid w:val="00977599"/>
    <w:rsid w:val="00981763"/>
    <w:rsid w:val="00982B9A"/>
    <w:rsid w:val="00983BC7"/>
    <w:rsid w:val="00984E59"/>
    <w:rsid w:val="009851FB"/>
    <w:rsid w:val="009873B9"/>
    <w:rsid w:val="00992662"/>
    <w:rsid w:val="00993A08"/>
    <w:rsid w:val="00996AA1"/>
    <w:rsid w:val="009A1494"/>
    <w:rsid w:val="009A516E"/>
    <w:rsid w:val="009A539A"/>
    <w:rsid w:val="009B0297"/>
    <w:rsid w:val="009B50F5"/>
    <w:rsid w:val="009B780D"/>
    <w:rsid w:val="009C0D42"/>
    <w:rsid w:val="009C2515"/>
    <w:rsid w:val="009C2E39"/>
    <w:rsid w:val="009C3246"/>
    <w:rsid w:val="009C4DEF"/>
    <w:rsid w:val="009C5960"/>
    <w:rsid w:val="009C6184"/>
    <w:rsid w:val="009C68B8"/>
    <w:rsid w:val="009D0554"/>
    <w:rsid w:val="009D0749"/>
    <w:rsid w:val="009E0CFF"/>
    <w:rsid w:val="009E30ED"/>
    <w:rsid w:val="009E39B2"/>
    <w:rsid w:val="009E39ED"/>
    <w:rsid w:val="009E3C7E"/>
    <w:rsid w:val="009E4CFC"/>
    <w:rsid w:val="009E4DBE"/>
    <w:rsid w:val="009E60B6"/>
    <w:rsid w:val="009E680B"/>
    <w:rsid w:val="009E6DB0"/>
    <w:rsid w:val="00A01290"/>
    <w:rsid w:val="00A06721"/>
    <w:rsid w:val="00A1021B"/>
    <w:rsid w:val="00A10649"/>
    <w:rsid w:val="00A11516"/>
    <w:rsid w:val="00A12673"/>
    <w:rsid w:val="00A13C3F"/>
    <w:rsid w:val="00A15A1F"/>
    <w:rsid w:val="00A15A51"/>
    <w:rsid w:val="00A16B4A"/>
    <w:rsid w:val="00A2552C"/>
    <w:rsid w:val="00A26B15"/>
    <w:rsid w:val="00A32A19"/>
    <w:rsid w:val="00A3325A"/>
    <w:rsid w:val="00A34D9D"/>
    <w:rsid w:val="00A3569D"/>
    <w:rsid w:val="00A3693F"/>
    <w:rsid w:val="00A36CA7"/>
    <w:rsid w:val="00A41641"/>
    <w:rsid w:val="00A416A5"/>
    <w:rsid w:val="00A43013"/>
    <w:rsid w:val="00A45D06"/>
    <w:rsid w:val="00A47422"/>
    <w:rsid w:val="00A555F5"/>
    <w:rsid w:val="00A556CD"/>
    <w:rsid w:val="00A57CC3"/>
    <w:rsid w:val="00A60905"/>
    <w:rsid w:val="00A6167B"/>
    <w:rsid w:val="00A6176E"/>
    <w:rsid w:val="00A6537B"/>
    <w:rsid w:val="00A76D35"/>
    <w:rsid w:val="00A85D33"/>
    <w:rsid w:val="00A866C0"/>
    <w:rsid w:val="00A8766D"/>
    <w:rsid w:val="00A9052C"/>
    <w:rsid w:val="00A90955"/>
    <w:rsid w:val="00A91ED3"/>
    <w:rsid w:val="00A9465A"/>
    <w:rsid w:val="00A97A12"/>
    <w:rsid w:val="00AA23A0"/>
    <w:rsid w:val="00AA2E29"/>
    <w:rsid w:val="00AA394C"/>
    <w:rsid w:val="00AA3C28"/>
    <w:rsid w:val="00AA49BE"/>
    <w:rsid w:val="00AA4D1C"/>
    <w:rsid w:val="00AA70D8"/>
    <w:rsid w:val="00AB4CB4"/>
    <w:rsid w:val="00AB5D24"/>
    <w:rsid w:val="00AB5D6A"/>
    <w:rsid w:val="00AB689A"/>
    <w:rsid w:val="00AC0BAF"/>
    <w:rsid w:val="00AC1AB2"/>
    <w:rsid w:val="00AC3691"/>
    <w:rsid w:val="00AC5FBC"/>
    <w:rsid w:val="00AD0F80"/>
    <w:rsid w:val="00AD35DC"/>
    <w:rsid w:val="00AD3B77"/>
    <w:rsid w:val="00AD43CF"/>
    <w:rsid w:val="00AD6FD4"/>
    <w:rsid w:val="00AD743D"/>
    <w:rsid w:val="00AE167C"/>
    <w:rsid w:val="00AE66D4"/>
    <w:rsid w:val="00AF108A"/>
    <w:rsid w:val="00AF1587"/>
    <w:rsid w:val="00AF2053"/>
    <w:rsid w:val="00AF7FB3"/>
    <w:rsid w:val="00AF7FF9"/>
    <w:rsid w:val="00B02160"/>
    <w:rsid w:val="00B02E55"/>
    <w:rsid w:val="00B036C1"/>
    <w:rsid w:val="00B05FDC"/>
    <w:rsid w:val="00B10BDC"/>
    <w:rsid w:val="00B11F0D"/>
    <w:rsid w:val="00B13CEA"/>
    <w:rsid w:val="00B13F69"/>
    <w:rsid w:val="00B1408E"/>
    <w:rsid w:val="00B14317"/>
    <w:rsid w:val="00B173CB"/>
    <w:rsid w:val="00B20047"/>
    <w:rsid w:val="00B2091A"/>
    <w:rsid w:val="00B22DB4"/>
    <w:rsid w:val="00B26CFD"/>
    <w:rsid w:val="00B270F7"/>
    <w:rsid w:val="00B34342"/>
    <w:rsid w:val="00B40750"/>
    <w:rsid w:val="00B41397"/>
    <w:rsid w:val="00B41AA9"/>
    <w:rsid w:val="00B42146"/>
    <w:rsid w:val="00B43129"/>
    <w:rsid w:val="00B5431F"/>
    <w:rsid w:val="00B55978"/>
    <w:rsid w:val="00B5775A"/>
    <w:rsid w:val="00B604E3"/>
    <w:rsid w:val="00B6441C"/>
    <w:rsid w:val="00B64965"/>
    <w:rsid w:val="00B65A11"/>
    <w:rsid w:val="00B65A32"/>
    <w:rsid w:val="00B66C55"/>
    <w:rsid w:val="00B67E92"/>
    <w:rsid w:val="00B74CC0"/>
    <w:rsid w:val="00B74E90"/>
    <w:rsid w:val="00B75946"/>
    <w:rsid w:val="00B80A60"/>
    <w:rsid w:val="00B82619"/>
    <w:rsid w:val="00B8456D"/>
    <w:rsid w:val="00B85EA4"/>
    <w:rsid w:val="00B85F6D"/>
    <w:rsid w:val="00B87256"/>
    <w:rsid w:val="00B91418"/>
    <w:rsid w:val="00B967EB"/>
    <w:rsid w:val="00B96CCA"/>
    <w:rsid w:val="00B97176"/>
    <w:rsid w:val="00BA4A94"/>
    <w:rsid w:val="00BA5C0E"/>
    <w:rsid w:val="00BB4D53"/>
    <w:rsid w:val="00BB5C33"/>
    <w:rsid w:val="00BC02E4"/>
    <w:rsid w:val="00BC184B"/>
    <w:rsid w:val="00BC5266"/>
    <w:rsid w:val="00BD0373"/>
    <w:rsid w:val="00BD2C70"/>
    <w:rsid w:val="00BD44F4"/>
    <w:rsid w:val="00BD46FC"/>
    <w:rsid w:val="00BE1783"/>
    <w:rsid w:val="00BE3B93"/>
    <w:rsid w:val="00BE45E5"/>
    <w:rsid w:val="00BE6BE6"/>
    <w:rsid w:val="00BE6E8E"/>
    <w:rsid w:val="00BE74D7"/>
    <w:rsid w:val="00BF3BAF"/>
    <w:rsid w:val="00BF7FE0"/>
    <w:rsid w:val="00C02194"/>
    <w:rsid w:val="00C02D45"/>
    <w:rsid w:val="00C05330"/>
    <w:rsid w:val="00C06B8A"/>
    <w:rsid w:val="00C07E25"/>
    <w:rsid w:val="00C11DAD"/>
    <w:rsid w:val="00C15BCF"/>
    <w:rsid w:val="00C1775A"/>
    <w:rsid w:val="00C17F5F"/>
    <w:rsid w:val="00C221C8"/>
    <w:rsid w:val="00C227A4"/>
    <w:rsid w:val="00C230D4"/>
    <w:rsid w:val="00C25B9F"/>
    <w:rsid w:val="00C2674C"/>
    <w:rsid w:val="00C26E5A"/>
    <w:rsid w:val="00C27485"/>
    <w:rsid w:val="00C274DB"/>
    <w:rsid w:val="00C3063B"/>
    <w:rsid w:val="00C33F65"/>
    <w:rsid w:val="00C3496C"/>
    <w:rsid w:val="00C36044"/>
    <w:rsid w:val="00C376B8"/>
    <w:rsid w:val="00C409F4"/>
    <w:rsid w:val="00C41A0D"/>
    <w:rsid w:val="00C42835"/>
    <w:rsid w:val="00C4497C"/>
    <w:rsid w:val="00C4799E"/>
    <w:rsid w:val="00C50E96"/>
    <w:rsid w:val="00C532B2"/>
    <w:rsid w:val="00C54E36"/>
    <w:rsid w:val="00C55016"/>
    <w:rsid w:val="00C55CBA"/>
    <w:rsid w:val="00C55EF4"/>
    <w:rsid w:val="00C57583"/>
    <w:rsid w:val="00C57689"/>
    <w:rsid w:val="00C579CF"/>
    <w:rsid w:val="00C62C34"/>
    <w:rsid w:val="00C63A0F"/>
    <w:rsid w:val="00C63D85"/>
    <w:rsid w:val="00C64EBA"/>
    <w:rsid w:val="00C653FB"/>
    <w:rsid w:val="00C70F32"/>
    <w:rsid w:val="00C71C93"/>
    <w:rsid w:val="00C71E35"/>
    <w:rsid w:val="00C72E5B"/>
    <w:rsid w:val="00C76AF8"/>
    <w:rsid w:val="00C77C66"/>
    <w:rsid w:val="00C8052C"/>
    <w:rsid w:val="00C81F4D"/>
    <w:rsid w:val="00C8489F"/>
    <w:rsid w:val="00C85682"/>
    <w:rsid w:val="00C87901"/>
    <w:rsid w:val="00C8796E"/>
    <w:rsid w:val="00C90AB8"/>
    <w:rsid w:val="00C90F0D"/>
    <w:rsid w:val="00C91571"/>
    <w:rsid w:val="00C92129"/>
    <w:rsid w:val="00C9482D"/>
    <w:rsid w:val="00C94E77"/>
    <w:rsid w:val="00C95DE7"/>
    <w:rsid w:val="00C963F5"/>
    <w:rsid w:val="00C96411"/>
    <w:rsid w:val="00CA36BB"/>
    <w:rsid w:val="00CA4EC5"/>
    <w:rsid w:val="00CA73F1"/>
    <w:rsid w:val="00CB2369"/>
    <w:rsid w:val="00CC0DE2"/>
    <w:rsid w:val="00CC14D7"/>
    <w:rsid w:val="00CC1751"/>
    <w:rsid w:val="00CC2B13"/>
    <w:rsid w:val="00CC3680"/>
    <w:rsid w:val="00CD2D58"/>
    <w:rsid w:val="00CD2E3B"/>
    <w:rsid w:val="00CD58A4"/>
    <w:rsid w:val="00CD6FB7"/>
    <w:rsid w:val="00CE0DD2"/>
    <w:rsid w:val="00CE1F09"/>
    <w:rsid w:val="00CE2607"/>
    <w:rsid w:val="00CE33C8"/>
    <w:rsid w:val="00CE3C85"/>
    <w:rsid w:val="00CE5E24"/>
    <w:rsid w:val="00CF0971"/>
    <w:rsid w:val="00CF1395"/>
    <w:rsid w:val="00CF2E5C"/>
    <w:rsid w:val="00CF58B7"/>
    <w:rsid w:val="00D00F7C"/>
    <w:rsid w:val="00D02498"/>
    <w:rsid w:val="00D02A8F"/>
    <w:rsid w:val="00D04553"/>
    <w:rsid w:val="00D04B45"/>
    <w:rsid w:val="00D071D3"/>
    <w:rsid w:val="00D076AC"/>
    <w:rsid w:val="00D10C5F"/>
    <w:rsid w:val="00D164B5"/>
    <w:rsid w:val="00D1699D"/>
    <w:rsid w:val="00D2654D"/>
    <w:rsid w:val="00D31DBD"/>
    <w:rsid w:val="00D320F7"/>
    <w:rsid w:val="00D338E1"/>
    <w:rsid w:val="00D341FF"/>
    <w:rsid w:val="00D35137"/>
    <w:rsid w:val="00D351C1"/>
    <w:rsid w:val="00D35EFB"/>
    <w:rsid w:val="00D37942"/>
    <w:rsid w:val="00D408B9"/>
    <w:rsid w:val="00D409E1"/>
    <w:rsid w:val="00D40C64"/>
    <w:rsid w:val="00D426B6"/>
    <w:rsid w:val="00D42A22"/>
    <w:rsid w:val="00D4764C"/>
    <w:rsid w:val="00D4788E"/>
    <w:rsid w:val="00D47D55"/>
    <w:rsid w:val="00D504B3"/>
    <w:rsid w:val="00D50778"/>
    <w:rsid w:val="00D50C84"/>
    <w:rsid w:val="00D55E08"/>
    <w:rsid w:val="00D65835"/>
    <w:rsid w:val="00D709E1"/>
    <w:rsid w:val="00D748BB"/>
    <w:rsid w:val="00D75C71"/>
    <w:rsid w:val="00D77495"/>
    <w:rsid w:val="00D84571"/>
    <w:rsid w:val="00D85AB8"/>
    <w:rsid w:val="00D86BF0"/>
    <w:rsid w:val="00D86C4A"/>
    <w:rsid w:val="00D907CD"/>
    <w:rsid w:val="00D91584"/>
    <w:rsid w:val="00D92764"/>
    <w:rsid w:val="00D931D8"/>
    <w:rsid w:val="00D94E55"/>
    <w:rsid w:val="00DA04F6"/>
    <w:rsid w:val="00DA08F5"/>
    <w:rsid w:val="00DA0964"/>
    <w:rsid w:val="00DA1236"/>
    <w:rsid w:val="00DA1632"/>
    <w:rsid w:val="00DA2133"/>
    <w:rsid w:val="00DA5CD0"/>
    <w:rsid w:val="00DA632C"/>
    <w:rsid w:val="00DA6AAE"/>
    <w:rsid w:val="00DA7238"/>
    <w:rsid w:val="00DB2161"/>
    <w:rsid w:val="00DB2FAF"/>
    <w:rsid w:val="00DB3ACB"/>
    <w:rsid w:val="00DB605F"/>
    <w:rsid w:val="00DB61A8"/>
    <w:rsid w:val="00DB792B"/>
    <w:rsid w:val="00DC0B72"/>
    <w:rsid w:val="00DC0D3E"/>
    <w:rsid w:val="00DC12BA"/>
    <w:rsid w:val="00DC2348"/>
    <w:rsid w:val="00DC4E10"/>
    <w:rsid w:val="00DC5118"/>
    <w:rsid w:val="00DC6287"/>
    <w:rsid w:val="00DD0533"/>
    <w:rsid w:val="00DD2D18"/>
    <w:rsid w:val="00DD3CA2"/>
    <w:rsid w:val="00DD60F1"/>
    <w:rsid w:val="00DD7966"/>
    <w:rsid w:val="00DE14F9"/>
    <w:rsid w:val="00DE309B"/>
    <w:rsid w:val="00DE4F00"/>
    <w:rsid w:val="00DF0193"/>
    <w:rsid w:val="00DF137F"/>
    <w:rsid w:val="00DF2E72"/>
    <w:rsid w:val="00DF41D9"/>
    <w:rsid w:val="00DF51F8"/>
    <w:rsid w:val="00E027DF"/>
    <w:rsid w:val="00E03ABF"/>
    <w:rsid w:val="00E045DA"/>
    <w:rsid w:val="00E1309C"/>
    <w:rsid w:val="00E169AE"/>
    <w:rsid w:val="00E1799F"/>
    <w:rsid w:val="00E22299"/>
    <w:rsid w:val="00E2347F"/>
    <w:rsid w:val="00E241EA"/>
    <w:rsid w:val="00E243E7"/>
    <w:rsid w:val="00E26154"/>
    <w:rsid w:val="00E27DD1"/>
    <w:rsid w:val="00E30D64"/>
    <w:rsid w:val="00E332E4"/>
    <w:rsid w:val="00E35809"/>
    <w:rsid w:val="00E35FC8"/>
    <w:rsid w:val="00E438F9"/>
    <w:rsid w:val="00E461B1"/>
    <w:rsid w:val="00E5077B"/>
    <w:rsid w:val="00E51079"/>
    <w:rsid w:val="00E51920"/>
    <w:rsid w:val="00E52501"/>
    <w:rsid w:val="00E559BB"/>
    <w:rsid w:val="00E55E3F"/>
    <w:rsid w:val="00E5637D"/>
    <w:rsid w:val="00E576A4"/>
    <w:rsid w:val="00E57AE6"/>
    <w:rsid w:val="00E614F2"/>
    <w:rsid w:val="00E62CB0"/>
    <w:rsid w:val="00E63282"/>
    <w:rsid w:val="00E64120"/>
    <w:rsid w:val="00E658AC"/>
    <w:rsid w:val="00E660A1"/>
    <w:rsid w:val="00E66724"/>
    <w:rsid w:val="00E6697B"/>
    <w:rsid w:val="00E6710C"/>
    <w:rsid w:val="00E72AE9"/>
    <w:rsid w:val="00E73368"/>
    <w:rsid w:val="00E73998"/>
    <w:rsid w:val="00E73B1A"/>
    <w:rsid w:val="00E7415F"/>
    <w:rsid w:val="00E751AE"/>
    <w:rsid w:val="00E84D54"/>
    <w:rsid w:val="00E851C4"/>
    <w:rsid w:val="00E85B07"/>
    <w:rsid w:val="00E86F2C"/>
    <w:rsid w:val="00E90102"/>
    <w:rsid w:val="00E97194"/>
    <w:rsid w:val="00EA08BB"/>
    <w:rsid w:val="00EA5237"/>
    <w:rsid w:val="00EB096F"/>
    <w:rsid w:val="00EB244C"/>
    <w:rsid w:val="00EB279A"/>
    <w:rsid w:val="00EB46F2"/>
    <w:rsid w:val="00EB4A61"/>
    <w:rsid w:val="00EB5D98"/>
    <w:rsid w:val="00EC0537"/>
    <w:rsid w:val="00EC2885"/>
    <w:rsid w:val="00ED3E2C"/>
    <w:rsid w:val="00ED4211"/>
    <w:rsid w:val="00ED4597"/>
    <w:rsid w:val="00EE0BBC"/>
    <w:rsid w:val="00EE26BE"/>
    <w:rsid w:val="00EE2A5A"/>
    <w:rsid w:val="00EE59E3"/>
    <w:rsid w:val="00EE6923"/>
    <w:rsid w:val="00EE74A0"/>
    <w:rsid w:val="00EF099B"/>
    <w:rsid w:val="00F00407"/>
    <w:rsid w:val="00F01F04"/>
    <w:rsid w:val="00F02E41"/>
    <w:rsid w:val="00F03322"/>
    <w:rsid w:val="00F055F1"/>
    <w:rsid w:val="00F0718D"/>
    <w:rsid w:val="00F118A0"/>
    <w:rsid w:val="00F123B6"/>
    <w:rsid w:val="00F14A4E"/>
    <w:rsid w:val="00F15E8B"/>
    <w:rsid w:val="00F1628C"/>
    <w:rsid w:val="00F1641D"/>
    <w:rsid w:val="00F24165"/>
    <w:rsid w:val="00F24DEB"/>
    <w:rsid w:val="00F2548E"/>
    <w:rsid w:val="00F34409"/>
    <w:rsid w:val="00F34CD7"/>
    <w:rsid w:val="00F443F3"/>
    <w:rsid w:val="00F44443"/>
    <w:rsid w:val="00F4764F"/>
    <w:rsid w:val="00F4774D"/>
    <w:rsid w:val="00F50EE7"/>
    <w:rsid w:val="00F5244E"/>
    <w:rsid w:val="00F52C0C"/>
    <w:rsid w:val="00F53822"/>
    <w:rsid w:val="00F610AF"/>
    <w:rsid w:val="00F6603E"/>
    <w:rsid w:val="00F662DD"/>
    <w:rsid w:val="00F72F65"/>
    <w:rsid w:val="00F73428"/>
    <w:rsid w:val="00F75A35"/>
    <w:rsid w:val="00F76B85"/>
    <w:rsid w:val="00F82AF2"/>
    <w:rsid w:val="00F832E2"/>
    <w:rsid w:val="00F8410D"/>
    <w:rsid w:val="00F8665D"/>
    <w:rsid w:val="00F93F21"/>
    <w:rsid w:val="00F946A8"/>
    <w:rsid w:val="00F95543"/>
    <w:rsid w:val="00F958BC"/>
    <w:rsid w:val="00FA2C5A"/>
    <w:rsid w:val="00FA3408"/>
    <w:rsid w:val="00FB10DC"/>
    <w:rsid w:val="00FB1F14"/>
    <w:rsid w:val="00FB38AD"/>
    <w:rsid w:val="00FB3D38"/>
    <w:rsid w:val="00FB3E09"/>
    <w:rsid w:val="00FB7ACD"/>
    <w:rsid w:val="00FC12BC"/>
    <w:rsid w:val="00FC1558"/>
    <w:rsid w:val="00FC2D11"/>
    <w:rsid w:val="00FC4D72"/>
    <w:rsid w:val="00FC6230"/>
    <w:rsid w:val="00FD101D"/>
    <w:rsid w:val="00FD1A2B"/>
    <w:rsid w:val="00FD374B"/>
    <w:rsid w:val="00FD3AF4"/>
    <w:rsid w:val="00FD575B"/>
    <w:rsid w:val="00FE0E08"/>
    <w:rsid w:val="00FE33D2"/>
    <w:rsid w:val="00FE3995"/>
    <w:rsid w:val="00FE5247"/>
    <w:rsid w:val="00FE54B0"/>
    <w:rsid w:val="00FF2694"/>
    <w:rsid w:val="00FF61E7"/>
    <w:rsid w:val="00FF6693"/>
    <w:rsid w:val="00FF68A7"/>
    <w:rsid w:val="01453781"/>
    <w:rsid w:val="01A149C0"/>
    <w:rsid w:val="02585F15"/>
    <w:rsid w:val="03851609"/>
    <w:rsid w:val="03C2288D"/>
    <w:rsid w:val="051EF4F5"/>
    <w:rsid w:val="059470E1"/>
    <w:rsid w:val="05C15BD9"/>
    <w:rsid w:val="06064862"/>
    <w:rsid w:val="064C3D28"/>
    <w:rsid w:val="06A52601"/>
    <w:rsid w:val="071A711C"/>
    <w:rsid w:val="07FCEA89"/>
    <w:rsid w:val="081B0BAA"/>
    <w:rsid w:val="089EDC48"/>
    <w:rsid w:val="095528BD"/>
    <w:rsid w:val="09A8AA34"/>
    <w:rsid w:val="0BA40062"/>
    <w:rsid w:val="0C088A84"/>
    <w:rsid w:val="0C8DDB1F"/>
    <w:rsid w:val="0CAFF00D"/>
    <w:rsid w:val="0CBE39EC"/>
    <w:rsid w:val="0CF3FDBF"/>
    <w:rsid w:val="0D27473E"/>
    <w:rsid w:val="0D91765D"/>
    <w:rsid w:val="0DC964EC"/>
    <w:rsid w:val="0E7AD893"/>
    <w:rsid w:val="0F21A10D"/>
    <w:rsid w:val="0F51CF47"/>
    <w:rsid w:val="10A6FFC8"/>
    <w:rsid w:val="10AB1DE4"/>
    <w:rsid w:val="1161DF86"/>
    <w:rsid w:val="11A14084"/>
    <w:rsid w:val="12ADDAF3"/>
    <w:rsid w:val="1312979D"/>
    <w:rsid w:val="15B773B2"/>
    <w:rsid w:val="16573594"/>
    <w:rsid w:val="167CBCA7"/>
    <w:rsid w:val="16A81CB0"/>
    <w:rsid w:val="16EBA5A3"/>
    <w:rsid w:val="17BD3660"/>
    <w:rsid w:val="1879479E"/>
    <w:rsid w:val="18BA2FEE"/>
    <w:rsid w:val="19388D11"/>
    <w:rsid w:val="194193AE"/>
    <w:rsid w:val="1950D7BC"/>
    <w:rsid w:val="1975A4C7"/>
    <w:rsid w:val="19774A4F"/>
    <w:rsid w:val="197BC498"/>
    <w:rsid w:val="1AA63E4E"/>
    <w:rsid w:val="1AECA81D"/>
    <w:rsid w:val="1AF7D887"/>
    <w:rsid w:val="1C88787E"/>
    <w:rsid w:val="1CA580C6"/>
    <w:rsid w:val="1D545074"/>
    <w:rsid w:val="1D54FF6B"/>
    <w:rsid w:val="1F61F7DD"/>
    <w:rsid w:val="205B1283"/>
    <w:rsid w:val="22BFA088"/>
    <w:rsid w:val="24083BF5"/>
    <w:rsid w:val="2523CEAD"/>
    <w:rsid w:val="253FBFEC"/>
    <w:rsid w:val="2568F024"/>
    <w:rsid w:val="259C6A6C"/>
    <w:rsid w:val="25F49284"/>
    <w:rsid w:val="26100C44"/>
    <w:rsid w:val="26BF9F0E"/>
    <w:rsid w:val="26FCDE69"/>
    <w:rsid w:val="2704E292"/>
    <w:rsid w:val="27630944"/>
    <w:rsid w:val="27A7CBCF"/>
    <w:rsid w:val="27ABDCA5"/>
    <w:rsid w:val="27B69203"/>
    <w:rsid w:val="284A6A30"/>
    <w:rsid w:val="284F1BDB"/>
    <w:rsid w:val="29F73FD0"/>
    <w:rsid w:val="2A02EDCC"/>
    <w:rsid w:val="2A8A071E"/>
    <w:rsid w:val="2ABC130C"/>
    <w:rsid w:val="2B0D94E5"/>
    <w:rsid w:val="2B931031"/>
    <w:rsid w:val="2BB5F6F0"/>
    <w:rsid w:val="2BB87C9F"/>
    <w:rsid w:val="2C06F566"/>
    <w:rsid w:val="2C4E2A0D"/>
    <w:rsid w:val="2CDE083B"/>
    <w:rsid w:val="2CE2FAFB"/>
    <w:rsid w:val="2E210FCE"/>
    <w:rsid w:val="2E342EB4"/>
    <w:rsid w:val="301B74FE"/>
    <w:rsid w:val="30631D71"/>
    <w:rsid w:val="3070536C"/>
    <w:rsid w:val="30AAB17D"/>
    <w:rsid w:val="311F5D0A"/>
    <w:rsid w:val="32942403"/>
    <w:rsid w:val="329E343A"/>
    <w:rsid w:val="3392959B"/>
    <w:rsid w:val="348D6195"/>
    <w:rsid w:val="34BDEA88"/>
    <w:rsid w:val="34DFCD7F"/>
    <w:rsid w:val="367917DC"/>
    <w:rsid w:val="36A62176"/>
    <w:rsid w:val="37F06CFE"/>
    <w:rsid w:val="380AB74F"/>
    <w:rsid w:val="397B0931"/>
    <w:rsid w:val="3A37D2B8"/>
    <w:rsid w:val="3AA148AD"/>
    <w:rsid w:val="3ADB1FFE"/>
    <w:rsid w:val="3AF27810"/>
    <w:rsid w:val="3AFF0B67"/>
    <w:rsid w:val="3B118447"/>
    <w:rsid w:val="3B364FEC"/>
    <w:rsid w:val="3BC54F01"/>
    <w:rsid w:val="3DFFF78B"/>
    <w:rsid w:val="3EBB115A"/>
    <w:rsid w:val="3FAAC695"/>
    <w:rsid w:val="414B6F4D"/>
    <w:rsid w:val="41573FB4"/>
    <w:rsid w:val="41FA05CF"/>
    <w:rsid w:val="42753707"/>
    <w:rsid w:val="42F3828A"/>
    <w:rsid w:val="432C126F"/>
    <w:rsid w:val="4348C4AE"/>
    <w:rsid w:val="45A25A13"/>
    <w:rsid w:val="462AB0D7"/>
    <w:rsid w:val="46722B29"/>
    <w:rsid w:val="47A2A68E"/>
    <w:rsid w:val="48AED26C"/>
    <w:rsid w:val="4A8A04BF"/>
    <w:rsid w:val="4AA46646"/>
    <w:rsid w:val="4C119B97"/>
    <w:rsid w:val="4C37E5CF"/>
    <w:rsid w:val="4C7EAE1C"/>
    <w:rsid w:val="4D69D25E"/>
    <w:rsid w:val="4DAD6BF8"/>
    <w:rsid w:val="4F3FB2BF"/>
    <w:rsid w:val="508A97F9"/>
    <w:rsid w:val="50922A67"/>
    <w:rsid w:val="5494B180"/>
    <w:rsid w:val="54BF6AF2"/>
    <w:rsid w:val="5592D608"/>
    <w:rsid w:val="56CFB67D"/>
    <w:rsid w:val="57FCA301"/>
    <w:rsid w:val="58D277C8"/>
    <w:rsid w:val="590877AC"/>
    <w:rsid w:val="59300368"/>
    <w:rsid w:val="5936AC4B"/>
    <w:rsid w:val="59AC0FA0"/>
    <w:rsid w:val="59AFF750"/>
    <w:rsid w:val="5A0EB1D5"/>
    <w:rsid w:val="5A537823"/>
    <w:rsid w:val="5AA6F6D0"/>
    <w:rsid w:val="5ADFDFE3"/>
    <w:rsid w:val="5BACBB0A"/>
    <w:rsid w:val="5BAD3273"/>
    <w:rsid w:val="5C153D1F"/>
    <w:rsid w:val="5CB803AB"/>
    <w:rsid w:val="5CC86F6A"/>
    <w:rsid w:val="5DD8AEA6"/>
    <w:rsid w:val="5DF35351"/>
    <w:rsid w:val="5E261F86"/>
    <w:rsid w:val="5E312DDE"/>
    <w:rsid w:val="5E3881E2"/>
    <w:rsid w:val="5EC193F9"/>
    <w:rsid w:val="5F0E32E5"/>
    <w:rsid w:val="5FEFA46D"/>
    <w:rsid w:val="60805DB3"/>
    <w:rsid w:val="6117EF4E"/>
    <w:rsid w:val="61672D7E"/>
    <w:rsid w:val="63A8FE7D"/>
    <w:rsid w:val="64D00A47"/>
    <w:rsid w:val="64EAFB1B"/>
    <w:rsid w:val="66067D17"/>
    <w:rsid w:val="67F6A436"/>
    <w:rsid w:val="6964ED31"/>
    <w:rsid w:val="698E4BD1"/>
    <w:rsid w:val="69A7B169"/>
    <w:rsid w:val="6AB3B86C"/>
    <w:rsid w:val="6AC456D8"/>
    <w:rsid w:val="6BCEEF07"/>
    <w:rsid w:val="6BFD98F8"/>
    <w:rsid w:val="6C42EEC4"/>
    <w:rsid w:val="6C8912E6"/>
    <w:rsid w:val="6CB7AF0E"/>
    <w:rsid w:val="6E430BAE"/>
    <w:rsid w:val="6EFA32A7"/>
    <w:rsid w:val="6FA9A750"/>
    <w:rsid w:val="6FED4026"/>
    <w:rsid w:val="7063392E"/>
    <w:rsid w:val="706F363C"/>
    <w:rsid w:val="712A1425"/>
    <w:rsid w:val="7399B0E4"/>
    <w:rsid w:val="74C1611F"/>
    <w:rsid w:val="75220B82"/>
    <w:rsid w:val="76A6F739"/>
    <w:rsid w:val="770B4130"/>
    <w:rsid w:val="7723A419"/>
    <w:rsid w:val="774FA451"/>
    <w:rsid w:val="7799CE02"/>
    <w:rsid w:val="792149D2"/>
    <w:rsid w:val="79EEFE05"/>
    <w:rsid w:val="7A0EF0D8"/>
    <w:rsid w:val="7A4C6AB3"/>
    <w:rsid w:val="7C393D98"/>
    <w:rsid w:val="7DFDF745"/>
    <w:rsid w:val="7F13BABD"/>
    <w:rsid w:val="7F6791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FA"/>
    <w:rPr>
      <w:sz w:val="24"/>
      <w:szCs w:val="24"/>
      <w:lang w:eastAsia="en-US"/>
    </w:rPr>
  </w:style>
  <w:style w:type="paragraph" w:styleId="Heading1">
    <w:name w:val="heading 1"/>
    <w:basedOn w:val="Normal"/>
    <w:next w:val="NICEnormal"/>
    <w:link w:val="Heading1Char"/>
    <w:qFormat/>
    <w:rsid w:val="004A15FA"/>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4A15FA"/>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4A15FA"/>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4A15FA"/>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4A15FA"/>
    <w:pPr>
      <w:numPr>
        <w:numId w:val="59"/>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4A15FA"/>
    <w:rPr>
      <w:rFonts w:ascii="Arial" w:hAnsi="Arial" w:cs="Arial"/>
      <w:b/>
      <w:bCs/>
      <w:kern w:val="32"/>
      <w:sz w:val="32"/>
      <w:szCs w:val="32"/>
      <w:lang w:eastAsia="en-US"/>
    </w:rPr>
  </w:style>
  <w:style w:type="paragraph" w:customStyle="1" w:styleId="Bullets">
    <w:name w:val="Bullets"/>
    <w:basedOn w:val="Normal"/>
    <w:uiPriority w:val="5"/>
    <w:qFormat/>
    <w:rsid w:val="004A15FA"/>
    <w:pPr>
      <w:spacing w:after="120" w:line="276" w:lineRule="auto"/>
      <w:ind w:left="1134" w:hanging="454"/>
    </w:pPr>
    <w:rPr>
      <w:rFonts w:ascii="Arial" w:hAnsi="Arial"/>
      <w:lang w:eastAsia="en-GB"/>
    </w:rPr>
  </w:style>
  <w:style w:type="paragraph" w:styleId="Header">
    <w:name w:val="header"/>
    <w:basedOn w:val="NICEnormalsinglespacing"/>
    <w:link w:val="HeaderChar"/>
    <w:rsid w:val="004A15FA"/>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4A15FA"/>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4A15FA"/>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4A15FA"/>
    <w:rPr>
      <w:rFonts w:ascii="Arial" w:hAnsi="Arial" w:cs="Arial"/>
      <w:b/>
      <w:bCs/>
      <w:sz w:val="28"/>
      <w:szCs w:val="28"/>
      <w:lang w:eastAsia="en-US"/>
    </w:rPr>
  </w:style>
  <w:style w:type="character" w:customStyle="1" w:styleId="Heading3Char">
    <w:name w:val="Heading 3 Char"/>
    <w:basedOn w:val="DefaultParagraphFont"/>
    <w:link w:val="Heading3"/>
    <w:rsid w:val="004A15FA"/>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uiPriority w:val="39"/>
    <w:rsid w:val="004A15FA"/>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034F75"/>
    <w:pPr>
      <w:spacing w:after="200"/>
    </w:pPr>
    <w:rPr>
      <w:b/>
      <w:bCs/>
      <w:iCs/>
      <w:szCs w:val="18"/>
    </w:rPr>
  </w:style>
  <w:style w:type="character" w:styleId="Hyperlink">
    <w:name w:val="Hyperlink"/>
    <w:uiPriority w:val="99"/>
    <w:rsid w:val="004A15FA"/>
    <w:rPr>
      <w:color w:val="0000FF"/>
      <w:u w:val="single"/>
    </w:rPr>
  </w:style>
  <w:style w:type="table" w:customStyle="1" w:styleId="PanelDefault">
    <w:name w:val="Panel (Default)"/>
    <w:basedOn w:val="TableNormal"/>
    <w:uiPriority w:val="99"/>
    <w:rsid w:val="004A15F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4A15FA"/>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4A15FA"/>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034F75"/>
    <w:pPr>
      <w:spacing w:after="60"/>
    </w:pPr>
    <w:rPr>
      <w:sz w:val="22"/>
    </w:rPr>
  </w:style>
  <w:style w:type="paragraph" w:customStyle="1" w:styleId="Tablebullet">
    <w:name w:val="Table bullet"/>
    <w:basedOn w:val="Tabletext"/>
    <w:qFormat/>
    <w:rsid w:val="004A15FA"/>
    <w:pPr>
      <w:numPr>
        <w:numId w:val="61"/>
      </w:numPr>
    </w:pPr>
  </w:style>
  <w:style w:type="table" w:styleId="TableGrid">
    <w:name w:val="Table Grid"/>
    <w:basedOn w:val="TableNormal"/>
    <w:rsid w:val="004A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034F75"/>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4A15FA"/>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4A15FA"/>
    <w:rPr>
      <w:sz w:val="16"/>
      <w:szCs w:val="16"/>
    </w:rPr>
  </w:style>
  <w:style w:type="paragraph" w:styleId="CommentText">
    <w:name w:val="annotation text"/>
    <w:basedOn w:val="Normal"/>
    <w:link w:val="CommentTextChar"/>
    <w:qFormat/>
    <w:rsid w:val="004A15FA"/>
    <w:rPr>
      <w:sz w:val="20"/>
      <w:szCs w:val="20"/>
      <w:lang w:val="x-none"/>
    </w:rPr>
  </w:style>
  <w:style w:type="character" w:customStyle="1" w:styleId="CommentTextChar">
    <w:name w:val="Comment Text Char"/>
    <w:link w:val="CommentText"/>
    <w:qFormat/>
    <w:rsid w:val="004A15FA"/>
    <w:rPr>
      <w:lang w:val="x-none" w:eastAsia="en-US"/>
    </w:rPr>
  </w:style>
  <w:style w:type="paragraph" w:styleId="CommentSubject">
    <w:name w:val="annotation subject"/>
    <w:basedOn w:val="CommentText"/>
    <w:next w:val="CommentText"/>
    <w:link w:val="CommentSubjectChar"/>
    <w:semiHidden/>
    <w:rsid w:val="004A15FA"/>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4A15FA"/>
    <w:pPr>
      <w:ind w:left="720"/>
      <w:contextualSpacing/>
    </w:pPr>
    <w:rPr>
      <w:lang w:eastAsia="en-GB"/>
    </w:rPr>
  </w:style>
  <w:style w:type="paragraph" w:customStyle="1" w:styleId="NICEnormalsinglespacing">
    <w:name w:val="NICE normal single spacing"/>
    <w:basedOn w:val="NICEnormal"/>
    <w:rsid w:val="004A15FA"/>
    <w:pPr>
      <w:spacing w:line="240" w:lineRule="auto"/>
    </w:pPr>
  </w:style>
  <w:style w:type="paragraph" w:customStyle="1" w:styleId="NICEnormal">
    <w:name w:val="NICE normal"/>
    <w:link w:val="NICEnormalChar"/>
    <w:qFormat/>
    <w:rsid w:val="004A15FA"/>
    <w:pPr>
      <w:spacing w:after="240" w:line="360" w:lineRule="auto"/>
    </w:pPr>
    <w:rPr>
      <w:rFonts w:ascii="Arial" w:hAnsi="Arial"/>
      <w:sz w:val="24"/>
      <w:szCs w:val="24"/>
      <w:lang w:eastAsia="en-US"/>
    </w:rPr>
  </w:style>
  <w:style w:type="character" w:customStyle="1" w:styleId="NICEnormalChar">
    <w:name w:val="NICE normal Char"/>
    <w:link w:val="NICEnormal"/>
    <w:rsid w:val="004A15FA"/>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4A15FA"/>
    <w:pPr>
      <w:numPr>
        <w:numId w:val="62"/>
      </w:numPr>
    </w:pPr>
    <w:rPr>
      <w:szCs w:val="24"/>
    </w:rPr>
  </w:style>
  <w:style w:type="character" w:customStyle="1" w:styleId="Numberedheading1CharChar">
    <w:name w:val="Numbered heading 1 Char Char"/>
    <w:link w:val="Numberedheading1"/>
    <w:rsid w:val="004A15FA"/>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7A00B6"/>
    <w:pPr>
      <w:numPr>
        <w:ilvl w:val="1"/>
        <w:numId w:val="62"/>
      </w:numPr>
      <w:ind w:left="1134"/>
    </w:pPr>
  </w:style>
  <w:style w:type="character" w:customStyle="1" w:styleId="Numberedheading2Char">
    <w:name w:val="Numbered heading 2 Char"/>
    <w:basedOn w:val="Heading2Char"/>
    <w:link w:val="Numberedheading2"/>
    <w:rsid w:val="007A00B6"/>
    <w:rPr>
      <w:rFonts w:ascii="Arial" w:hAnsi="Arial" w:cs="Arial"/>
      <w:b/>
      <w:bCs/>
      <w:sz w:val="28"/>
      <w:szCs w:val="28"/>
      <w:lang w:eastAsia="en-US"/>
    </w:rPr>
  </w:style>
  <w:style w:type="character" w:styleId="PlaceholderText">
    <w:name w:val="Placeholder Text"/>
    <w:basedOn w:val="DefaultParagraphFont"/>
    <w:uiPriority w:val="99"/>
    <w:semiHidden/>
    <w:rsid w:val="004A15FA"/>
    <w:rPr>
      <w:color w:val="808080"/>
    </w:rPr>
  </w:style>
  <w:style w:type="paragraph" w:customStyle="1" w:styleId="Title1">
    <w:name w:val="Title 1"/>
    <w:basedOn w:val="Normal"/>
    <w:qFormat/>
    <w:rsid w:val="004A15FA"/>
    <w:pPr>
      <w:keepNext/>
      <w:spacing w:before="240" w:after="240"/>
      <w:jc w:val="center"/>
      <w:outlineLvl w:val="0"/>
    </w:pPr>
    <w:rPr>
      <w:rFonts w:ascii="Arial" w:hAnsi="Arial" w:cs="Arial"/>
      <w:b/>
      <w:bCs/>
      <w:kern w:val="28"/>
      <w:sz w:val="40"/>
      <w:szCs w:val="32"/>
    </w:rPr>
  </w:style>
  <w:style w:type="character" w:styleId="UnresolvedMention">
    <w:name w:val="Unresolved Mention"/>
    <w:basedOn w:val="DefaultParagraphFont"/>
    <w:uiPriority w:val="99"/>
    <w:semiHidden/>
    <w:unhideWhenUsed/>
    <w:rsid w:val="004A15FA"/>
    <w:rPr>
      <w:color w:val="605E5C"/>
      <w:shd w:val="clear" w:color="auto" w:fill="E1DFDD"/>
    </w:rPr>
  </w:style>
  <w:style w:type="character" w:styleId="Mention">
    <w:name w:val="Mention"/>
    <w:basedOn w:val="DefaultParagraphFont"/>
    <w:uiPriority w:val="99"/>
    <w:unhideWhenUsed/>
    <w:rsid w:val="00874D99"/>
    <w:rPr>
      <w:color w:val="2B579A"/>
      <w:shd w:val="clear" w:color="auto" w:fill="E1DFDD"/>
    </w:rPr>
  </w:style>
  <w:style w:type="character" w:styleId="FollowedHyperlink">
    <w:name w:val="FollowedHyperlink"/>
    <w:rsid w:val="004A15FA"/>
    <w:rPr>
      <w:color w:val="800080"/>
      <w:u w:val="single"/>
    </w:rPr>
  </w:style>
  <w:style w:type="paragraph" w:customStyle="1" w:styleId="paragraph0">
    <w:name w:val="paragraph"/>
    <w:basedOn w:val="Normal"/>
    <w:rsid w:val="005B1C54"/>
    <w:pPr>
      <w:spacing w:before="100" w:beforeAutospacing="1" w:after="100" w:afterAutospacing="1"/>
    </w:pPr>
  </w:style>
  <w:style w:type="character" w:customStyle="1" w:styleId="normaltextrun">
    <w:name w:val="normaltextrun"/>
    <w:basedOn w:val="DefaultParagraphFont"/>
    <w:rsid w:val="004A15FA"/>
  </w:style>
  <w:style w:type="character" w:customStyle="1" w:styleId="eop">
    <w:name w:val="eop"/>
    <w:basedOn w:val="DefaultParagraphFont"/>
    <w:rsid w:val="005B1C54"/>
  </w:style>
  <w:style w:type="paragraph" w:customStyle="1" w:styleId="Bulletindent1">
    <w:name w:val="Bullet indent 1"/>
    <w:basedOn w:val="NICEnormal"/>
    <w:link w:val="Bulletindent1Char"/>
    <w:rsid w:val="004A15FA"/>
    <w:pPr>
      <w:numPr>
        <w:numId w:val="47"/>
      </w:numPr>
      <w:spacing w:after="0"/>
    </w:pPr>
  </w:style>
  <w:style w:type="character" w:customStyle="1" w:styleId="Bulletindent1Char">
    <w:name w:val="Bullet indent 1 Char"/>
    <w:link w:val="Bulletindent1"/>
    <w:rsid w:val="004A15FA"/>
    <w:rPr>
      <w:rFonts w:ascii="Arial" w:hAnsi="Arial"/>
      <w:sz w:val="24"/>
      <w:szCs w:val="24"/>
      <w:lang w:eastAsia="en-US"/>
    </w:rPr>
  </w:style>
  <w:style w:type="paragraph" w:customStyle="1" w:styleId="Bulletindent1last">
    <w:name w:val="Bullet indent 1 last"/>
    <w:basedOn w:val="NICEnormal"/>
    <w:next w:val="NICEnormal"/>
    <w:rsid w:val="004A15FA"/>
    <w:pPr>
      <w:numPr>
        <w:numId w:val="48"/>
      </w:numPr>
    </w:pPr>
  </w:style>
  <w:style w:type="paragraph" w:customStyle="1" w:styleId="Bulletindent2">
    <w:name w:val="Bullet indent 2"/>
    <w:basedOn w:val="NICEnormal"/>
    <w:rsid w:val="004A15FA"/>
    <w:pPr>
      <w:numPr>
        <w:ilvl w:val="1"/>
        <w:numId w:val="49"/>
      </w:numPr>
      <w:spacing w:after="0"/>
    </w:pPr>
  </w:style>
  <w:style w:type="paragraph" w:customStyle="1" w:styleId="Bulletindent2last">
    <w:name w:val="Bullet indent 2 last"/>
    <w:basedOn w:val="Bulletindent2"/>
    <w:next w:val="NICEnormal"/>
    <w:rsid w:val="004A15FA"/>
    <w:pPr>
      <w:numPr>
        <w:numId w:val="51"/>
      </w:numPr>
      <w:spacing w:after="240"/>
    </w:pPr>
  </w:style>
  <w:style w:type="paragraph" w:customStyle="1" w:styleId="Bulletindent3">
    <w:name w:val="Bullet indent 3"/>
    <w:basedOn w:val="NICEnormal"/>
    <w:rsid w:val="004A15FA"/>
    <w:pPr>
      <w:numPr>
        <w:ilvl w:val="2"/>
        <w:numId w:val="51"/>
      </w:numPr>
      <w:spacing w:after="0"/>
    </w:pPr>
  </w:style>
  <w:style w:type="paragraph" w:customStyle="1" w:styleId="Bulletleft1">
    <w:name w:val="Bullet left 1"/>
    <w:basedOn w:val="NICEnormal"/>
    <w:qFormat/>
    <w:rsid w:val="004A15FA"/>
    <w:pPr>
      <w:numPr>
        <w:numId w:val="52"/>
      </w:numPr>
      <w:spacing w:after="0"/>
    </w:pPr>
  </w:style>
  <w:style w:type="paragraph" w:customStyle="1" w:styleId="Bulletleft1last">
    <w:name w:val="Bullet left 1 last"/>
    <w:basedOn w:val="NICEnormal"/>
    <w:link w:val="Bulletleft1lastChar"/>
    <w:rsid w:val="004A15FA"/>
    <w:pPr>
      <w:numPr>
        <w:numId w:val="53"/>
      </w:numPr>
    </w:pPr>
    <w:rPr>
      <w:rFonts w:cs="Arial"/>
    </w:rPr>
  </w:style>
  <w:style w:type="character" w:customStyle="1" w:styleId="Bulletleft1lastChar">
    <w:name w:val="Bullet left 1 last Char"/>
    <w:link w:val="Bulletleft1last"/>
    <w:rsid w:val="004A15FA"/>
    <w:rPr>
      <w:rFonts w:ascii="Arial" w:hAnsi="Arial" w:cs="Arial"/>
      <w:sz w:val="24"/>
      <w:szCs w:val="24"/>
      <w:lang w:eastAsia="en-US"/>
    </w:rPr>
  </w:style>
  <w:style w:type="paragraph" w:customStyle="1" w:styleId="Bulletleft2">
    <w:name w:val="Bullet left 2"/>
    <w:basedOn w:val="NICEnormal"/>
    <w:rsid w:val="004A15FA"/>
    <w:pPr>
      <w:numPr>
        <w:ilvl w:val="1"/>
        <w:numId w:val="54"/>
      </w:numPr>
      <w:spacing w:after="0"/>
    </w:pPr>
  </w:style>
  <w:style w:type="paragraph" w:customStyle="1" w:styleId="Bulletleft3">
    <w:name w:val="Bullet left 3"/>
    <w:basedOn w:val="NICEnormal"/>
    <w:rsid w:val="004A15FA"/>
    <w:pPr>
      <w:numPr>
        <w:ilvl w:val="2"/>
        <w:numId w:val="55"/>
      </w:numPr>
      <w:spacing w:after="0"/>
    </w:pPr>
  </w:style>
  <w:style w:type="paragraph" w:customStyle="1" w:styleId="Documentissuedate">
    <w:name w:val="Document issue date"/>
    <w:basedOn w:val="NICEnormal"/>
    <w:qFormat/>
    <w:rsid w:val="004A15FA"/>
    <w:rPr>
      <w:lang w:val="en-US"/>
    </w:rPr>
  </w:style>
  <w:style w:type="character" w:styleId="FootnoteReference">
    <w:name w:val="footnote reference"/>
    <w:rsid w:val="004A15FA"/>
    <w:rPr>
      <w:vertAlign w:val="superscript"/>
    </w:rPr>
  </w:style>
  <w:style w:type="paragraph" w:styleId="FootnoteText">
    <w:name w:val="footnote text"/>
    <w:basedOn w:val="Normal"/>
    <w:link w:val="FootnoteTextChar"/>
    <w:rsid w:val="004A15FA"/>
    <w:rPr>
      <w:sz w:val="20"/>
      <w:szCs w:val="20"/>
    </w:rPr>
  </w:style>
  <w:style w:type="character" w:customStyle="1" w:styleId="FootnoteTextChar">
    <w:name w:val="Footnote Text Char"/>
    <w:link w:val="FootnoteText"/>
    <w:rsid w:val="004A15FA"/>
    <w:rPr>
      <w:lang w:eastAsia="en-US"/>
    </w:rPr>
  </w:style>
  <w:style w:type="paragraph" w:customStyle="1" w:styleId="Guidanceissuedate">
    <w:name w:val="Guidance issue date"/>
    <w:basedOn w:val="NICEnormal"/>
    <w:qFormat/>
    <w:rsid w:val="004A15FA"/>
    <w:rPr>
      <w:lang w:val="en-US"/>
    </w:rPr>
  </w:style>
  <w:style w:type="paragraph" w:customStyle="1" w:styleId="NICEnormalindented">
    <w:name w:val="NICE normal indented"/>
    <w:basedOn w:val="NICEnormal"/>
    <w:rsid w:val="004A15FA"/>
    <w:pPr>
      <w:tabs>
        <w:tab w:val="left" w:pos="1134"/>
      </w:tabs>
      <w:ind w:left="1134"/>
    </w:pPr>
  </w:style>
  <w:style w:type="paragraph" w:customStyle="1" w:styleId="Numberedlevel2text">
    <w:name w:val="Numbered level 2 text"/>
    <w:basedOn w:val="Normal"/>
    <w:link w:val="Numberedlevel2textChar"/>
    <w:qFormat/>
    <w:rsid w:val="004A15FA"/>
    <w:pPr>
      <w:numPr>
        <w:ilvl w:val="1"/>
        <w:numId w:val="57"/>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4A15FA"/>
    <w:rPr>
      <w:rFonts w:ascii="Arial" w:hAnsi="Arial"/>
      <w:bCs/>
      <w:iCs/>
      <w:sz w:val="24"/>
      <w:szCs w:val="28"/>
      <w:lang w:val="x-none" w:eastAsia="en-US"/>
    </w:rPr>
  </w:style>
  <w:style w:type="character" w:styleId="PageNumber">
    <w:name w:val="page number"/>
    <w:rsid w:val="004A15FA"/>
    <w:rPr>
      <w:rFonts w:ascii="Arial" w:hAnsi="Arial"/>
      <w:sz w:val="24"/>
    </w:rPr>
  </w:style>
  <w:style w:type="paragraph" w:customStyle="1" w:styleId="Panelbullet1">
    <w:name w:val="Panel bullet 1"/>
    <w:basedOn w:val="ListParagraph"/>
    <w:qFormat/>
    <w:rsid w:val="004A15FA"/>
    <w:pPr>
      <w:numPr>
        <w:numId w:val="58"/>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4A15FA"/>
    <w:rPr>
      <w:color w:val="FFFFFF" w:themeColor="background1"/>
      <w:u w:val="single"/>
    </w:rPr>
  </w:style>
  <w:style w:type="paragraph" w:customStyle="1" w:styleId="Paragraphnonumbers">
    <w:name w:val="Paragraph no numbers"/>
    <w:basedOn w:val="Normal"/>
    <w:uiPriority w:val="99"/>
    <w:qFormat/>
    <w:rsid w:val="004A15FA"/>
    <w:pPr>
      <w:spacing w:after="240" w:line="276" w:lineRule="auto"/>
    </w:pPr>
    <w:rPr>
      <w:rFonts w:ascii="Arial" w:hAnsi="Arial"/>
      <w:lang w:eastAsia="en-GB"/>
    </w:rPr>
  </w:style>
  <w:style w:type="paragraph" w:styleId="Quote">
    <w:name w:val="Quote"/>
    <w:basedOn w:val="NICEnormal"/>
    <w:next w:val="NICEnormal"/>
    <w:link w:val="QuoteChar"/>
    <w:uiPriority w:val="29"/>
    <w:qFormat/>
    <w:rsid w:val="004A15FA"/>
    <w:pPr>
      <w:spacing w:before="200" w:after="160"/>
      <w:ind w:left="864" w:right="864"/>
      <w:jc w:val="center"/>
    </w:pPr>
    <w:rPr>
      <w:iCs/>
    </w:rPr>
  </w:style>
  <w:style w:type="character" w:customStyle="1" w:styleId="QuoteChar">
    <w:name w:val="Quote Char"/>
    <w:basedOn w:val="DefaultParagraphFont"/>
    <w:link w:val="Quote"/>
    <w:uiPriority w:val="29"/>
    <w:rsid w:val="004A15FA"/>
    <w:rPr>
      <w:rFonts w:ascii="Arial" w:hAnsi="Arial"/>
      <w:iCs/>
      <w:sz w:val="24"/>
      <w:szCs w:val="24"/>
      <w:lang w:eastAsia="en-US"/>
    </w:rPr>
  </w:style>
  <w:style w:type="paragraph" w:customStyle="1" w:styleId="Section412paragraphs">
    <w:name w:val="Section 4.1.2 paragraphs"/>
    <w:basedOn w:val="NICEnormal"/>
    <w:rsid w:val="004A15FA"/>
    <w:pPr>
      <w:numPr>
        <w:numId w:val="60"/>
      </w:numPr>
    </w:pPr>
  </w:style>
  <w:style w:type="character" w:customStyle="1" w:styleId="ui-provider">
    <w:name w:val="ui-provider"/>
    <w:basedOn w:val="DefaultParagraphFont"/>
    <w:rsid w:val="004A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policypartnership.com/app/uploads/Health-system-readiness-for-radioligand-therapy-in-the-UK-situation-analysis-report.pdf" TargetMode="External"/><Relationship Id="rId18" Type="http://schemas.openxmlformats.org/officeDocument/2006/relationships/hyperlink" Target="https://www.england.nhs.uk/wp-content/uploads/2024/09/2322-molecular-radioherapy-service-specification.pdf" TargetMode="External"/><Relationship Id="rId26" Type="http://schemas.openxmlformats.org/officeDocument/2006/relationships/hyperlink" Target="https://www.nice.org.uk/guidance/ng82" TargetMode="External"/><Relationship Id="rId39" Type="http://schemas.openxmlformats.org/officeDocument/2006/relationships/hyperlink" Target="https://www.nice.org.uk/guidance/ng82/chapter/Context" TargetMode="External"/><Relationship Id="rId21" Type="http://schemas.openxmlformats.org/officeDocument/2006/relationships/hyperlink" Target="https://www.gov.uk/government/publications/ionising-radiation-medical-exposure-regulations-2017-guidance" TargetMode="External"/><Relationship Id="rId34" Type="http://schemas.openxmlformats.org/officeDocument/2006/relationships/hyperlink" Target="https://www.england.nhs.uk/wp-content/uploads/2024/09/2322-molecular-radioherapy-service-specification.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si/2017/1322/contents" TargetMode="External"/><Relationship Id="rId20" Type="http://schemas.openxmlformats.org/officeDocument/2006/relationships/hyperlink" Target="https://www.gov.uk/guidance/how-to-submit-employer-licence-applications-to-arsac" TargetMode="External"/><Relationship Id="rId29" Type="http://schemas.openxmlformats.org/officeDocument/2006/relationships/hyperlink" Target="https://pmc.ncbi.nlm.nih.gov/articles/PMC3329633/" TargetMode="External"/><Relationship Id="rId41" Type="http://schemas.openxmlformats.org/officeDocument/2006/relationships/hyperlink" Target="https://www.healthpolicypartnership.com/app/uploads/Health-system-readiness-for-radioligand-therapy-in-the-UK-situation-analysis-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mc.ncbi.nlm.nih.gov/articles/PMC3329633/" TargetMode="External"/><Relationship Id="rId32" Type="http://schemas.openxmlformats.org/officeDocument/2006/relationships/hyperlink" Target="https://www.cqc.org.uk/publications/themes-care/irmer-annual-report-202021" TargetMode="External"/><Relationship Id="rId37" Type="http://schemas.openxmlformats.org/officeDocument/2006/relationships/hyperlink" Target="https://www.nhs.uk/conditions/age-related-macular-degeneration-amd/treatment/" TargetMode="External"/><Relationship Id="rId40" Type="http://schemas.openxmlformats.org/officeDocument/2006/relationships/hyperlink" Target="https://pmc.ncbi.nlm.nih.gov/articles/PMC3329633/" TargetMode="External"/><Relationship Id="rId5" Type="http://schemas.openxmlformats.org/officeDocument/2006/relationships/webSettings" Target="webSettings.xml"/><Relationship Id="rId15" Type="http://schemas.openxmlformats.org/officeDocument/2006/relationships/hyperlink" Target="https://www.england.nhs.uk/wp-content/uploads/2025/02/commissioning-policy-2307-psma-petct-imaging-for-individuals-with-high-risk-primary-or-recurrent-prostate-canc.pdf" TargetMode="External"/><Relationship Id="rId23" Type="http://schemas.openxmlformats.org/officeDocument/2006/relationships/hyperlink" Target="https://www.england.nhs.uk/wp-content/uploads/2024/09/2322-molecular-radioherapy-service-specification.pdf" TargetMode="External"/><Relationship Id="rId28" Type="http://schemas.openxmlformats.org/officeDocument/2006/relationships/hyperlink" Target="https://www.nhs.uk/conditions/age-related-macular-degeneration-amd/treatment/" TargetMode="External"/><Relationship Id="rId36" Type="http://schemas.openxmlformats.org/officeDocument/2006/relationships/hyperlink" Target="https://www.nhs.uk/conditions/age-related-macular-degeneration-amd/symptoms/" TargetMode="External"/><Relationship Id="rId10" Type="http://schemas.openxmlformats.org/officeDocument/2006/relationships/header" Target="header2.xml"/><Relationship Id="rId19" Type="http://schemas.openxmlformats.org/officeDocument/2006/relationships/hyperlink" Target="https://www.gov.uk/government/organisations/administration-of-radioactive-substances-advisory-committee" TargetMode="External"/><Relationship Id="rId31" Type="http://schemas.openxmlformats.org/officeDocument/2006/relationships/hyperlink" Target="https://www.gov.uk/guidance/how-to-submit-employer-licence-applications-to-arsa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ta539" TargetMode="External"/><Relationship Id="rId22" Type="http://schemas.openxmlformats.org/officeDocument/2006/relationships/hyperlink" Target="https://www.cqc.org.uk/publications/themes-care/irmer-annual-report-202021" TargetMode="External"/><Relationship Id="rId27" Type="http://schemas.openxmlformats.org/officeDocument/2006/relationships/hyperlink" Target="https://www.nice.org.uk/guidance/ng82" TargetMode="External"/><Relationship Id="rId30" Type="http://schemas.openxmlformats.org/officeDocument/2006/relationships/header" Target="header4.xml"/><Relationship Id="rId35" Type="http://schemas.openxmlformats.org/officeDocument/2006/relationships/hyperlink" Target="https://www.england.nhs.uk/wp-content/uploads/2025/02/commissioning-policy-2307-psma-petct-imaging-for-individuals-with-high-risk-primary-or-recurrent-prostate-canc.pdf" TargetMode="External"/><Relationship Id="rId4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qc.org.uk/publications/themes-care/irmer-annual-report-202021" TargetMode="External"/><Relationship Id="rId25" Type="http://schemas.openxmlformats.org/officeDocument/2006/relationships/hyperlink" Target="https://www.nhs.uk/conditions/age-related-macular-degeneration-amd/symptoms/" TargetMode="External"/><Relationship Id="rId33" Type="http://schemas.openxmlformats.org/officeDocument/2006/relationships/hyperlink" Target="https://www.legislation.gov.uk/uksi/2017/1322/contents" TargetMode="External"/><Relationship Id="rId38" Type="http://schemas.openxmlformats.org/officeDocument/2006/relationships/hyperlink" Target="https://www.nice.org.uk/guidance/ta539/chapter/1-Recommenda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
      <w:docPartPr>
        <w:name w:val="C0889E643F1E4CF1BE080F579BB8468D"/>
        <w:category>
          <w:name w:val="General"/>
          <w:gallery w:val="placeholder"/>
        </w:category>
        <w:types>
          <w:type w:val="bbPlcHdr"/>
        </w:types>
        <w:behaviors>
          <w:behavior w:val="content"/>
        </w:behaviors>
        <w:guid w:val="{87E617B3-F990-474E-868F-4BABE28BDADC}"/>
      </w:docPartPr>
      <w:docPartBody>
        <w:p w:rsidR="001F63B7" w:rsidRDefault="00565836" w:rsidP="00565836">
          <w:pPr>
            <w:pStyle w:val="C0889E643F1E4CF1BE080F579BB8468D"/>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Inter">
    <w:panose1 w:val="02000503000000020004"/>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06515"/>
    <w:rsid w:val="00045435"/>
    <w:rsid w:val="00067396"/>
    <w:rsid w:val="00081C83"/>
    <w:rsid w:val="000C201C"/>
    <w:rsid w:val="001160A2"/>
    <w:rsid w:val="001471C1"/>
    <w:rsid w:val="00147C6B"/>
    <w:rsid w:val="00150EA5"/>
    <w:rsid w:val="001537CA"/>
    <w:rsid w:val="001F63B7"/>
    <w:rsid w:val="00217358"/>
    <w:rsid w:val="0022606B"/>
    <w:rsid w:val="002476AF"/>
    <w:rsid w:val="002544AD"/>
    <w:rsid w:val="00256CD3"/>
    <w:rsid w:val="00272961"/>
    <w:rsid w:val="00281FD5"/>
    <w:rsid w:val="00283A7B"/>
    <w:rsid w:val="002910D4"/>
    <w:rsid w:val="002C4E70"/>
    <w:rsid w:val="002E4949"/>
    <w:rsid w:val="0031613F"/>
    <w:rsid w:val="00345374"/>
    <w:rsid w:val="0035042C"/>
    <w:rsid w:val="00357BFB"/>
    <w:rsid w:val="003A5DD0"/>
    <w:rsid w:val="00407E61"/>
    <w:rsid w:val="00447DDD"/>
    <w:rsid w:val="004B7AA8"/>
    <w:rsid w:val="005317C6"/>
    <w:rsid w:val="00533D2C"/>
    <w:rsid w:val="00534AFE"/>
    <w:rsid w:val="00535B56"/>
    <w:rsid w:val="00565836"/>
    <w:rsid w:val="005851AE"/>
    <w:rsid w:val="005B6BA3"/>
    <w:rsid w:val="005E0871"/>
    <w:rsid w:val="0061117F"/>
    <w:rsid w:val="00617FC9"/>
    <w:rsid w:val="00666CF3"/>
    <w:rsid w:val="006A67CC"/>
    <w:rsid w:val="006B418C"/>
    <w:rsid w:val="006C2A9F"/>
    <w:rsid w:val="007609F7"/>
    <w:rsid w:val="00794BF8"/>
    <w:rsid w:val="007C446F"/>
    <w:rsid w:val="007C5857"/>
    <w:rsid w:val="007E0D14"/>
    <w:rsid w:val="008B1013"/>
    <w:rsid w:val="008B5C0F"/>
    <w:rsid w:val="008D4A49"/>
    <w:rsid w:val="008D555A"/>
    <w:rsid w:val="009327A5"/>
    <w:rsid w:val="009E39B2"/>
    <w:rsid w:val="009F4FDF"/>
    <w:rsid w:val="00A257B3"/>
    <w:rsid w:val="00A34D9D"/>
    <w:rsid w:val="00A416A5"/>
    <w:rsid w:val="00A9052C"/>
    <w:rsid w:val="00AD7949"/>
    <w:rsid w:val="00AE3134"/>
    <w:rsid w:val="00AF1587"/>
    <w:rsid w:val="00B13F69"/>
    <w:rsid w:val="00B64965"/>
    <w:rsid w:val="00C348F9"/>
    <w:rsid w:val="00C751CA"/>
    <w:rsid w:val="00CA31D4"/>
    <w:rsid w:val="00D04B45"/>
    <w:rsid w:val="00DA0964"/>
    <w:rsid w:val="00DC6287"/>
    <w:rsid w:val="00E73368"/>
    <w:rsid w:val="00E93C06"/>
    <w:rsid w:val="00EC279B"/>
    <w:rsid w:val="00F04902"/>
    <w:rsid w:val="00F37198"/>
    <w:rsid w:val="00F40FFC"/>
    <w:rsid w:val="00F44ECF"/>
    <w:rsid w:val="00F53822"/>
    <w:rsid w:val="00F76B85"/>
    <w:rsid w:val="00FB3E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 w:type="paragraph" w:customStyle="1" w:styleId="C0889E643F1E4CF1BE080F579BB8468D">
    <w:name w:val="C0889E643F1E4CF1BE080F579BB8468D"/>
    <w:rsid w:val="0056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4190</Words>
  <Characters>25816</Characters>
  <Application>Microsoft Office Word</Application>
  <DocSecurity>0</DocSecurity>
  <Lines>549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2026-07-07T09:58:00Z</dcterms:created>
  <dcterms:modified xsi:type="dcterms:W3CDTF">2026-07-07T09:58:00Z</dcterms:modified>
</cp:coreProperties>
</file>