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2EA4" w14:textId="34E2F26C" w:rsidR="007400D7" w:rsidRPr="00805888" w:rsidRDefault="007A4EBA" w:rsidP="00F14220">
      <w:pPr>
        <w:pStyle w:val="Title"/>
      </w:pPr>
      <w:bookmarkStart w:id="0" w:name="_Toc177990550"/>
      <w:bookmarkStart w:id="1" w:name="_Toc177994673"/>
      <w:bookmarkStart w:id="2" w:name="_Toc177995078"/>
      <w:bookmarkStart w:id="3" w:name="_Toc216279656"/>
      <w:bookmarkStart w:id="4" w:name="_Toc216438708"/>
      <w:bookmarkStart w:id="5" w:name="_Toc216444254"/>
      <w:bookmarkStart w:id="6" w:name="_Toc216792195"/>
      <w:bookmarkStart w:id="7" w:name="_Toc216809645"/>
      <w:bookmarkStart w:id="8" w:name="_Toc216819131"/>
      <w:bookmarkStart w:id="9" w:name="_Toc218608647"/>
      <w:bookmarkStart w:id="10" w:name="_Toc1251061909"/>
      <w:bookmarkStart w:id="11" w:name="_Toc221097971"/>
      <w:bookmarkStart w:id="12" w:name="_Toc226448936"/>
      <w:bookmarkStart w:id="13" w:name="_Toc226546560"/>
      <w:bookmarkStart w:id="14" w:name="_Hlk221021351"/>
      <w:r w:rsidRPr="00805888">
        <w:t>Infrastructure and service redesign: examining the methods for capturing implementation costs</w:t>
      </w:r>
      <w:bookmarkEnd w:id="0"/>
      <w:bookmarkEnd w:id="1"/>
      <w:bookmarkEnd w:id="2"/>
      <w:bookmarkEnd w:id="3"/>
      <w:bookmarkEnd w:id="4"/>
      <w:bookmarkEnd w:id="5"/>
      <w:bookmarkEnd w:id="6"/>
      <w:bookmarkEnd w:id="7"/>
      <w:bookmarkEnd w:id="8"/>
      <w:bookmarkEnd w:id="9"/>
      <w:bookmarkEnd w:id="10"/>
      <w:bookmarkEnd w:id="11"/>
      <w:bookmarkEnd w:id="12"/>
      <w:bookmarkEnd w:id="13"/>
    </w:p>
    <w:p w14:paraId="006EDBE8" w14:textId="790DA990" w:rsidR="00E54FB7" w:rsidRPr="00F26713" w:rsidRDefault="00E54FB7" w:rsidP="00DB7AF2">
      <w:pPr>
        <w:pStyle w:val="Heading1"/>
        <w:ind w:left="720" w:hanging="720"/>
        <w:jc w:val="center"/>
        <w:rPr>
          <w:lang w:eastAsia="en-GB"/>
        </w:rPr>
      </w:pPr>
      <w:bookmarkStart w:id="15" w:name="_Toc216444255"/>
      <w:bookmarkStart w:id="16" w:name="_Toc216792196"/>
      <w:bookmarkStart w:id="17" w:name="_Toc216809646"/>
      <w:bookmarkStart w:id="18" w:name="_Toc216819132"/>
      <w:bookmarkStart w:id="19" w:name="_Toc218608648"/>
      <w:bookmarkStart w:id="20" w:name="_Toc789150509"/>
      <w:bookmarkStart w:id="21" w:name="_Toc221097972"/>
      <w:bookmarkStart w:id="22" w:name="_Toc226448937"/>
      <w:bookmarkStart w:id="23" w:name="_Toc226546561"/>
      <w:r w:rsidRPr="00F26713">
        <w:rPr>
          <w:lang w:eastAsia="en-GB"/>
        </w:rPr>
        <w:t xml:space="preserve">Appendix </w:t>
      </w:r>
      <w:r w:rsidR="00F26713">
        <w:rPr>
          <w:lang w:eastAsia="en-GB"/>
        </w:rPr>
        <w:t>C</w:t>
      </w:r>
      <w:r w:rsidRPr="00F26713">
        <w:rPr>
          <w:lang w:eastAsia="en-GB"/>
        </w:rPr>
        <w:t xml:space="preserve">. Review of </w:t>
      </w:r>
      <w:bookmarkEnd w:id="15"/>
      <w:bookmarkEnd w:id="16"/>
      <w:bookmarkEnd w:id="17"/>
      <w:bookmarkEnd w:id="18"/>
      <w:r w:rsidR="007A4EBA" w:rsidRPr="00F26713">
        <w:rPr>
          <w:lang w:eastAsia="en-GB"/>
        </w:rPr>
        <w:t>NICE methods</w:t>
      </w:r>
      <w:bookmarkEnd w:id="19"/>
      <w:bookmarkEnd w:id="20"/>
      <w:bookmarkEnd w:id="21"/>
      <w:bookmarkEnd w:id="22"/>
      <w:bookmarkEnd w:id="23"/>
    </w:p>
    <w:p w14:paraId="6F0EB1E7" w14:textId="4F9D5E6D" w:rsidR="006A14A8" w:rsidRPr="007400D7" w:rsidRDefault="12ADDAF3" w:rsidP="006A50E3">
      <w:pPr>
        <w:pStyle w:val="Title"/>
        <w:ind w:left="720" w:hanging="720"/>
        <w:rPr>
          <w:sz w:val="32"/>
        </w:rPr>
      </w:pPr>
      <w:bookmarkStart w:id="24" w:name="_Toc177990551"/>
      <w:bookmarkStart w:id="25" w:name="_Toc177994674"/>
      <w:bookmarkStart w:id="26" w:name="_Toc177995079"/>
      <w:bookmarkStart w:id="27" w:name="_Toc216279657"/>
      <w:bookmarkStart w:id="28" w:name="_Toc216438709"/>
      <w:bookmarkStart w:id="29" w:name="_Toc216444256"/>
      <w:bookmarkStart w:id="30" w:name="_Toc216792197"/>
      <w:bookmarkStart w:id="31" w:name="_Toc216809647"/>
      <w:bookmarkStart w:id="32" w:name="_Toc216819133"/>
      <w:bookmarkStart w:id="33" w:name="_Toc218608649"/>
      <w:bookmarkStart w:id="34" w:name="_Toc1000574110"/>
      <w:bookmarkStart w:id="35" w:name="_Toc221097973"/>
      <w:bookmarkStart w:id="36" w:name="_Toc226448938"/>
      <w:bookmarkStart w:id="37" w:name="_Toc226546562"/>
      <w:r w:rsidRPr="00F26713">
        <w:rPr>
          <w:sz w:val="32"/>
        </w:rPr>
        <w:t>HTA Innovation Laborator</w:t>
      </w:r>
      <w:r w:rsidR="5E261F86" w:rsidRPr="00F26713">
        <w:rPr>
          <w:sz w:val="32"/>
        </w:rPr>
        <w:t>y</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43B811B" w14:textId="625F4A08" w:rsidR="006A14A8" w:rsidRPr="00F14220" w:rsidRDefault="006A14A8" w:rsidP="00F14220"/>
    <w:p w14:paraId="3D63C4DE" w14:textId="77777777" w:rsidR="007400D7" w:rsidRDefault="007400D7" w:rsidP="006A50E3">
      <w:pPr>
        <w:pStyle w:val="Paragraph"/>
        <w:ind w:left="720" w:hanging="720"/>
        <w:rPr>
          <w:lang w:eastAsia="en-GB"/>
        </w:rPr>
      </w:pPr>
    </w:p>
    <w:p w14:paraId="1BA865C3" w14:textId="06081A55" w:rsidR="007400D7" w:rsidRDefault="002B7C7C" w:rsidP="006A50E3">
      <w:pPr>
        <w:pStyle w:val="Paragraph"/>
        <w:ind w:left="720" w:hanging="720"/>
        <w:rPr>
          <w:lang w:eastAsia="en-GB"/>
        </w:rPr>
      </w:pPr>
      <w:proofErr w:type="gramStart"/>
      <w:r>
        <w:rPr>
          <w:lang w:eastAsia="en-GB"/>
        </w:rPr>
        <w:t xml:space="preserve">June </w:t>
      </w:r>
      <w:r w:rsidR="007E0416">
        <w:rPr>
          <w:lang w:eastAsia="en-GB"/>
        </w:rPr>
        <w:t xml:space="preserve"> 2026</w:t>
      </w:r>
      <w:proofErr w:type="gramEnd"/>
    </w:p>
    <w:p w14:paraId="034B663B" w14:textId="7205A4F8" w:rsidR="00473FD7" w:rsidRDefault="00473FD7" w:rsidP="00473FD7">
      <w:pPr>
        <w:pStyle w:val="Paragraph"/>
        <w:spacing w:line="240" w:lineRule="auto"/>
        <w:rPr>
          <w:lang w:eastAsia="en-GB"/>
        </w:rPr>
        <w:sectPr w:rsidR="00473FD7" w:rsidSect="00473FD7">
          <w:headerReference w:type="default" r:id="rId8"/>
          <w:footerReference w:type="default" r:id="rId9"/>
          <w:headerReference w:type="first" r:id="rId10"/>
          <w:footerReference w:type="first" r:id="rId11"/>
          <w:pgSz w:w="11906" w:h="16838"/>
          <w:pgMar w:top="1440" w:right="1800" w:bottom="1440" w:left="1800" w:header="708" w:footer="708" w:gutter="0"/>
          <w:cols w:space="708"/>
          <w:docGrid w:linePitch="360"/>
        </w:sectPr>
      </w:pPr>
    </w:p>
    <w:p w14:paraId="553275F0" w14:textId="77777777" w:rsidR="004B675C" w:rsidRDefault="004B675C" w:rsidP="00400540">
      <w:pPr>
        <w:pStyle w:val="Paragraph"/>
        <w:rPr>
          <w:lang w:eastAsia="en-GB"/>
        </w:rPr>
      </w:pPr>
    </w:p>
    <w:p w14:paraId="3C9817CA" w14:textId="13CA0846" w:rsidR="009B780D" w:rsidRPr="004B675C" w:rsidRDefault="007400D7" w:rsidP="006A50E3">
      <w:pPr>
        <w:pStyle w:val="Heading1"/>
        <w:ind w:left="720" w:hanging="720"/>
      </w:pPr>
      <w:bookmarkStart w:id="38" w:name="_Toc177990553"/>
      <w:bookmarkStart w:id="39" w:name="_Toc177994676"/>
      <w:bookmarkStart w:id="40" w:name="_Toc177995081"/>
      <w:bookmarkStart w:id="41" w:name="_Toc216279659"/>
      <w:bookmarkStart w:id="42" w:name="_Toc216438711"/>
      <w:bookmarkStart w:id="43" w:name="_Toc216444258"/>
      <w:bookmarkStart w:id="44" w:name="_Toc216792199"/>
      <w:bookmarkStart w:id="45" w:name="_Toc216809649"/>
      <w:bookmarkStart w:id="46" w:name="_Toc216819135"/>
      <w:bookmarkStart w:id="47" w:name="_Toc218608651"/>
      <w:bookmarkStart w:id="48" w:name="_Toc628114725"/>
      <w:bookmarkStart w:id="49" w:name="_Toc221097975"/>
      <w:bookmarkStart w:id="50" w:name="_Toc226448940"/>
      <w:bookmarkStart w:id="51" w:name="_Toc226546563"/>
      <w:r>
        <w:t>Contents</w:t>
      </w:r>
      <w:bookmarkEnd w:id="38"/>
      <w:bookmarkEnd w:id="39"/>
      <w:bookmarkEnd w:id="40"/>
      <w:bookmarkEnd w:id="41"/>
      <w:bookmarkEnd w:id="42"/>
      <w:bookmarkEnd w:id="43"/>
      <w:bookmarkEnd w:id="44"/>
      <w:bookmarkEnd w:id="45"/>
      <w:bookmarkEnd w:id="46"/>
      <w:bookmarkEnd w:id="47"/>
      <w:bookmarkEnd w:id="48"/>
      <w:bookmarkEnd w:id="49"/>
      <w:bookmarkEnd w:id="50"/>
      <w:bookmarkEnd w:id="51"/>
    </w:p>
    <w:sdt>
      <w:sdtPr>
        <w:id w:val="755918088"/>
        <w:docPartObj>
          <w:docPartGallery w:val="Table of Contents"/>
          <w:docPartUnique/>
        </w:docPartObj>
      </w:sdtPr>
      <w:sdtEndPr>
        <w:rPr>
          <w:rStyle w:val="Hyperlink"/>
          <w:rFonts w:ascii="Arial" w:hAnsi="Arial"/>
          <w:color w:val="0000FF"/>
          <w:u w:val="single"/>
        </w:rPr>
      </w:sdtEndPr>
      <w:sdtContent>
        <w:p w14:paraId="669CA21D" w14:textId="355D9567" w:rsidR="00A904DA" w:rsidRPr="00B8208D" w:rsidRDefault="445DA31A" w:rsidP="00050B47">
          <w:pPr>
            <w:pStyle w:val="TOC1"/>
            <w:tabs>
              <w:tab w:val="right" w:leader="dot" w:pos="8296"/>
            </w:tabs>
            <w:rPr>
              <w:rStyle w:val="Hyperlink"/>
              <w:rFonts w:ascii="Arial" w:eastAsiaTheme="minorEastAsia" w:hAnsi="Arial"/>
            </w:rPr>
          </w:pPr>
          <w:r w:rsidRPr="00B8208D">
            <w:rPr>
              <w:rStyle w:val="Hyperlink"/>
              <w:rFonts w:ascii="Arial" w:hAnsi="Arial"/>
            </w:rPr>
            <w:fldChar w:fldCharType="begin"/>
          </w:r>
          <w:r w:rsidR="00696A2A" w:rsidRPr="00B8208D">
            <w:rPr>
              <w:rStyle w:val="Hyperlink"/>
              <w:rFonts w:ascii="Arial" w:hAnsi="Arial"/>
            </w:rPr>
            <w:instrText>TOC \o "1-3" \z \u \h</w:instrText>
          </w:r>
          <w:r w:rsidRPr="00B8208D">
            <w:rPr>
              <w:rStyle w:val="Hyperlink"/>
              <w:rFonts w:ascii="Arial" w:hAnsi="Arial"/>
            </w:rPr>
            <w:fldChar w:fldCharType="separate"/>
          </w:r>
        </w:p>
        <w:p w14:paraId="2204263A" w14:textId="6062A7B2" w:rsidR="00A904DA" w:rsidRPr="00B8208D" w:rsidRDefault="00A904DA">
          <w:pPr>
            <w:pStyle w:val="TOC1"/>
            <w:tabs>
              <w:tab w:val="left" w:pos="480"/>
              <w:tab w:val="right" w:leader="dot" w:pos="8296"/>
            </w:tabs>
            <w:rPr>
              <w:rStyle w:val="Hyperlink"/>
              <w:rFonts w:ascii="Arial" w:eastAsiaTheme="minorEastAsia" w:hAnsi="Arial"/>
            </w:rPr>
          </w:pPr>
          <w:hyperlink w:anchor="_Toc226546564" w:history="1">
            <w:r w:rsidRPr="00B8208D">
              <w:rPr>
                <w:rStyle w:val="Hyperlink"/>
                <w:rFonts w:ascii="Arial" w:hAnsi="Arial"/>
              </w:rPr>
              <w:t>1</w:t>
            </w:r>
            <w:r w:rsidRPr="00B8208D">
              <w:rPr>
                <w:rStyle w:val="Hyperlink"/>
                <w:rFonts w:ascii="Arial" w:eastAsiaTheme="minorEastAsia" w:hAnsi="Arial"/>
              </w:rPr>
              <w:tab/>
            </w:r>
            <w:r w:rsidRPr="00B8208D">
              <w:rPr>
                <w:rStyle w:val="Hyperlink"/>
                <w:rFonts w:ascii="Arial" w:hAnsi="Arial"/>
              </w:rPr>
              <w:t>Purpose and scope of the review</w:t>
            </w:r>
            <w:r w:rsidRPr="00B8208D">
              <w:rPr>
                <w:rStyle w:val="Hyperlink"/>
                <w:rFonts w:ascii="Arial" w:hAnsi="Arial"/>
                <w:webHidden/>
              </w:rPr>
              <w:tab/>
            </w:r>
            <w:r w:rsidRPr="00B8208D">
              <w:rPr>
                <w:rStyle w:val="Hyperlink"/>
                <w:rFonts w:ascii="Arial" w:hAnsi="Arial"/>
                <w:webHidden/>
              </w:rPr>
              <w:fldChar w:fldCharType="begin"/>
            </w:r>
            <w:r w:rsidRPr="00B8208D">
              <w:rPr>
                <w:rStyle w:val="Hyperlink"/>
                <w:rFonts w:ascii="Arial" w:hAnsi="Arial"/>
                <w:webHidden/>
              </w:rPr>
              <w:instrText xml:space="preserve"> PAGEREF _Toc226546564 \h </w:instrText>
            </w:r>
            <w:r w:rsidRPr="00B8208D">
              <w:rPr>
                <w:rStyle w:val="Hyperlink"/>
                <w:rFonts w:ascii="Arial" w:hAnsi="Arial"/>
                <w:webHidden/>
              </w:rPr>
            </w:r>
            <w:r w:rsidRPr="00B8208D">
              <w:rPr>
                <w:rStyle w:val="Hyperlink"/>
                <w:rFonts w:ascii="Arial" w:hAnsi="Arial"/>
                <w:webHidden/>
              </w:rPr>
              <w:fldChar w:fldCharType="separate"/>
            </w:r>
            <w:r w:rsidRPr="00B8208D">
              <w:rPr>
                <w:rStyle w:val="Hyperlink"/>
                <w:rFonts w:ascii="Arial" w:hAnsi="Arial"/>
                <w:webHidden/>
              </w:rPr>
              <w:t>3</w:t>
            </w:r>
            <w:r w:rsidRPr="00B8208D">
              <w:rPr>
                <w:rStyle w:val="Hyperlink"/>
                <w:rFonts w:ascii="Arial" w:hAnsi="Arial"/>
                <w:webHidden/>
              </w:rPr>
              <w:fldChar w:fldCharType="end"/>
            </w:r>
          </w:hyperlink>
        </w:p>
        <w:p w14:paraId="143B43EF" w14:textId="75A3AB0E" w:rsidR="00A904DA" w:rsidRPr="00B8208D" w:rsidRDefault="00A904DA">
          <w:pPr>
            <w:pStyle w:val="TOC1"/>
            <w:tabs>
              <w:tab w:val="left" w:pos="480"/>
              <w:tab w:val="right" w:leader="dot" w:pos="8296"/>
            </w:tabs>
            <w:rPr>
              <w:rStyle w:val="Hyperlink"/>
              <w:rFonts w:ascii="Arial" w:eastAsiaTheme="minorEastAsia" w:hAnsi="Arial"/>
            </w:rPr>
          </w:pPr>
          <w:hyperlink w:anchor="_Toc226546565" w:history="1">
            <w:r w:rsidRPr="00B8208D">
              <w:rPr>
                <w:rStyle w:val="Hyperlink"/>
                <w:rFonts w:ascii="Arial" w:hAnsi="Arial"/>
              </w:rPr>
              <w:t>2</w:t>
            </w:r>
            <w:r w:rsidRPr="00B8208D">
              <w:rPr>
                <w:rStyle w:val="Hyperlink"/>
                <w:rFonts w:ascii="Arial" w:eastAsiaTheme="minorEastAsia" w:hAnsi="Arial"/>
              </w:rPr>
              <w:tab/>
            </w:r>
            <w:r w:rsidRPr="00B8208D">
              <w:rPr>
                <w:rStyle w:val="Hyperlink"/>
                <w:rFonts w:ascii="Arial" w:hAnsi="Arial"/>
              </w:rPr>
              <w:t>Current NICE guidance</w:t>
            </w:r>
            <w:r w:rsidRPr="00B8208D">
              <w:rPr>
                <w:rStyle w:val="Hyperlink"/>
                <w:rFonts w:ascii="Arial" w:hAnsi="Arial"/>
                <w:webHidden/>
              </w:rPr>
              <w:tab/>
            </w:r>
            <w:r w:rsidRPr="00B8208D">
              <w:rPr>
                <w:rStyle w:val="Hyperlink"/>
                <w:rFonts w:ascii="Arial" w:hAnsi="Arial"/>
                <w:webHidden/>
              </w:rPr>
              <w:fldChar w:fldCharType="begin"/>
            </w:r>
            <w:r w:rsidRPr="00B8208D">
              <w:rPr>
                <w:rStyle w:val="Hyperlink"/>
                <w:rFonts w:ascii="Arial" w:hAnsi="Arial"/>
                <w:webHidden/>
              </w:rPr>
              <w:instrText xml:space="preserve"> PAGEREF _Toc226546565 \h </w:instrText>
            </w:r>
            <w:r w:rsidRPr="00B8208D">
              <w:rPr>
                <w:rStyle w:val="Hyperlink"/>
                <w:rFonts w:ascii="Arial" w:hAnsi="Arial"/>
                <w:webHidden/>
              </w:rPr>
            </w:r>
            <w:r w:rsidRPr="00B8208D">
              <w:rPr>
                <w:rStyle w:val="Hyperlink"/>
                <w:rFonts w:ascii="Arial" w:hAnsi="Arial"/>
                <w:webHidden/>
              </w:rPr>
              <w:fldChar w:fldCharType="separate"/>
            </w:r>
            <w:r w:rsidRPr="00B8208D">
              <w:rPr>
                <w:rStyle w:val="Hyperlink"/>
                <w:rFonts w:ascii="Arial" w:hAnsi="Arial"/>
                <w:webHidden/>
              </w:rPr>
              <w:t>3</w:t>
            </w:r>
            <w:r w:rsidRPr="00B8208D">
              <w:rPr>
                <w:rStyle w:val="Hyperlink"/>
                <w:rFonts w:ascii="Arial" w:hAnsi="Arial"/>
                <w:webHidden/>
              </w:rPr>
              <w:fldChar w:fldCharType="end"/>
            </w:r>
          </w:hyperlink>
        </w:p>
        <w:p w14:paraId="40A9D887" w14:textId="71640ABC" w:rsidR="00A904DA" w:rsidRPr="00B8208D" w:rsidRDefault="00A904DA" w:rsidP="00050B47">
          <w:pPr>
            <w:pStyle w:val="TOC2"/>
            <w:rPr>
              <w:rStyle w:val="Hyperlink"/>
              <w:rFonts w:ascii="Arial" w:eastAsiaTheme="minorEastAsia" w:hAnsi="Arial"/>
            </w:rPr>
          </w:pPr>
          <w:hyperlink w:anchor="_Toc226546566" w:history="1">
            <w:r w:rsidRPr="00B8208D">
              <w:rPr>
                <w:rStyle w:val="Hyperlink"/>
                <w:rFonts w:ascii="Arial" w:hAnsi="Arial"/>
              </w:rPr>
              <w:t>2.1 Proposed updates to the manual</w:t>
            </w:r>
            <w:r w:rsidRPr="00B8208D">
              <w:rPr>
                <w:rStyle w:val="Hyperlink"/>
                <w:rFonts w:ascii="Arial" w:hAnsi="Arial"/>
                <w:webHidden/>
              </w:rPr>
              <w:tab/>
            </w:r>
            <w:r w:rsidRPr="00B8208D">
              <w:rPr>
                <w:rStyle w:val="Hyperlink"/>
                <w:rFonts w:ascii="Arial" w:hAnsi="Arial"/>
                <w:webHidden/>
              </w:rPr>
              <w:fldChar w:fldCharType="begin"/>
            </w:r>
            <w:r w:rsidRPr="00B8208D">
              <w:rPr>
                <w:rStyle w:val="Hyperlink"/>
                <w:rFonts w:ascii="Arial" w:hAnsi="Arial"/>
                <w:webHidden/>
              </w:rPr>
              <w:instrText xml:space="preserve"> PAGEREF _Toc226546566 \h </w:instrText>
            </w:r>
            <w:r w:rsidRPr="00B8208D">
              <w:rPr>
                <w:rStyle w:val="Hyperlink"/>
                <w:rFonts w:ascii="Arial" w:hAnsi="Arial"/>
                <w:webHidden/>
              </w:rPr>
            </w:r>
            <w:r w:rsidRPr="00B8208D">
              <w:rPr>
                <w:rStyle w:val="Hyperlink"/>
                <w:rFonts w:ascii="Arial" w:hAnsi="Arial"/>
                <w:webHidden/>
              </w:rPr>
              <w:fldChar w:fldCharType="separate"/>
            </w:r>
            <w:r w:rsidRPr="00B8208D">
              <w:rPr>
                <w:rStyle w:val="Hyperlink"/>
                <w:rFonts w:ascii="Arial" w:hAnsi="Arial"/>
                <w:webHidden/>
              </w:rPr>
              <w:t>8</w:t>
            </w:r>
            <w:r w:rsidRPr="00B8208D">
              <w:rPr>
                <w:rStyle w:val="Hyperlink"/>
                <w:rFonts w:ascii="Arial" w:hAnsi="Arial"/>
                <w:webHidden/>
              </w:rPr>
              <w:fldChar w:fldCharType="end"/>
            </w:r>
          </w:hyperlink>
        </w:p>
        <w:p w14:paraId="4EE48F6E" w14:textId="6A4F2713" w:rsidR="00A904DA" w:rsidRPr="00B8208D" w:rsidRDefault="00A904DA">
          <w:pPr>
            <w:pStyle w:val="TOC1"/>
            <w:tabs>
              <w:tab w:val="left" w:pos="480"/>
              <w:tab w:val="right" w:leader="dot" w:pos="8296"/>
            </w:tabs>
            <w:rPr>
              <w:rStyle w:val="Hyperlink"/>
              <w:rFonts w:ascii="Arial" w:eastAsiaTheme="minorEastAsia" w:hAnsi="Arial"/>
            </w:rPr>
          </w:pPr>
          <w:hyperlink w:anchor="_Toc226546567" w:history="1">
            <w:r w:rsidRPr="00B8208D">
              <w:rPr>
                <w:rStyle w:val="Hyperlink"/>
                <w:rFonts w:ascii="Arial" w:hAnsi="Arial"/>
              </w:rPr>
              <w:t>3</w:t>
            </w:r>
            <w:r w:rsidRPr="00B8208D">
              <w:rPr>
                <w:rStyle w:val="Hyperlink"/>
                <w:rFonts w:ascii="Arial" w:eastAsiaTheme="minorEastAsia" w:hAnsi="Arial"/>
              </w:rPr>
              <w:tab/>
            </w:r>
            <w:r w:rsidRPr="00B8208D">
              <w:rPr>
                <w:rStyle w:val="Hyperlink"/>
                <w:rFonts w:ascii="Arial" w:hAnsi="Arial"/>
              </w:rPr>
              <w:t>Conclusions</w:t>
            </w:r>
            <w:r w:rsidRPr="00B8208D">
              <w:rPr>
                <w:rStyle w:val="Hyperlink"/>
                <w:rFonts w:ascii="Arial" w:hAnsi="Arial"/>
                <w:webHidden/>
              </w:rPr>
              <w:tab/>
            </w:r>
            <w:r w:rsidRPr="00B8208D">
              <w:rPr>
                <w:rStyle w:val="Hyperlink"/>
                <w:rFonts w:ascii="Arial" w:hAnsi="Arial"/>
                <w:webHidden/>
              </w:rPr>
              <w:fldChar w:fldCharType="begin"/>
            </w:r>
            <w:r w:rsidRPr="00B8208D">
              <w:rPr>
                <w:rStyle w:val="Hyperlink"/>
                <w:rFonts w:ascii="Arial" w:hAnsi="Arial"/>
                <w:webHidden/>
              </w:rPr>
              <w:instrText xml:space="preserve"> PAGEREF _Toc226546567 \h </w:instrText>
            </w:r>
            <w:r w:rsidRPr="00B8208D">
              <w:rPr>
                <w:rStyle w:val="Hyperlink"/>
                <w:rFonts w:ascii="Arial" w:hAnsi="Arial"/>
                <w:webHidden/>
              </w:rPr>
            </w:r>
            <w:r w:rsidRPr="00B8208D">
              <w:rPr>
                <w:rStyle w:val="Hyperlink"/>
                <w:rFonts w:ascii="Arial" w:hAnsi="Arial"/>
                <w:webHidden/>
              </w:rPr>
              <w:fldChar w:fldCharType="separate"/>
            </w:r>
            <w:r w:rsidRPr="00B8208D">
              <w:rPr>
                <w:rStyle w:val="Hyperlink"/>
                <w:rFonts w:ascii="Arial" w:hAnsi="Arial"/>
                <w:webHidden/>
              </w:rPr>
              <w:t>14</w:t>
            </w:r>
            <w:r w:rsidRPr="00B8208D">
              <w:rPr>
                <w:rStyle w:val="Hyperlink"/>
                <w:rFonts w:ascii="Arial" w:hAnsi="Arial"/>
                <w:webHidden/>
              </w:rPr>
              <w:fldChar w:fldCharType="end"/>
            </w:r>
          </w:hyperlink>
        </w:p>
        <w:p w14:paraId="315F4761" w14:textId="4A1BFB70" w:rsidR="00A904DA" w:rsidRPr="00B8208D" w:rsidRDefault="00A904DA">
          <w:pPr>
            <w:pStyle w:val="TOC1"/>
            <w:tabs>
              <w:tab w:val="left" w:pos="480"/>
              <w:tab w:val="right" w:leader="dot" w:pos="8296"/>
            </w:tabs>
            <w:rPr>
              <w:rStyle w:val="Hyperlink"/>
              <w:rFonts w:ascii="Arial" w:eastAsiaTheme="minorEastAsia" w:hAnsi="Arial"/>
            </w:rPr>
          </w:pPr>
          <w:hyperlink w:anchor="_Toc226546568" w:history="1">
            <w:r w:rsidRPr="00B8208D">
              <w:rPr>
                <w:rStyle w:val="Hyperlink"/>
                <w:rFonts w:ascii="Arial" w:hAnsi="Arial"/>
              </w:rPr>
              <w:t>4</w:t>
            </w:r>
            <w:r w:rsidRPr="00B8208D">
              <w:rPr>
                <w:rStyle w:val="Hyperlink"/>
                <w:rFonts w:ascii="Arial" w:eastAsiaTheme="minorEastAsia" w:hAnsi="Arial"/>
              </w:rPr>
              <w:tab/>
            </w:r>
            <w:r w:rsidRPr="00B8208D">
              <w:rPr>
                <w:rStyle w:val="Hyperlink"/>
                <w:rFonts w:ascii="Arial" w:hAnsi="Arial"/>
              </w:rPr>
              <w:t>Project team</w:t>
            </w:r>
            <w:r w:rsidRPr="00B8208D">
              <w:rPr>
                <w:rStyle w:val="Hyperlink"/>
                <w:rFonts w:ascii="Arial" w:hAnsi="Arial"/>
                <w:webHidden/>
              </w:rPr>
              <w:tab/>
            </w:r>
            <w:r w:rsidRPr="00B8208D">
              <w:rPr>
                <w:rStyle w:val="Hyperlink"/>
                <w:rFonts w:ascii="Arial" w:hAnsi="Arial"/>
                <w:webHidden/>
              </w:rPr>
              <w:fldChar w:fldCharType="begin"/>
            </w:r>
            <w:r w:rsidRPr="00B8208D">
              <w:rPr>
                <w:rStyle w:val="Hyperlink"/>
                <w:rFonts w:ascii="Arial" w:hAnsi="Arial"/>
                <w:webHidden/>
              </w:rPr>
              <w:instrText xml:space="preserve"> PAGEREF _Toc226546568 \h </w:instrText>
            </w:r>
            <w:r w:rsidRPr="00B8208D">
              <w:rPr>
                <w:rStyle w:val="Hyperlink"/>
                <w:rFonts w:ascii="Arial" w:hAnsi="Arial"/>
                <w:webHidden/>
              </w:rPr>
            </w:r>
            <w:r w:rsidRPr="00B8208D">
              <w:rPr>
                <w:rStyle w:val="Hyperlink"/>
                <w:rFonts w:ascii="Arial" w:hAnsi="Arial"/>
                <w:webHidden/>
              </w:rPr>
              <w:fldChar w:fldCharType="separate"/>
            </w:r>
            <w:r w:rsidRPr="00B8208D">
              <w:rPr>
                <w:rStyle w:val="Hyperlink"/>
                <w:rFonts w:ascii="Arial" w:hAnsi="Arial"/>
                <w:webHidden/>
              </w:rPr>
              <w:t>14</w:t>
            </w:r>
            <w:r w:rsidRPr="00B8208D">
              <w:rPr>
                <w:rStyle w:val="Hyperlink"/>
                <w:rFonts w:ascii="Arial" w:hAnsi="Arial"/>
                <w:webHidden/>
              </w:rPr>
              <w:fldChar w:fldCharType="end"/>
            </w:r>
          </w:hyperlink>
        </w:p>
        <w:p w14:paraId="1598BFB8" w14:textId="03865F6E" w:rsidR="445DA31A" w:rsidRPr="00B8208D" w:rsidRDefault="445DA31A" w:rsidP="445DA31A">
          <w:pPr>
            <w:pStyle w:val="TOC1"/>
            <w:tabs>
              <w:tab w:val="left" w:pos="480"/>
              <w:tab w:val="right" w:leader="dot" w:pos="8295"/>
            </w:tabs>
            <w:rPr>
              <w:rStyle w:val="Hyperlink"/>
              <w:rFonts w:ascii="Arial" w:hAnsi="Arial"/>
            </w:rPr>
          </w:pPr>
          <w:r w:rsidRPr="00B8208D">
            <w:rPr>
              <w:rStyle w:val="Hyperlink"/>
              <w:rFonts w:ascii="Arial" w:hAnsi="Arial"/>
            </w:rPr>
            <w:fldChar w:fldCharType="end"/>
          </w:r>
        </w:p>
      </w:sdtContent>
    </w:sdt>
    <w:p w14:paraId="4B34D5A6" w14:textId="77777777" w:rsidR="00050B47" w:rsidRDefault="00050B47" w:rsidP="00050B47">
      <w:pPr>
        <w:jc w:val="right"/>
      </w:pPr>
    </w:p>
    <w:p w14:paraId="06E16FFC" w14:textId="77777777" w:rsidR="00050B47" w:rsidRDefault="00050B47" w:rsidP="00050B47"/>
    <w:p w14:paraId="49C18BAC" w14:textId="7919344D" w:rsidR="00050B47" w:rsidRPr="00050B47" w:rsidRDefault="00050B47" w:rsidP="00050B47">
      <w:pPr>
        <w:sectPr w:rsidR="00050B47" w:rsidRPr="00050B47" w:rsidSect="002B4F3E">
          <w:headerReference w:type="default" r:id="rId12"/>
          <w:pgSz w:w="11906" w:h="16838"/>
          <w:pgMar w:top="1440" w:right="1800" w:bottom="1440" w:left="1800" w:header="708" w:footer="708" w:gutter="0"/>
          <w:cols w:space="708"/>
          <w:docGrid w:linePitch="360"/>
        </w:sectPr>
      </w:pPr>
    </w:p>
    <w:p w14:paraId="35E48CD1" w14:textId="246EB1D0" w:rsidR="00C41A0D" w:rsidRDefault="004651CB" w:rsidP="006A50E3">
      <w:pPr>
        <w:pStyle w:val="Numberedheading1"/>
        <w:ind w:left="720" w:hanging="720"/>
      </w:pPr>
      <w:bookmarkStart w:id="52" w:name="_Toc226546564"/>
      <w:r>
        <w:t>Purpose and scope of the</w:t>
      </w:r>
      <w:r w:rsidR="004E165B">
        <w:t xml:space="preserve"> </w:t>
      </w:r>
      <w:r w:rsidR="00790915">
        <w:t>review</w:t>
      </w:r>
      <w:bookmarkEnd w:id="52"/>
    </w:p>
    <w:p w14:paraId="103B63E2" w14:textId="17225829" w:rsidR="00C55D41" w:rsidRDefault="00642FC5" w:rsidP="002E0005">
      <w:pPr>
        <w:pStyle w:val="Paragraph"/>
      </w:pPr>
      <w:r>
        <w:t>W</w:t>
      </w:r>
      <w:r w:rsidR="008F3B36">
        <w:t>e review</w:t>
      </w:r>
      <w:r w:rsidR="00A02897">
        <w:t>ed</w:t>
      </w:r>
      <w:r w:rsidR="008F3B36">
        <w:t xml:space="preserve"> </w:t>
      </w:r>
      <w:hyperlink r:id="rId13" w:tgtFrame="_blank" w:history="1">
        <w:r w:rsidR="00B8208D">
          <w:rPr>
            <w:rStyle w:val="Hyperlink"/>
          </w:rPr>
          <w:t>NICE technology appraisal and highly specialised technologies guidance</w:t>
        </w:r>
      </w:hyperlink>
      <w:r w:rsidR="008F3B36">
        <w:t xml:space="preserve"> </w:t>
      </w:r>
      <w:r w:rsidR="00987D93">
        <w:t>to understand current guidance on</w:t>
      </w:r>
      <w:r>
        <w:t xml:space="preserve"> inclu</w:t>
      </w:r>
      <w:r w:rsidR="00520655">
        <w:t>ding</w:t>
      </w:r>
      <w:r>
        <w:t xml:space="preserve"> implementation costs </w:t>
      </w:r>
      <w:r w:rsidR="00520655">
        <w:t xml:space="preserve">in </w:t>
      </w:r>
      <w:r w:rsidR="008F3B36">
        <w:t>NICE technology appraisal and highly specialised technolog</w:t>
      </w:r>
      <w:r w:rsidR="00520655">
        <w:t>ies</w:t>
      </w:r>
      <w:r w:rsidR="008F3B36">
        <w:t xml:space="preserve"> </w:t>
      </w:r>
      <w:r w:rsidR="009765E7">
        <w:t>guidance</w:t>
      </w:r>
      <w:r w:rsidR="008F3B36">
        <w:t>.</w:t>
      </w:r>
    </w:p>
    <w:p w14:paraId="28220F75" w14:textId="16550D86" w:rsidR="00197CA3" w:rsidRDefault="00642FC5" w:rsidP="002E0005">
      <w:pPr>
        <w:pStyle w:val="Paragraph"/>
      </w:pPr>
      <w:r>
        <w:t>This review aimed to provide insights into current guida</w:t>
      </w:r>
      <w:r w:rsidR="006E7432">
        <w:t>nce</w:t>
      </w:r>
      <w:r w:rsidR="00C55D41">
        <w:t xml:space="preserve"> and</w:t>
      </w:r>
      <w:r w:rsidR="00BC4BC6">
        <w:t xml:space="preserve"> identify areas </w:t>
      </w:r>
      <w:r w:rsidR="009765E7">
        <w:t>needing</w:t>
      </w:r>
      <w:r w:rsidR="00C55D41">
        <w:t xml:space="preserve"> additional detail.</w:t>
      </w:r>
    </w:p>
    <w:bookmarkStart w:id="53" w:name="_Toc226546565" w:displacedByCustomXml="next"/>
    <w:sdt>
      <w:sdtPr>
        <w:id w:val="1371190021"/>
        <w:placeholder>
          <w:docPart w:val="FB7A5EF0EE184221BB11A440B2A509AE"/>
        </w:placeholder>
        <w:text/>
      </w:sdtPr>
      <w:sdtContent>
        <w:p w14:paraId="0666E10C" w14:textId="31C0D853" w:rsidR="50F1F330" w:rsidRDefault="003C1A33" w:rsidP="49EEB023">
          <w:pPr>
            <w:pStyle w:val="Numberedheading1"/>
            <w:ind w:left="720" w:hanging="720"/>
          </w:pPr>
          <w:r>
            <w:t>Current NICE guidance</w:t>
          </w:r>
        </w:p>
      </w:sdtContent>
    </w:sdt>
    <w:bookmarkEnd w:id="53" w:displacedByCustomXml="prev"/>
    <w:bookmarkStart w:id="54" w:name="_Hlk218612942"/>
    <w:p w14:paraId="2F5C437B" w14:textId="134CB503" w:rsidR="0065443E" w:rsidRPr="0022404A" w:rsidRDefault="009765E7" w:rsidP="00B8208D">
      <w:pPr>
        <w:pStyle w:val="Paragraph"/>
        <w:rPr>
          <w:rFonts w:eastAsia="Arial"/>
        </w:rPr>
      </w:pPr>
      <w:r>
        <w:fldChar w:fldCharType="begin"/>
      </w:r>
      <w:r>
        <w:instrText>HYPERLINK "https://www.nice.org.uk/process/pmg36" \t "_blank"</w:instrText>
      </w:r>
      <w:r>
        <w:fldChar w:fldCharType="separate"/>
      </w:r>
      <w:r w:rsidRPr="00316044">
        <w:rPr>
          <w:rStyle w:val="Hyperlink"/>
        </w:rPr>
        <w:t>NICE</w:t>
      </w:r>
      <w:r>
        <w:rPr>
          <w:rStyle w:val="Hyperlink"/>
        </w:rPr>
        <w:t>’s manual on</w:t>
      </w:r>
      <w:r w:rsidRPr="00316044">
        <w:rPr>
          <w:rStyle w:val="Hyperlink"/>
        </w:rPr>
        <w:t xml:space="preserve"> technology appraisal and highly specialised technologies guidance</w:t>
      </w:r>
      <w:r>
        <w:fldChar w:fldCharType="end"/>
      </w:r>
      <w:r w:rsidR="0065443E" w:rsidRPr="00C7592C">
        <w:rPr>
          <w:rFonts w:eastAsia="Arial"/>
        </w:rPr>
        <w:t xml:space="preserve"> </w:t>
      </w:r>
      <w:r w:rsidR="0065443E">
        <w:rPr>
          <w:rFonts w:eastAsia="Arial"/>
        </w:rPr>
        <w:t xml:space="preserve">includes some details on aspects of costs related to </w:t>
      </w:r>
      <w:r w:rsidR="004149BC">
        <w:rPr>
          <w:rFonts w:eastAsia="Arial"/>
        </w:rPr>
        <w:t xml:space="preserve">implementing </w:t>
      </w:r>
      <w:r w:rsidR="0065443E">
        <w:rPr>
          <w:rFonts w:eastAsia="Arial"/>
        </w:rPr>
        <w:t xml:space="preserve">new health technologies in its sections </w:t>
      </w:r>
      <w:r w:rsidR="004149BC">
        <w:rPr>
          <w:rFonts w:eastAsia="Arial"/>
        </w:rPr>
        <w:t>on</w:t>
      </w:r>
      <w:r w:rsidR="0065443E">
        <w:rPr>
          <w:rFonts w:eastAsia="Arial"/>
        </w:rPr>
        <w:t xml:space="preserve"> cost</w:t>
      </w:r>
      <w:r w:rsidR="00EF284B">
        <w:rPr>
          <w:rFonts w:eastAsia="Arial"/>
        </w:rPr>
        <w:t xml:space="preserve"> </w:t>
      </w:r>
      <w:r w:rsidR="0065443E">
        <w:rPr>
          <w:rFonts w:eastAsia="Arial"/>
        </w:rPr>
        <w:t xml:space="preserve">effectiveness, companion diagnostics and resource impact assessment. </w:t>
      </w:r>
      <w:r w:rsidRPr="0022404A">
        <w:rPr>
          <w:rFonts w:eastAsia="Arial"/>
        </w:rPr>
        <w:fldChar w:fldCharType="begin"/>
      </w:r>
      <w:r w:rsidRPr="0022404A">
        <w:rPr>
          <w:rFonts w:eastAsia="Arial"/>
        </w:rPr>
        <w:instrText xml:space="preserve"> REF _Ref217402496 \h </w:instrText>
      </w:r>
      <w:r>
        <w:rPr>
          <w:rFonts w:eastAsia="Arial"/>
        </w:rPr>
        <w:instrText xml:space="preserve"> \* MERGEFORMAT </w:instrText>
      </w:r>
      <w:r w:rsidRPr="0022404A">
        <w:rPr>
          <w:rFonts w:eastAsia="Arial"/>
        </w:rPr>
      </w:r>
      <w:r w:rsidRPr="0022404A">
        <w:rPr>
          <w:rFonts w:eastAsia="Arial"/>
        </w:rPr>
        <w:fldChar w:fldCharType="separate"/>
      </w:r>
      <w:r w:rsidR="003D7555">
        <w:t>T</w:t>
      </w:r>
      <w:r w:rsidRPr="0022404A">
        <w:t xml:space="preserve">able </w:t>
      </w:r>
      <w:r w:rsidRPr="0022404A">
        <w:rPr>
          <w:noProof/>
        </w:rPr>
        <w:t>1</w:t>
      </w:r>
      <w:r w:rsidRPr="0022404A">
        <w:rPr>
          <w:rFonts w:eastAsia="Arial"/>
        </w:rPr>
        <w:fldChar w:fldCharType="end"/>
      </w:r>
      <w:r w:rsidR="003D7555">
        <w:rPr>
          <w:rFonts w:eastAsia="Arial"/>
        </w:rPr>
        <w:t xml:space="preserve"> summarises the guidance</w:t>
      </w:r>
      <w:r w:rsidR="0065443E" w:rsidRPr="0022404A">
        <w:rPr>
          <w:rFonts w:eastAsia="Arial"/>
        </w:rPr>
        <w:t>.</w:t>
      </w:r>
    </w:p>
    <w:p w14:paraId="0CE308D0" w14:textId="77777777" w:rsidR="00922CDB" w:rsidRDefault="00EB0C98" w:rsidP="004149BC">
      <w:pPr>
        <w:pStyle w:val="Paragraph"/>
        <w:rPr>
          <w:rFonts w:eastAsia="Arial"/>
        </w:rPr>
      </w:pPr>
      <w:r w:rsidRPr="004E165B">
        <w:rPr>
          <w:rFonts w:eastAsia="Arial"/>
        </w:rPr>
        <w:t>Section 4.4 of the manual sets out overarching principles for generating evidence on resource use and costs in economic evaluations. This includes the need to account for</w:t>
      </w:r>
      <w:r w:rsidR="00922CDB">
        <w:rPr>
          <w:rFonts w:eastAsia="Arial"/>
        </w:rPr>
        <w:t>:</w:t>
      </w:r>
    </w:p>
    <w:p w14:paraId="0949C748" w14:textId="530E7B19" w:rsidR="00922CDB" w:rsidRDefault="00EB0C98" w:rsidP="00922CDB">
      <w:pPr>
        <w:pStyle w:val="Bulletleft1"/>
        <w:rPr>
          <w:rFonts w:eastAsia="Arial"/>
        </w:rPr>
      </w:pPr>
      <w:r w:rsidRPr="004E165B">
        <w:rPr>
          <w:rFonts w:eastAsia="Arial"/>
        </w:rPr>
        <w:t>comparative costs or savings associated with new technologies</w:t>
      </w:r>
    </w:p>
    <w:p w14:paraId="6EB73E8B" w14:textId="083D86F5" w:rsidR="00922CDB" w:rsidRDefault="00EB0C98" w:rsidP="00922CDB">
      <w:pPr>
        <w:pStyle w:val="Bulletleft1"/>
        <w:rPr>
          <w:rFonts w:eastAsia="Arial"/>
        </w:rPr>
      </w:pPr>
      <w:r w:rsidRPr="004E165B">
        <w:rPr>
          <w:rFonts w:eastAsia="Arial"/>
        </w:rPr>
        <w:t>changes in infrastructure use and maintenance</w:t>
      </w:r>
    </w:p>
    <w:p w14:paraId="62929C15" w14:textId="38C90751" w:rsidR="00EB2D61" w:rsidRDefault="00EB0C98" w:rsidP="00EB2D61">
      <w:pPr>
        <w:pStyle w:val="Bulletleft1last"/>
        <w:rPr>
          <w:rFonts w:eastAsia="Arial"/>
        </w:rPr>
      </w:pPr>
      <w:r w:rsidRPr="004E165B">
        <w:rPr>
          <w:rFonts w:eastAsia="Arial"/>
        </w:rPr>
        <w:t>staff training costs</w:t>
      </w:r>
      <w:r w:rsidR="00922CDB">
        <w:rPr>
          <w:rFonts w:eastAsia="Arial"/>
        </w:rPr>
        <w:t>, when appropriate</w:t>
      </w:r>
      <w:r w:rsidRPr="004E165B">
        <w:rPr>
          <w:rFonts w:eastAsia="Arial"/>
        </w:rPr>
        <w:t xml:space="preserve">. </w:t>
      </w:r>
    </w:p>
    <w:p w14:paraId="55497C0E" w14:textId="5EA3C049" w:rsidR="00EB0C98" w:rsidRPr="004E165B" w:rsidRDefault="00EB0C98" w:rsidP="00B8208D">
      <w:pPr>
        <w:pStyle w:val="Paragraph"/>
        <w:rPr>
          <w:rFonts w:eastAsia="Arial"/>
        </w:rPr>
      </w:pPr>
      <w:r w:rsidRPr="004E165B">
        <w:rPr>
          <w:rFonts w:eastAsia="Arial"/>
        </w:rPr>
        <w:t xml:space="preserve">The section also recognises that service-level average unit costs, such as healthcare resource group (HRG) tariffs, may not always appropriately reflect resource use. In such cases, alternative approaches, including </w:t>
      </w:r>
      <w:proofErr w:type="spellStart"/>
      <w:r w:rsidRPr="004E165B">
        <w:rPr>
          <w:rFonts w:eastAsia="Arial"/>
        </w:rPr>
        <w:t>microcosting</w:t>
      </w:r>
      <w:proofErr w:type="spellEnd"/>
      <w:r w:rsidRPr="004E165B">
        <w:rPr>
          <w:rFonts w:eastAsia="Arial"/>
        </w:rPr>
        <w:t xml:space="preserve">, may be </w:t>
      </w:r>
      <w:r w:rsidR="00432228">
        <w:rPr>
          <w:rFonts w:eastAsia="Arial"/>
        </w:rPr>
        <w:t>needed</w:t>
      </w:r>
      <w:r w:rsidRPr="004E165B">
        <w:rPr>
          <w:rFonts w:eastAsia="Arial"/>
        </w:rPr>
        <w:t>, and examples of relevant cost components are provided.</w:t>
      </w:r>
    </w:p>
    <w:p w14:paraId="7F2913FA" w14:textId="7D6BDAA5" w:rsidR="00EB0C98" w:rsidRPr="004E165B" w:rsidRDefault="00EB0C98" w:rsidP="00B8208D">
      <w:pPr>
        <w:pStyle w:val="Paragraph"/>
        <w:rPr>
          <w:rFonts w:eastAsia="Arial"/>
        </w:rPr>
      </w:pPr>
      <w:r w:rsidRPr="004E165B">
        <w:rPr>
          <w:rFonts w:eastAsia="Arial"/>
        </w:rPr>
        <w:t>The manual further notes circumstances in which it may be appropriate to apportion certain costs across evaluations, such as when technologies have multiple uses beyond the indication under assessment. In exceptional cases, the guidance allows for the inclusion of costs or cost savings incurred by government bodies outside the NHS</w:t>
      </w:r>
      <w:r w:rsidR="0076660F">
        <w:rPr>
          <w:rFonts w:eastAsia="Arial"/>
        </w:rPr>
        <w:t xml:space="preserve">. But this is only if </w:t>
      </w:r>
      <w:r w:rsidRPr="004E165B">
        <w:rPr>
          <w:rFonts w:eastAsia="Arial"/>
        </w:rPr>
        <w:t>these are explicitly valued and presented as part of a non-reference-case analysis. Whe</w:t>
      </w:r>
      <w:r w:rsidR="0076660F">
        <w:rPr>
          <w:rFonts w:eastAsia="Arial"/>
        </w:rPr>
        <w:t>n</w:t>
      </w:r>
      <w:r w:rsidRPr="004E165B">
        <w:rPr>
          <w:rFonts w:eastAsia="Arial"/>
        </w:rPr>
        <w:t xml:space="preserve"> a technology is expected to have a substantial impact on other NHS or personal social services, the implications for the cost-effectiveness evidence should be explored.</w:t>
      </w:r>
    </w:p>
    <w:p w14:paraId="65F0576D" w14:textId="627DD923" w:rsidR="00EB0C98" w:rsidRPr="004E165B" w:rsidRDefault="00EB0C98" w:rsidP="00B8208D">
      <w:pPr>
        <w:pStyle w:val="Paragraph"/>
        <w:rPr>
          <w:rFonts w:eastAsia="Arial"/>
        </w:rPr>
      </w:pPr>
      <w:r w:rsidRPr="004E165B">
        <w:rPr>
          <w:rFonts w:eastAsia="Arial"/>
        </w:rPr>
        <w:t>More detailed guidance on specific issues is set out in other sections of the manual. Section 4.4.20 describes how costs should be considered for technologies already in use in the NHS that have multiple applications beyond those being evaluated. Section 4.8 addresses companion diagnostics</w:t>
      </w:r>
      <w:r w:rsidR="001F52D5">
        <w:rPr>
          <w:rFonts w:eastAsia="Arial"/>
        </w:rPr>
        <w:t>. It states</w:t>
      </w:r>
      <w:r w:rsidRPr="004E165B">
        <w:rPr>
          <w:rFonts w:eastAsia="Arial"/>
        </w:rPr>
        <w:t xml:space="preserve"> that the costs of diagnostic tests introduced to support treatment decisions should be included in assessments of clinical and cost effectiveness when they are not routinely used in the NHS, alongside a sensitivity analysis excluding these costs. Section 4.11.6 specifies that costs should be disaggregated, whe</w:t>
      </w:r>
      <w:r w:rsidR="001F52D5">
        <w:rPr>
          <w:rFonts w:eastAsia="Arial"/>
        </w:rPr>
        <w:t>n</w:t>
      </w:r>
      <w:r w:rsidRPr="004E165B">
        <w:rPr>
          <w:rFonts w:eastAsia="Arial"/>
        </w:rPr>
        <w:t xml:space="preserve"> possible, by organisational and budgetary categories to support effective financial planning.</w:t>
      </w:r>
    </w:p>
    <w:p w14:paraId="1F884686" w14:textId="7C66477D" w:rsidR="0065443E" w:rsidRPr="00D17720" w:rsidRDefault="0065443E" w:rsidP="00D17720">
      <w:pPr>
        <w:pStyle w:val="Caption"/>
      </w:pPr>
      <w:bookmarkStart w:id="55" w:name="_Ref217402496"/>
      <w:r w:rsidRPr="00D17720">
        <w:t xml:space="preserve">Table </w:t>
      </w:r>
      <w:r>
        <w:fldChar w:fldCharType="begin"/>
      </w:r>
      <w:r>
        <w:instrText>SEQ Table \* ARABIC</w:instrText>
      </w:r>
      <w:r>
        <w:fldChar w:fldCharType="separate"/>
      </w:r>
      <w:r w:rsidR="00613FFD" w:rsidRPr="00F14220">
        <w:t>1</w:t>
      </w:r>
      <w:r>
        <w:fldChar w:fldCharType="end"/>
      </w:r>
      <w:bookmarkEnd w:id="55"/>
      <w:r w:rsidRPr="00D17720">
        <w:t xml:space="preserve"> Overview of current NICE methods for accounting for implementation costs</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Overview of current NICE methods for accounting for implementation costs"/>
        <w:tblDescription w:val="Table showing section of the NICE manual, topic and excerpt."/>
      </w:tblPr>
      <w:tblGrid>
        <w:gridCol w:w="1795"/>
        <w:gridCol w:w="2023"/>
        <w:gridCol w:w="4478"/>
      </w:tblGrid>
      <w:tr w:rsidR="0065443E" w:rsidRPr="003A44E9" w14:paraId="54D52472" w14:textId="77777777" w:rsidTr="40471A9B">
        <w:tc>
          <w:tcPr>
            <w:tcW w:w="1082" w:type="pct"/>
          </w:tcPr>
          <w:p w14:paraId="4A064B96" w14:textId="77777777" w:rsidR="0065443E" w:rsidRPr="00C913E1" w:rsidRDefault="0065443E" w:rsidP="00F14220">
            <w:pPr>
              <w:pStyle w:val="Tableheading"/>
              <w:rPr>
                <w:rFonts w:eastAsia="Arial"/>
              </w:rPr>
            </w:pPr>
            <w:r w:rsidRPr="00C913E1">
              <w:rPr>
                <w:rFonts w:eastAsia="Arial"/>
              </w:rPr>
              <w:t xml:space="preserve">Section </w:t>
            </w:r>
          </w:p>
        </w:tc>
        <w:tc>
          <w:tcPr>
            <w:tcW w:w="1219" w:type="pct"/>
          </w:tcPr>
          <w:p w14:paraId="6E8E8937" w14:textId="6D135223" w:rsidR="0065443E" w:rsidRPr="00C913E1" w:rsidRDefault="005164D3" w:rsidP="00F14220">
            <w:pPr>
              <w:pStyle w:val="Tableheading"/>
              <w:rPr>
                <w:rFonts w:eastAsia="Arial"/>
              </w:rPr>
            </w:pPr>
            <w:r>
              <w:rPr>
                <w:rFonts w:eastAsia="Arial"/>
              </w:rPr>
              <w:t>Topic</w:t>
            </w:r>
          </w:p>
        </w:tc>
        <w:tc>
          <w:tcPr>
            <w:tcW w:w="2699" w:type="pct"/>
          </w:tcPr>
          <w:p w14:paraId="6D32E702" w14:textId="2B6F6BAA" w:rsidR="0065443E" w:rsidRPr="00C913E1" w:rsidRDefault="00226B93" w:rsidP="00F14220">
            <w:pPr>
              <w:pStyle w:val="Tableheading"/>
              <w:rPr>
                <w:rFonts w:eastAsia="Arial"/>
              </w:rPr>
            </w:pPr>
            <w:r>
              <w:rPr>
                <w:rFonts w:eastAsia="Arial"/>
              </w:rPr>
              <w:t>Excerpt</w:t>
            </w:r>
          </w:p>
        </w:tc>
      </w:tr>
      <w:tr w:rsidR="0065443E" w:rsidRPr="003A44E9" w14:paraId="38994E44" w14:textId="77777777" w:rsidTr="40471A9B">
        <w:tc>
          <w:tcPr>
            <w:tcW w:w="1082" w:type="pct"/>
          </w:tcPr>
          <w:p w14:paraId="0FE418D6" w14:textId="07D4E59E" w:rsidR="0065443E" w:rsidRPr="009875A8" w:rsidRDefault="0065443E" w:rsidP="00F14220">
            <w:pPr>
              <w:pStyle w:val="Tabletext"/>
              <w:rPr>
                <w:rFonts w:eastAsia="Arial"/>
              </w:rPr>
            </w:pPr>
            <w:hyperlink r:id="rId14" w:anchor="evidence-on-resource-use-and-costs" w:history="1">
              <w:r w:rsidRPr="00881EBD">
                <w:rPr>
                  <w:rStyle w:val="Hyperlink"/>
                  <w:rFonts w:eastAsia="Arial"/>
                </w:rPr>
                <w:t>4.4 Evidence on resource use and costs</w:t>
              </w:r>
            </w:hyperlink>
          </w:p>
        </w:tc>
        <w:tc>
          <w:tcPr>
            <w:tcW w:w="1219" w:type="pct"/>
          </w:tcPr>
          <w:p w14:paraId="3C99810A" w14:textId="56904C34" w:rsidR="0065443E" w:rsidRPr="003A44E9" w:rsidRDefault="0065443E" w:rsidP="00F14220">
            <w:pPr>
              <w:pStyle w:val="Tabletext"/>
              <w:rPr>
                <w:rFonts w:eastAsia="Arial"/>
              </w:rPr>
            </w:pPr>
            <w:r>
              <w:rPr>
                <w:rFonts w:eastAsia="Arial"/>
              </w:rPr>
              <w:t>Capturing changes in infrastructure use</w:t>
            </w:r>
            <w:r w:rsidR="00FF3235">
              <w:rPr>
                <w:rFonts w:eastAsia="Arial"/>
              </w:rPr>
              <w:t>,</w:t>
            </w:r>
            <w:r>
              <w:rPr>
                <w:rFonts w:eastAsia="Arial"/>
              </w:rPr>
              <w:t xml:space="preserve"> maintenance</w:t>
            </w:r>
            <w:r w:rsidR="002A2222">
              <w:rPr>
                <w:rFonts w:eastAsia="Arial"/>
              </w:rPr>
              <w:t>, and s</w:t>
            </w:r>
            <w:r>
              <w:rPr>
                <w:rFonts w:eastAsia="Arial"/>
              </w:rPr>
              <w:t>taff training</w:t>
            </w:r>
          </w:p>
        </w:tc>
        <w:tc>
          <w:tcPr>
            <w:tcW w:w="2699" w:type="pct"/>
          </w:tcPr>
          <w:p w14:paraId="67F8386B" w14:textId="103B988B" w:rsidR="0065443E" w:rsidRPr="003A44E9" w:rsidRDefault="0065443E" w:rsidP="00F14220">
            <w:pPr>
              <w:pStyle w:val="Tabletext"/>
              <w:rPr>
                <w:rFonts w:eastAsia="Arial"/>
              </w:rPr>
            </w:pPr>
            <w:r w:rsidRPr="00F12E3E">
              <w:rPr>
                <w:rFonts w:eastAsia="Arial"/>
              </w:rPr>
              <w:t xml:space="preserve">4.4.2 </w:t>
            </w:r>
            <w:r w:rsidR="00CF46BC">
              <w:rPr>
                <w:rFonts w:eastAsia="Arial"/>
              </w:rPr>
              <w:t>‘</w:t>
            </w:r>
            <w:r w:rsidRPr="00F12E3E">
              <w:rPr>
                <w:rFonts w:eastAsia="Arial"/>
              </w:rPr>
              <w:t>Estimates of resource use should include the comparative costs or saving of the technologies and changes in infrastructure, use and maintenance. If appropriate, staff training costs should be included.</w:t>
            </w:r>
            <w:r w:rsidR="00CF46BC">
              <w:rPr>
                <w:rFonts w:eastAsia="Arial"/>
              </w:rPr>
              <w:t>’</w:t>
            </w:r>
          </w:p>
        </w:tc>
      </w:tr>
      <w:tr w:rsidR="0065443E" w:rsidRPr="003A44E9" w14:paraId="7FCDCA54" w14:textId="77777777" w:rsidTr="40471A9B">
        <w:tc>
          <w:tcPr>
            <w:tcW w:w="1082" w:type="pct"/>
          </w:tcPr>
          <w:p w14:paraId="6C5C6808" w14:textId="3C5166D2" w:rsidR="0065443E" w:rsidRPr="00B773E8" w:rsidRDefault="0065443E" w:rsidP="00F14220">
            <w:pPr>
              <w:pStyle w:val="Tabletext"/>
              <w:rPr>
                <w:rFonts w:eastAsia="Arial"/>
              </w:rPr>
            </w:pPr>
            <w:r w:rsidRPr="00B773E8">
              <w:rPr>
                <w:rFonts w:eastAsia="Arial"/>
              </w:rPr>
              <w:t>4.4 Evidence on resource use and costs</w:t>
            </w:r>
          </w:p>
        </w:tc>
        <w:tc>
          <w:tcPr>
            <w:tcW w:w="1219" w:type="pct"/>
          </w:tcPr>
          <w:p w14:paraId="300FF93D" w14:textId="444B6FC2" w:rsidR="0065443E" w:rsidRPr="003A44E9" w:rsidRDefault="0065443E" w:rsidP="00F14220">
            <w:pPr>
              <w:pStyle w:val="Tabletext"/>
              <w:rPr>
                <w:rFonts w:eastAsia="Arial"/>
              </w:rPr>
            </w:pPr>
            <w:r>
              <w:rPr>
                <w:rFonts w:eastAsia="Arial"/>
              </w:rPr>
              <w:t>HRGs</w:t>
            </w:r>
          </w:p>
        </w:tc>
        <w:tc>
          <w:tcPr>
            <w:tcW w:w="2699" w:type="pct"/>
          </w:tcPr>
          <w:p w14:paraId="5C816CAB" w14:textId="6C880CD9" w:rsidR="005164D3" w:rsidRDefault="0065443E" w:rsidP="00D17720">
            <w:pPr>
              <w:pStyle w:val="Tabletext"/>
              <w:rPr>
                <w:rFonts w:eastAsia="Arial"/>
              </w:rPr>
            </w:pPr>
            <w:r w:rsidRPr="00387BB8">
              <w:rPr>
                <w:rFonts w:eastAsia="Arial"/>
              </w:rPr>
              <w:t>4.4.9</w:t>
            </w:r>
            <w:r>
              <w:rPr>
                <w:rFonts w:eastAsia="Arial"/>
              </w:rPr>
              <w:t xml:space="preserve"> </w:t>
            </w:r>
            <w:r w:rsidR="005164D3">
              <w:rPr>
                <w:rFonts w:eastAsia="Arial"/>
              </w:rPr>
              <w:t>‘</w:t>
            </w:r>
            <w:r w:rsidRPr="00EA66CA">
              <w:rPr>
                <w:rFonts w:eastAsia="Arial"/>
              </w:rPr>
              <w:t>HRGs are a valuable source of information for estimating resource use</w:t>
            </w:r>
            <w:r w:rsidR="005164D3">
              <w:rPr>
                <w:rFonts w:eastAsia="Arial"/>
              </w:rPr>
              <w:t>.’</w:t>
            </w:r>
          </w:p>
          <w:p w14:paraId="6FD95639" w14:textId="1BF6C647" w:rsidR="0065443E" w:rsidRPr="00387BB8" w:rsidRDefault="005164D3" w:rsidP="00F14220">
            <w:pPr>
              <w:pStyle w:val="Tabletext"/>
              <w:rPr>
                <w:rFonts w:eastAsia="Arial"/>
              </w:rPr>
            </w:pPr>
            <w:r>
              <w:rPr>
                <w:rFonts w:eastAsia="Arial"/>
              </w:rPr>
              <w:t>‘</w:t>
            </w:r>
            <w:r w:rsidR="0065443E" w:rsidRPr="0087673C">
              <w:rPr>
                <w:rFonts w:eastAsia="Arial"/>
              </w:rPr>
              <w:t>Using these costs can reduce the need for local micro-costing (costing of each individual component of care related to a technology</w:t>
            </w:r>
            <w:r w:rsidR="0065443E">
              <w:rPr>
                <w:rFonts w:eastAsia="Arial"/>
              </w:rPr>
              <w:t>)</w:t>
            </w:r>
            <w:r>
              <w:rPr>
                <w:rFonts w:eastAsia="Arial"/>
              </w:rPr>
              <w:t>.’</w:t>
            </w:r>
          </w:p>
        </w:tc>
      </w:tr>
      <w:tr w:rsidR="0065443E" w:rsidRPr="003A44E9" w14:paraId="75ED06DF" w14:textId="77777777" w:rsidTr="40471A9B">
        <w:tc>
          <w:tcPr>
            <w:tcW w:w="1082" w:type="pct"/>
          </w:tcPr>
          <w:p w14:paraId="14D80203" w14:textId="74879BE1" w:rsidR="0065443E" w:rsidRPr="00B773E8" w:rsidRDefault="0065443E" w:rsidP="00F14220">
            <w:pPr>
              <w:pStyle w:val="Tabletext"/>
              <w:rPr>
                <w:rFonts w:eastAsia="Arial"/>
              </w:rPr>
            </w:pPr>
            <w:r w:rsidRPr="00B773E8">
              <w:rPr>
                <w:rFonts w:eastAsia="Arial"/>
              </w:rPr>
              <w:t>4.4 Evidence on resource use and costs</w:t>
            </w:r>
          </w:p>
        </w:tc>
        <w:tc>
          <w:tcPr>
            <w:tcW w:w="1219" w:type="pct"/>
          </w:tcPr>
          <w:p w14:paraId="396CD7A8" w14:textId="0F75BDB4" w:rsidR="0065443E" w:rsidRPr="003A44E9" w:rsidRDefault="0065443E" w:rsidP="00F14220">
            <w:pPr>
              <w:pStyle w:val="Tabletext"/>
              <w:rPr>
                <w:rFonts w:eastAsia="Arial"/>
              </w:rPr>
            </w:pPr>
            <w:r>
              <w:rPr>
                <w:rFonts w:eastAsia="Arial"/>
              </w:rPr>
              <w:t>Instances when HRGs may not be relevant</w:t>
            </w:r>
            <w:r w:rsidR="00FD3BF3">
              <w:rPr>
                <w:rFonts w:eastAsia="Arial"/>
              </w:rPr>
              <w:t xml:space="preserve"> and </w:t>
            </w:r>
            <w:proofErr w:type="spellStart"/>
            <w:r w:rsidR="00FD3BF3">
              <w:rPr>
                <w:rFonts w:eastAsia="Arial"/>
              </w:rPr>
              <w:t>m</w:t>
            </w:r>
            <w:r>
              <w:rPr>
                <w:rFonts w:eastAsia="Arial"/>
              </w:rPr>
              <w:t>icrocosting</w:t>
            </w:r>
            <w:proofErr w:type="spellEnd"/>
            <w:r>
              <w:rPr>
                <w:rFonts w:eastAsia="Arial"/>
              </w:rPr>
              <w:t xml:space="preserve"> may be needed</w:t>
            </w:r>
            <w:r w:rsidR="00FD3BF3">
              <w:rPr>
                <w:rFonts w:eastAsia="Arial"/>
              </w:rPr>
              <w:t>,</w:t>
            </w:r>
            <w:r>
              <w:rPr>
                <w:rFonts w:eastAsia="Arial"/>
              </w:rPr>
              <w:t xml:space="preserve"> and examples of relevant costs</w:t>
            </w:r>
          </w:p>
        </w:tc>
        <w:tc>
          <w:tcPr>
            <w:tcW w:w="2699" w:type="pct"/>
          </w:tcPr>
          <w:p w14:paraId="1F9A1A3B" w14:textId="3B40DD15" w:rsidR="0065443E" w:rsidRPr="00EA5CCE" w:rsidRDefault="0065443E" w:rsidP="00F14220">
            <w:pPr>
              <w:pStyle w:val="Tabletext"/>
              <w:rPr>
                <w:rFonts w:eastAsia="Arial"/>
              </w:rPr>
            </w:pPr>
            <w:r w:rsidRPr="00C913E1">
              <w:rPr>
                <w:rFonts w:eastAsia="Arial"/>
              </w:rPr>
              <w:t>4.4.10</w:t>
            </w:r>
            <w:r w:rsidRPr="00EA5CCE">
              <w:rPr>
                <w:rFonts w:eastAsia="Arial"/>
              </w:rPr>
              <w:t xml:space="preserve"> </w:t>
            </w:r>
            <w:r w:rsidR="00226B93">
              <w:rPr>
                <w:rFonts w:eastAsia="Arial"/>
              </w:rPr>
              <w:t>‘</w:t>
            </w:r>
            <w:r>
              <w:rPr>
                <w:rFonts w:eastAsia="Arial"/>
              </w:rPr>
              <w:t>D</w:t>
            </w:r>
            <w:r w:rsidRPr="00AB4C78">
              <w:rPr>
                <w:rFonts w:eastAsia="Arial"/>
              </w:rPr>
              <w:t>ata based on HRGs may not be appropriate in all circumstances. For example, when the new technology and the comparator both fall under the same HRG, or when the mean cost does not reflect resource use in relation to the new technology under evaluation. In such cases, other sources of evidence, such as micro-costing studies, may be more appropriate. In all cases, include all relevant costs such as the costs of the test, follow up, treatment, monitoring, staffing, facilities, training and any other modifications needed. When cost data is taken from literature, the methods used to identify sources of costs and resource use should be defined (preferably through systematic review). When multiple or alternative sources are available, the choice for the base case should be justified, the discrepancies between the sources should be explained and sensitivity analyses explored when appropriate implications for results of using alternative data sources</w:t>
            </w:r>
            <w:r w:rsidR="00226B93">
              <w:rPr>
                <w:rFonts w:eastAsia="Arial"/>
              </w:rPr>
              <w:t>.’</w:t>
            </w:r>
          </w:p>
        </w:tc>
      </w:tr>
      <w:tr w:rsidR="0065443E" w:rsidRPr="003A44E9" w14:paraId="0A06D60B" w14:textId="77777777" w:rsidTr="40471A9B">
        <w:tc>
          <w:tcPr>
            <w:tcW w:w="1082" w:type="pct"/>
          </w:tcPr>
          <w:p w14:paraId="212D971E" w14:textId="73D6A1C9" w:rsidR="0065443E" w:rsidRPr="00B773E8" w:rsidRDefault="0065443E" w:rsidP="00F14220">
            <w:pPr>
              <w:pStyle w:val="Tabletext"/>
              <w:rPr>
                <w:rFonts w:eastAsia="Arial"/>
              </w:rPr>
            </w:pPr>
            <w:r w:rsidRPr="00B773E8">
              <w:rPr>
                <w:rFonts w:eastAsia="Arial"/>
              </w:rPr>
              <w:t>4.4 Evidence on resource use and costs</w:t>
            </w:r>
          </w:p>
        </w:tc>
        <w:tc>
          <w:tcPr>
            <w:tcW w:w="1219" w:type="pct"/>
          </w:tcPr>
          <w:p w14:paraId="6D0B2859" w14:textId="77777777" w:rsidR="0065443E" w:rsidRPr="003A44E9" w:rsidRDefault="0065443E" w:rsidP="00F14220">
            <w:pPr>
              <w:pStyle w:val="Tabletext"/>
              <w:rPr>
                <w:rFonts w:eastAsia="Arial"/>
              </w:rPr>
            </w:pPr>
            <w:r>
              <w:rPr>
                <w:rFonts w:eastAsia="Arial"/>
              </w:rPr>
              <w:t xml:space="preserve">Reference case to include full additional costs </w:t>
            </w:r>
          </w:p>
        </w:tc>
        <w:tc>
          <w:tcPr>
            <w:tcW w:w="2699" w:type="pct"/>
          </w:tcPr>
          <w:p w14:paraId="6017BEFD" w14:textId="19A61887" w:rsidR="0065443E" w:rsidRDefault="0065443E" w:rsidP="00F14220">
            <w:pPr>
              <w:pStyle w:val="Tabletext"/>
              <w:rPr>
                <w:rFonts w:eastAsia="Arial"/>
              </w:rPr>
            </w:pPr>
            <w:r w:rsidRPr="00387BB8">
              <w:rPr>
                <w:rFonts w:eastAsia="Arial"/>
              </w:rPr>
              <w:t>4.4.14</w:t>
            </w:r>
            <w:r>
              <w:rPr>
                <w:rFonts w:eastAsia="Arial"/>
              </w:rPr>
              <w:t xml:space="preserve"> </w:t>
            </w:r>
            <w:r w:rsidR="00226B93">
              <w:rPr>
                <w:rFonts w:eastAsia="Arial"/>
              </w:rPr>
              <w:t>‘</w:t>
            </w:r>
            <w:r w:rsidRPr="00C913E1">
              <w:rPr>
                <w:rFonts w:eastAsia="Arial"/>
              </w:rPr>
              <w:t>The reference case should include the full additional costs associated with introducing a technology.</w:t>
            </w:r>
            <w:r w:rsidR="00226B93">
              <w:rPr>
                <w:rFonts w:eastAsia="Arial"/>
              </w:rPr>
              <w:t>’</w:t>
            </w:r>
          </w:p>
        </w:tc>
      </w:tr>
      <w:tr w:rsidR="0065443E" w:rsidRPr="003A44E9" w14:paraId="75CCDD04" w14:textId="77777777" w:rsidTr="40471A9B">
        <w:tc>
          <w:tcPr>
            <w:tcW w:w="1082" w:type="pct"/>
          </w:tcPr>
          <w:p w14:paraId="434E0736" w14:textId="4546D525" w:rsidR="0065443E" w:rsidRPr="00B773E8" w:rsidRDefault="0065443E" w:rsidP="00F14220">
            <w:pPr>
              <w:pStyle w:val="Tabletext"/>
              <w:rPr>
                <w:rFonts w:eastAsia="Arial"/>
              </w:rPr>
            </w:pPr>
            <w:r w:rsidRPr="00B773E8">
              <w:rPr>
                <w:rFonts w:eastAsia="Arial"/>
              </w:rPr>
              <w:t>4.4</w:t>
            </w:r>
            <w:r>
              <w:rPr>
                <w:rFonts w:eastAsia="Arial"/>
              </w:rPr>
              <w:t xml:space="preserve"> </w:t>
            </w:r>
            <w:r w:rsidRPr="00B773E8">
              <w:rPr>
                <w:rFonts w:eastAsia="Arial"/>
              </w:rPr>
              <w:t>Evidence on resource use and costs</w:t>
            </w:r>
          </w:p>
        </w:tc>
        <w:tc>
          <w:tcPr>
            <w:tcW w:w="1219" w:type="pct"/>
          </w:tcPr>
          <w:p w14:paraId="23778AB2" w14:textId="77777777" w:rsidR="0065443E" w:rsidRPr="003A44E9" w:rsidRDefault="0065443E" w:rsidP="00F14220">
            <w:pPr>
              <w:pStyle w:val="Tabletext"/>
              <w:rPr>
                <w:rFonts w:eastAsia="Arial"/>
              </w:rPr>
            </w:pPr>
            <w:r>
              <w:rPr>
                <w:rFonts w:eastAsia="Arial"/>
              </w:rPr>
              <w:t xml:space="preserve">Examples of when cost apportionment should be considered </w:t>
            </w:r>
          </w:p>
        </w:tc>
        <w:tc>
          <w:tcPr>
            <w:tcW w:w="2699" w:type="pct"/>
          </w:tcPr>
          <w:p w14:paraId="3C108D9B" w14:textId="22D78F02" w:rsidR="0065443E" w:rsidRPr="00C913E1" w:rsidRDefault="0065443E" w:rsidP="00F14220">
            <w:pPr>
              <w:pStyle w:val="Tabletext"/>
              <w:rPr>
                <w:rFonts w:eastAsia="Arial"/>
              </w:rPr>
            </w:pPr>
            <w:r w:rsidRPr="004E165B">
              <w:rPr>
                <w:rFonts w:eastAsia="Arial"/>
              </w:rPr>
              <w:t>4.4.15</w:t>
            </w:r>
            <w:r>
              <w:rPr>
                <w:rFonts w:eastAsia="Arial"/>
              </w:rPr>
              <w:t xml:space="preserve"> </w:t>
            </w:r>
            <w:r w:rsidR="006305BF">
              <w:rPr>
                <w:rFonts w:eastAsia="Arial"/>
              </w:rPr>
              <w:t>‘</w:t>
            </w:r>
            <w:r w:rsidRPr="00C913E1">
              <w:rPr>
                <w:rFonts w:eastAsia="Arial"/>
              </w:rPr>
              <w:t>The committee should consider the specific circumstances and context of the evaluation. It should consider alongside the reference-case analysis a non-reference-case analysis in which a particular cost is apportioned or adjusted when:</w:t>
            </w:r>
          </w:p>
          <w:p w14:paraId="62153CF6" w14:textId="77777777" w:rsidR="0065443E" w:rsidRPr="00D14575" w:rsidRDefault="0065443E" w:rsidP="00F14220">
            <w:pPr>
              <w:pStyle w:val="Tablebullet"/>
              <w:rPr>
                <w:rFonts w:eastAsia="Arial"/>
              </w:rPr>
            </w:pPr>
            <w:r w:rsidRPr="00D14575">
              <w:rPr>
                <w:rFonts w:eastAsia="Arial"/>
              </w:rPr>
              <w:t>there is an established plan to change practice or service delivery in the NHS</w:t>
            </w:r>
          </w:p>
          <w:p w14:paraId="63D09869" w14:textId="77777777" w:rsidR="0065443E" w:rsidRPr="00D14575" w:rsidRDefault="0065443E" w:rsidP="00F14220">
            <w:pPr>
              <w:pStyle w:val="Tablebullet"/>
              <w:rPr>
                <w:rFonts w:eastAsia="Arial"/>
              </w:rPr>
            </w:pPr>
            <w:r w:rsidRPr="00D14575">
              <w:rPr>
                <w:rFonts w:eastAsia="Arial"/>
              </w:rPr>
              <w:t>there is a formal arrangement with relevant stakeholders that the full costs should not be attributed to the new technology</w:t>
            </w:r>
          </w:p>
          <w:p w14:paraId="5473D553" w14:textId="77777777" w:rsidR="0065443E" w:rsidRPr="00D14575" w:rsidRDefault="0065443E" w:rsidP="00F14220">
            <w:pPr>
              <w:pStyle w:val="Tablebullet"/>
              <w:rPr>
                <w:rFonts w:eastAsia="Arial"/>
              </w:rPr>
            </w:pPr>
            <w:r w:rsidRPr="00D14575">
              <w:rPr>
                <w:rFonts w:eastAsia="Arial"/>
              </w:rPr>
              <w:t>the technology has multiple uses beyond the indication under evaluation</w:t>
            </w:r>
          </w:p>
          <w:p w14:paraId="7ACBC18B" w14:textId="1938B504" w:rsidR="0065443E" w:rsidRPr="00D14575" w:rsidRDefault="0065443E" w:rsidP="00F14220">
            <w:pPr>
              <w:pStyle w:val="Tablebullet"/>
              <w:rPr>
                <w:rFonts w:eastAsia="Arial"/>
              </w:rPr>
            </w:pPr>
            <w:r w:rsidRPr="00D14575">
              <w:rPr>
                <w:rFonts w:eastAsia="Arial"/>
              </w:rPr>
              <w:t>introducing the new technology will lead to identifiable benefits that are not captured in health technology evaluations.</w:t>
            </w:r>
            <w:r w:rsidR="006305BF">
              <w:rPr>
                <w:rFonts w:eastAsia="Arial"/>
              </w:rPr>
              <w:t>’</w:t>
            </w:r>
          </w:p>
        </w:tc>
      </w:tr>
      <w:tr w:rsidR="0065443E" w:rsidRPr="003A44E9" w14:paraId="65EF2F15" w14:textId="77777777" w:rsidTr="40471A9B">
        <w:tc>
          <w:tcPr>
            <w:tcW w:w="1082" w:type="pct"/>
          </w:tcPr>
          <w:p w14:paraId="4F47D578" w14:textId="2F8E9C54" w:rsidR="0065443E" w:rsidRPr="00B773E8" w:rsidRDefault="0065443E" w:rsidP="00F14220">
            <w:pPr>
              <w:pStyle w:val="Tabletext"/>
              <w:rPr>
                <w:rFonts w:eastAsia="Arial"/>
              </w:rPr>
            </w:pPr>
            <w:r w:rsidRPr="00B773E8">
              <w:rPr>
                <w:rFonts w:eastAsia="Arial"/>
              </w:rPr>
              <w:t>4.4 Evidence on resource use and costs</w:t>
            </w:r>
          </w:p>
        </w:tc>
        <w:tc>
          <w:tcPr>
            <w:tcW w:w="1219" w:type="pct"/>
          </w:tcPr>
          <w:p w14:paraId="11D52F8B" w14:textId="0791ED4F" w:rsidR="0065443E" w:rsidRPr="003A44E9" w:rsidRDefault="0065443E" w:rsidP="00F14220">
            <w:pPr>
              <w:pStyle w:val="Tabletext"/>
              <w:rPr>
                <w:rFonts w:eastAsia="Arial"/>
              </w:rPr>
            </w:pPr>
            <w:r>
              <w:rPr>
                <w:rFonts w:eastAsia="Arial"/>
              </w:rPr>
              <w:t>Technologies with multiple uses beyond that under evaluation</w:t>
            </w:r>
            <w:r w:rsidR="00DA342B">
              <w:rPr>
                <w:rFonts w:eastAsia="Arial"/>
              </w:rPr>
              <w:t>,</w:t>
            </w:r>
            <w:r>
              <w:rPr>
                <w:rFonts w:eastAsia="Arial"/>
              </w:rPr>
              <w:t xml:space="preserve"> and technologies recommended for other indications with existing capacity to support its introduction</w:t>
            </w:r>
          </w:p>
        </w:tc>
        <w:tc>
          <w:tcPr>
            <w:tcW w:w="2699" w:type="pct"/>
          </w:tcPr>
          <w:p w14:paraId="3A8D9DE5" w14:textId="224DA06E" w:rsidR="0065443E" w:rsidRPr="003A44E9" w:rsidRDefault="0065443E" w:rsidP="00F14220">
            <w:pPr>
              <w:pStyle w:val="Tabletext"/>
              <w:rPr>
                <w:rFonts w:eastAsia="Arial"/>
              </w:rPr>
            </w:pPr>
            <w:r w:rsidRPr="00283893">
              <w:rPr>
                <w:rFonts w:eastAsia="Arial"/>
              </w:rPr>
              <w:t>4.4.20</w:t>
            </w:r>
            <w:r>
              <w:rPr>
                <w:rFonts w:eastAsia="Arial"/>
              </w:rPr>
              <w:t xml:space="preserve"> </w:t>
            </w:r>
            <w:r w:rsidR="006305BF">
              <w:rPr>
                <w:rFonts w:eastAsia="Arial"/>
              </w:rPr>
              <w:t>‘</w:t>
            </w:r>
            <w:r w:rsidRPr="00A87D05">
              <w:rPr>
                <w:rFonts w:eastAsia="Arial"/>
              </w:rPr>
              <w:t>For technologies with multiple uses that are already being used in the NHS, for example diagnostic tests that could identify multiple markers, and when not all of its uses are being evaluated, the average cost should initially be identified based on the expected use or throughput of the device for only the uses being evaluated. In some cases, if a technology is already recommended for another purpose and enough spare capacity exists to allow the use for the condition in the current evaluation, an analysis using marginal costs may be supplied in addition to the analysis based on average costs.</w:t>
            </w:r>
            <w:r w:rsidR="006305BF">
              <w:rPr>
                <w:rFonts w:eastAsia="Arial"/>
              </w:rPr>
              <w:t>’</w:t>
            </w:r>
          </w:p>
        </w:tc>
      </w:tr>
      <w:tr w:rsidR="0065443E" w:rsidRPr="003A44E9" w14:paraId="26157AE1" w14:textId="77777777" w:rsidTr="40471A9B">
        <w:tc>
          <w:tcPr>
            <w:tcW w:w="1082" w:type="pct"/>
          </w:tcPr>
          <w:p w14:paraId="23EE311E" w14:textId="1C3B053B" w:rsidR="0065443E" w:rsidRPr="00B773E8" w:rsidRDefault="0065443E" w:rsidP="00F14220">
            <w:pPr>
              <w:pStyle w:val="Tabletext"/>
              <w:rPr>
                <w:rFonts w:eastAsia="Arial"/>
              </w:rPr>
            </w:pPr>
            <w:r w:rsidRPr="00B773E8">
              <w:rPr>
                <w:rFonts w:eastAsia="Arial"/>
              </w:rPr>
              <w:t>4.4 Evidence on resource use and costs</w:t>
            </w:r>
          </w:p>
        </w:tc>
        <w:tc>
          <w:tcPr>
            <w:tcW w:w="1219" w:type="pct"/>
          </w:tcPr>
          <w:p w14:paraId="03DF0260" w14:textId="77777777" w:rsidR="0065443E" w:rsidRPr="003A44E9" w:rsidRDefault="0065443E" w:rsidP="00F14220">
            <w:pPr>
              <w:pStyle w:val="Tabletext"/>
              <w:rPr>
                <w:rFonts w:eastAsia="Arial"/>
              </w:rPr>
            </w:pPr>
            <w:r>
              <w:rPr>
                <w:rFonts w:eastAsia="Arial"/>
              </w:rPr>
              <w:t xml:space="preserve">Effects on costs for other government bodies </w:t>
            </w:r>
          </w:p>
        </w:tc>
        <w:tc>
          <w:tcPr>
            <w:tcW w:w="2699" w:type="pct"/>
          </w:tcPr>
          <w:p w14:paraId="1D6AD260" w14:textId="4B329949" w:rsidR="0065443E" w:rsidRPr="003A44E9" w:rsidRDefault="0065443E" w:rsidP="00F14220">
            <w:pPr>
              <w:pStyle w:val="Tabletext"/>
              <w:rPr>
                <w:rFonts w:eastAsia="Arial"/>
              </w:rPr>
            </w:pPr>
            <w:r w:rsidRPr="00283893">
              <w:rPr>
                <w:rFonts w:eastAsia="Arial"/>
              </w:rPr>
              <w:t>4.4.2</w:t>
            </w:r>
            <w:r>
              <w:rPr>
                <w:rFonts w:eastAsia="Arial"/>
              </w:rPr>
              <w:t xml:space="preserve">2 </w:t>
            </w:r>
            <w:r w:rsidR="00F9383B">
              <w:rPr>
                <w:rFonts w:eastAsia="Arial"/>
              </w:rPr>
              <w:t>‘</w:t>
            </w:r>
            <w:r w:rsidRPr="00B037B5">
              <w:rPr>
                <w:rFonts w:eastAsia="Arial"/>
              </w:rPr>
              <w:t>Some technologies may have a substantial effect on the costs (or cost savings) to government bodies other than the NHS. Exceptionally, these costs may be included if specifically agreed with the Department of Health and Social Care. When non-reference-case analyses include these broader costs, explicit methods of valuation are needed. In all cases, these costs should be</w:t>
            </w:r>
            <w:r w:rsidRPr="008415E8">
              <w:rPr>
                <w:rFonts w:eastAsia="Arial"/>
              </w:rPr>
              <w:t xml:space="preserve"> reported separately from NHS and PSS </w:t>
            </w:r>
            <w:proofErr w:type="gramStart"/>
            <w:r w:rsidRPr="008415E8">
              <w:rPr>
                <w:rFonts w:eastAsia="Arial"/>
              </w:rPr>
              <w:t>costs, and</w:t>
            </w:r>
            <w:proofErr w:type="gramEnd"/>
            <w:r w:rsidRPr="008415E8">
              <w:rPr>
                <w:rFonts w:eastAsia="Arial"/>
              </w:rPr>
              <w:t xml:space="preserve"> not included in the reference-case analysis</w:t>
            </w:r>
            <w:r w:rsidR="00F9383B">
              <w:rPr>
                <w:rFonts w:eastAsia="Arial"/>
              </w:rPr>
              <w:t>.’</w:t>
            </w:r>
          </w:p>
        </w:tc>
      </w:tr>
      <w:tr w:rsidR="0065443E" w:rsidRPr="003A44E9" w14:paraId="2435FECD" w14:textId="77777777" w:rsidTr="40471A9B">
        <w:tc>
          <w:tcPr>
            <w:tcW w:w="1082" w:type="pct"/>
          </w:tcPr>
          <w:p w14:paraId="2117C097" w14:textId="69D66DBB" w:rsidR="0065443E" w:rsidRPr="00B773E8" w:rsidRDefault="0065443E" w:rsidP="00F14220">
            <w:pPr>
              <w:pStyle w:val="Tabletext"/>
              <w:rPr>
                <w:rFonts w:eastAsia="Arial"/>
              </w:rPr>
            </w:pPr>
            <w:hyperlink r:id="rId15" w:anchor="companion-diagnostics" w:history="1">
              <w:r w:rsidRPr="00881EBD">
                <w:rPr>
                  <w:rStyle w:val="Hyperlink"/>
                  <w:rFonts w:eastAsia="Arial"/>
                </w:rPr>
                <w:t>4.8 Companion diagnostic</w:t>
              </w:r>
              <w:r w:rsidR="00F9383B" w:rsidRPr="00881EBD">
                <w:rPr>
                  <w:rStyle w:val="Hyperlink"/>
                  <w:rFonts w:eastAsia="Arial"/>
                </w:rPr>
                <w:t>s</w:t>
              </w:r>
            </w:hyperlink>
          </w:p>
        </w:tc>
        <w:tc>
          <w:tcPr>
            <w:tcW w:w="1219" w:type="pct"/>
          </w:tcPr>
          <w:p w14:paraId="274412D6" w14:textId="0EF0C4B4" w:rsidR="0065443E" w:rsidRPr="003A44E9" w:rsidRDefault="0065443E" w:rsidP="00F14220">
            <w:pPr>
              <w:pStyle w:val="Tabletext"/>
              <w:rPr>
                <w:rFonts w:eastAsia="Arial"/>
              </w:rPr>
            </w:pPr>
            <w:r>
              <w:rPr>
                <w:rFonts w:eastAsia="Arial"/>
              </w:rPr>
              <w:t>Inclu</w:t>
            </w:r>
            <w:r w:rsidR="00505EEF">
              <w:rPr>
                <w:rFonts w:eastAsia="Arial"/>
              </w:rPr>
              <w:t>ding</w:t>
            </w:r>
            <w:r>
              <w:rPr>
                <w:rFonts w:eastAsia="Arial"/>
              </w:rPr>
              <w:t xml:space="preserve"> </w:t>
            </w:r>
            <w:r w:rsidR="00DA342B">
              <w:rPr>
                <w:rFonts w:eastAsia="Arial"/>
              </w:rPr>
              <w:t xml:space="preserve">the </w:t>
            </w:r>
            <w:r>
              <w:rPr>
                <w:rFonts w:eastAsia="Arial"/>
              </w:rPr>
              <w:t>cost of companion diagnostic</w:t>
            </w:r>
            <w:r w:rsidR="00505EEF">
              <w:rPr>
                <w:rFonts w:eastAsia="Arial"/>
              </w:rPr>
              <w:t>s</w:t>
            </w:r>
            <w:r>
              <w:rPr>
                <w:rFonts w:eastAsia="Arial"/>
              </w:rPr>
              <w:t xml:space="preserve"> </w:t>
            </w:r>
          </w:p>
        </w:tc>
        <w:tc>
          <w:tcPr>
            <w:tcW w:w="2699" w:type="pct"/>
          </w:tcPr>
          <w:p w14:paraId="79935522" w14:textId="2620BB54" w:rsidR="0065443E" w:rsidRPr="003A44E9" w:rsidRDefault="0065443E" w:rsidP="00F14220">
            <w:pPr>
              <w:pStyle w:val="Tabletext"/>
              <w:rPr>
                <w:rFonts w:eastAsia="Arial"/>
              </w:rPr>
            </w:pPr>
            <w:r w:rsidRPr="00B037B5">
              <w:rPr>
                <w:rFonts w:eastAsia="Arial"/>
              </w:rPr>
              <w:t>4.8.1</w:t>
            </w:r>
            <w:r>
              <w:rPr>
                <w:rFonts w:eastAsia="Arial"/>
              </w:rPr>
              <w:t xml:space="preserve"> </w:t>
            </w:r>
            <w:r w:rsidR="00A9386B">
              <w:rPr>
                <w:rFonts w:eastAsia="Arial"/>
              </w:rPr>
              <w:t>‘</w:t>
            </w:r>
            <w:r w:rsidRPr="00F61B84">
              <w:rPr>
                <w:rFonts w:eastAsia="Arial"/>
              </w:rPr>
              <w:t>If a diagnostic test to identify patients or establish the presence or absence of a particular biomarker is not routinely used in the NHS but is introduced to support the treatment decision for the specific technology, include the associated costs of the diagnostic in the assessments of clinical and cost effectiveness. Provide a sensitivity analysis without the cost of the diagnostic test</w:t>
            </w:r>
            <w:r w:rsidR="00A9386B" w:rsidRPr="00F61B84">
              <w:rPr>
                <w:rFonts w:eastAsia="Arial"/>
              </w:rPr>
              <w:t>.</w:t>
            </w:r>
            <w:r w:rsidR="00A9386B">
              <w:rPr>
                <w:rFonts w:eastAsia="Arial"/>
              </w:rPr>
              <w:t>’</w:t>
            </w:r>
          </w:p>
        </w:tc>
      </w:tr>
      <w:tr w:rsidR="0065443E" w:rsidRPr="003A44E9" w14:paraId="27610980" w14:textId="77777777" w:rsidTr="40471A9B">
        <w:tc>
          <w:tcPr>
            <w:tcW w:w="1082" w:type="pct"/>
          </w:tcPr>
          <w:p w14:paraId="467CC548" w14:textId="7993D240" w:rsidR="0065443E" w:rsidRPr="003A44E9" w:rsidRDefault="0065443E" w:rsidP="00F14220">
            <w:pPr>
              <w:pStyle w:val="Tabletext"/>
              <w:rPr>
                <w:rFonts w:eastAsia="Arial"/>
              </w:rPr>
            </w:pPr>
            <w:hyperlink r:id="rId16" w:anchor="impact-on-the-nhs" w:history="1">
              <w:r w:rsidRPr="000B7686">
                <w:rPr>
                  <w:rStyle w:val="Hyperlink"/>
                  <w:rFonts w:eastAsia="Arial"/>
                </w:rPr>
                <w:t xml:space="preserve">4.11 </w:t>
              </w:r>
              <w:r w:rsidR="000B7686" w:rsidRPr="000B7686">
                <w:rPr>
                  <w:rStyle w:val="Hyperlink"/>
                  <w:rFonts w:eastAsia="Arial"/>
                </w:rPr>
                <w:t>Impact on the NHS</w:t>
              </w:r>
            </w:hyperlink>
          </w:p>
        </w:tc>
        <w:tc>
          <w:tcPr>
            <w:tcW w:w="1219" w:type="pct"/>
          </w:tcPr>
          <w:p w14:paraId="3BA92795" w14:textId="6763B401" w:rsidR="0065443E" w:rsidRDefault="0065443E" w:rsidP="00F14220">
            <w:pPr>
              <w:pStyle w:val="Tabletext"/>
              <w:rPr>
                <w:rFonts w:eastAsia="Arial"/>
              </w:rPr>
            </w:pPr>
            <w:r>
              <w:rPr>
                <w:rFonts w:eastAsia="Arial"/>
              </w:rPr>
              <w:t>Examples of costs related to implementi</w:t>
            </w:r>
            <w:r w:rsidR="00505EEF">
              <w:rPr>
                <w:rFonts w:eastAsia="Arial"/>
              </w:rPr>
              <w:t>ng</w:t>
            </w:r>
            <w:r>
              <w:rPr>
                <w:rFonts w:eastAsia="Arial"/>
              </w:rPr>
              <w:t xml:space="preserve"> new technologies</w:t>
            </w:r>
          </w:p>
        </w:tc>
        <w:tc>
          <w:tcPr>
            <w:tcW w:w="2699" w:type="pct"/>
          </w:tcPr>
          <w:p w14:paraId="63606375" w14:textId="22BBAFD0" w:rsidR="0065443E" w:rsidRPr="00A86B1A" w:rsidRDefault="0065443E" w:rsidP="00F14220">
            <w:pPr>
              <w:pStyle w:val="Tabletext"/>
              <w:rPr>
                <w:rFonts w:eastAsia="Arial"/>
              </w:rPr>
            </w:pPr>
            <w:r w:rsidRPr="00B037B5">
              <w:rPr>
                <w:rFonts w:eastAsia="Arial"/>
              </w:rPr>
              <w:t>4.11.4</w:t>
            </w:r>
            <w:r>
              <w:rPr>
                <w:rFonts w:eastAsia="Arial"/>
              </w:rPr>
              <w:t xml:space="preserve"> </w:t>
            </w:r>
            <w:r w:rsidR="00505EEF">
              <w:rPr>
                <w:rFonts w:eastAsia="Arial"/>
              </w:rPr>
              <w:t>‘</w:t>
            </w:r>
            <w:r w:rsidRPr="00A86B1A">
              <w:rPr>
                <w:rFonts w:eastAsia="Arial"/>
              </w:rPr>
              <w:t>Implementation of a new technology will have direct implications for the provision of units of the evaluated and comparator technologies (for example, doses of drugs or theatre hours) by the NHS. Also, the technology may have a knock-on effect (increase or decrease) on other NHS and PSS resources, including alternative or avoided treatment and resources needed to support using the new technology. These might include:</w:t>
            </w:r>
          </w:p>
          <w:p w14:paraId="03D461AA" w14:textId="2EF43AAE" w:rsidR="0065443E" w:rsidRPr="00A86B1A" w:rsidRDefault="0065443E" w:rsidP="007314E7">
            <w:pPr>
              <w:pStyle w:val="Tablebullet"/>
              <w:rPr>
                <w:rFonts w:eastAsia="Arial"/>
              </w:rPr>
            </w:pPr>
            <w:r w:rsidRPr="00A86B1A">
              <w:rPr>
                <w:rFonts w:eastAsia="Arial"/>
              </w:rPr>
              <w:t>staff numbers and hours</w:t>
            </w:r>
          </w:p>
          <w:p w14:paraId="05B3684A" w14:textId="6A7BE1D3" w:rsidR="0065443E" w:rsidRPr="00A86B1A" w:rsidRDefault="0065443E" w:rsidP="007314E7">
            <w:pPr>
              <w:pStyle w:val="Tablebullet"/>
              <w:rPr>
                <w:rFonts w:eastAsia="Arial"/>
              </w:rPr>
            </w:pPr>
            <w:r w:rsidRPr="00A86B1A">
              <w:rPr>
                <w:rFonts w:eastAsia="Arial"/>
              </w:rPr>
              <w:t>training and education</w:t>
            </w:r>
          </w:p>
          <w:p w14:paraId="4EB494D5" w14:textId="2D9359D5" w:rsidR="0065443E" w:rsidRPr="00A86B1A" w:rsidRDefault="0065443E" w:rsidP="007314E7">
            <w:pPr>
              <w:pStyle w:val="Tablebullet"/>
              <w:rPr>
                <w:rFonts w:eastAsia="Arial"/>
              </w:rPr>
            </w:pPr>
            <w:r w:rsidRPr="00A86B1A">
              <w:rPr>
                <w:rFonts w:eastAsia="Arial"/>
              </w:rPr>
              <w:t>support services (for example, laboratory tests)</w:t>
            </w:r>
          </w:p>
          <w:p w14:paraId="00BE80D5" w14:textId="08EA15BA" w:rsidR="0065443E" w:rsidRPr="003A44E9" w:rsidRDefault="0065443E" w:rsidP="007314E7">
            <w:pPr>
              <w:pStyle w:val="Tablebullet"/>
              <w:rPr>
                <w:rFonts w:eastAsia="Arial"/>
              </w:rPr>
            </w:pPr>
            <w:r w:rsidRPr="00A86B1A">
              <w:rPr>
                <w:rFonts w:eastAsia="Arial"/>
              </w:rPr>
              <w:t>service capacity or facilities (for example, hospital beds, clinic sessions, diagnostic services and residential home places).</w:t>
            </w:r>
            <w:r w:rsidR="00EB1F29">
              <w:rPr>
                <w:rFonts w:eastAsia="Arial"/>
              </w:rPr>
              <w:t>’</w:t>
            </w:r>
          </w:p>
        </w:tc>
      </w:tr>
      <w:tr w:rsidR="0065443E" w:rsidRPr="003A44E9" w14:paraId="690FE6C2" w14:textId="77777777" w:rsidTr="40471A9B">
        <w:tc>
          <w:tcPr>
            <w:tcW w:w="1082" w:type="pct"/>
          </w:tcPr>
          <w:p w14:paraId="50B64E17" w14:textId="0F4DA66B" w:rsidR="0065443E" w:rsidRPr="003A44E9" w:rsidRDefault="0065443E" w:rsidP="00F14220">
            <w:pPr>
              <w:pStyle w:val="Tabletext"/>
              <w:rPr>
                <w:rFonts w:eastAsia="Arial"/>
              </w:rPr>
            </w:pPr>
            <w:r w:rsidRPr="00D21B89">
              <w:rPr>
                <w:rFonts w:eastAsia="Arial"/>
              </w:rPr>
              <w:t xml:space="preserve">4.11 </w:t>
            </w:r>
            <w:r w:rsidR="000B7686">
              <w:rPr>
                <w:rFonts w:eastAsia="Arial"/>
              </w:rPr>
              <w:t>Impact on the NHS</w:t>
            </w:r>
          </w:p>
        </w:tc>
        <w:tc>
          <w:tcPr>
            <w:tcW w:w="1219" w:type="pct"/>
          </w:tcPr>
          <w:p w14:paraId="7CDE9E7B" w14:textId="77777777" w:rsidR="0065443E" w:rsidRDefault="0065443E" w:rsidP="00F14220">
            <w:pPr>
              <w:pStyle w:val="Tabletext"/>
              <w:rPr>
                <w:rFonts w:eastAsia="Arial"/>
              </w:rPr>
            </w:pPr>
            <w:r>
              <w:rPr>
                <w:rFonts w:eastAsia="Arial"/>
              </w:rPr>
              <w:t>Resource constraints and impact on implementation timescale</w:t>
            </w:r>
          </w:p>
        </w:tc>
        <w:tc>
          <w:tcPr>
            <w:tcW w:w="2699" w:type="pct"/>
          </w:tcPr>
          <w:p w14:paraId="0372E034" w14:textId="38D4880B" w:rsidR="0065443E" w:rsidRPr="003A44E9" w:rsidRDefault="0065443E" w:rsidP="00F14220">
            <w:pPr>
              <w:pStyle w:val="Tabletext"/>
              <w:rPr>
                <w:rFonts w:eastAsia="Arial"/>
              </w:rPr>
            </w:pPr>
            <w:r w:rsidRPr="00B037B5">
              <w:rPr>
                <w:rFonts w:eastAsia="Arial"/>
              </w:rPr>
              <w:t>4.11.5</w:t>
            </w:r>
            <w:r>
              <w:rPr>
                <w:rFonts w:eastAsia="Arial"/>
              </w:rPr>
              <w:t xml:space="preserve"> </w:t>
            </w:r>
            <w:r w:rsidR="00EB1F29">
              <w:rPr>
                <w:rFonts w:eastAsia="Arial"/>
              </w:rPr>
              <w:t>‘</w:t>
            </w:r>
            <w:r w:rsidRPr="005A1FEE">
              <w:rPr>
                <w:rFonts w:eastAsia="Arial"/>
              </w:rPr>
              <w:t xml:space="preserve">Highlight any likely constraints on the resources needed to support the implementation of the technology under evaluation, and comment on the </w:t>
            </w:r>
            <w:r w:rsidRPr="3EDEBC05">
              <w:rPr>
                <w:rFonts w:eastAsia="Arial"/>
              </w:rPr>
              <w:t>affect</w:t>
            </w:r>
            <w:r w:rsidRPr="005A1FEE">
              <w:rPr>
                <w:rFonts w:eastAsia="Arial"/>
              </w:rPr>
              <w:t xml:space="preserve"> this may have on the implementation timescale.</w:t>
            </w:r>
            <w:r w:rsidR="00EB1F29">
              <w:rPr>
                <w:rFonts w:eastAsia="Arial"/>
              </w:rPr>
              <w:t>’</w:t>
            </w:r>
          </w:p>
        </w:tc>
      </w:tr>
      <w:tr w:rsidR="0065443E" w:rsidRPr="003A44E9" w14:paraId="76FB1F8C" w14:textId="77777777" w:rsidTr="40471A9B">
        <w:tc>
          <w:tcPr>
            <w:tcW w:w="1082" w:type="pct"/>
          </w:tcPr>
          <w:p w14:paraId="22147F57" w14:textId="14B295FB" w:rsidR="0065443E" w:rsidRPr="003A44E9" w:rsidRDefault="0065443E" w:rsidP="00F14220">
            <w:pPr>
              <w:pStyle w:val="Tabletext"/>
              <w:rPr>
                <w:rFonts w:eastAsia="Arial"/>
              </w:rPr>
            </w:pPr>
            <w:r w:rsidRPr="00D21B89">
              <w:rPr>
                <w:rFonts w:eastAsia="Arial"/>
              </w:rPr>
              <w:t xml:space="preserve">4.11 </w:t>
            </w:r>
            <w:r w:rsidR="000B7686">
              <w:rPr>
                <w:rFonts w:eastAsia="Arial"/>
              </w:rPr>
              <w:t>Impact on the NHS</w:t>
            </w:r>
          </w:p>
        </w:tc>
        <w:tc>
          <w:tcPr>
            <w:tcW w:w="1219" w:type="pct"/>
          </w:tcPr>
          <w:p w14:paraId="0765DE70" w14:textId="77777777" w:rsidR="0065443E" w:rsidRDefault="0065443E" w:rsidP="00F14220">
            <w:pPr>
              <w:pStyle w:val="Tabletext"/>
              <w:rPr>
                <w:rFonts w:eastAsia="Arial"/>
              </w:rPr>
            </w:pPr>
            <w:r>
              <w:rPr>
                <w:rFonts w:eastAsia="Arial"/>
              </w:rPr>
              <w:t>Cost categories related to implementation</w:t>
            </w:r>
          </w:p>
        </w:tc>
        <w:tc>
          <w:tcPr>
            <w:tcW w:w="2699" w:type="pct"/>
          </w:tcPr>
          <w:p w14:paraId="79DEE4C4" w14:textId="22CDAE79" w:rsidR="0065443E" w:rsidRPr="003A44E9" w:rsidRDefault="0065443E" w:rsidP="00F14220">
            <w:pPr>
              <w:pStyle w:val="Tabletext"/>
              <w:rPr>
                <w:rFonts w:eastAsia="Arial"/>
              </w:rPr>
            </w:pPr>
            <w:r w:rsidRPr="00707F04">
              <w:rPr>
                <w:rFonts w:eastAsia="Arial"/>
              </w:rPr>
              <w:t>4.11.6</w:t>
            </w:r>
            <w:r w:rsidRPr="008F44B9">
              <w:rPr>
                <w:rFonts w:eastAsia="Arial"/>
              </w:rPr>
              <w:t xml:space="preserve"> </w:t>
            </w:r>
            <w:r w:rsidR="00EB1F29">
              <w:rPr>
                <w:rFonts w:eastAsia="Arial"/>
              </w:rPr>
              <w:t>‘</w:t>
            </w:r>
            <w:r w:rsidRPr="001703DB">
              <w:rPr>
                <w:rFonts w:eastAsia="Arial"/>
              </w:rPr>
              <w:t>Provide estimates of net NHS (and PSS, when appropriate) costs of the expected resource impact to allow effective national and local financial planning. The costs should be disaggregated by appropriate generic organisational (for example, NHS, personal and social services, hospital or primary care) and budgetary categories (for example, drugs, staffing, consumables or capital). When possible, this should be to the same level and detail as that adopted in resource unit information. If savings are anticipated, specify the extent to which these finances can be realised. Supplied costs should also specify whether VAT is included. The cost information should reflect as closely as possible the prices that are paid in the NHS, and should be based on published cost analyses, recognised publicly available databases, price lists, or when appropriate, confidential or known price reductions.</w:t>
            </w:r>
            <w:r w:rsidR="00EB1F29">
              <w:rPr>
                <w:rFonts w:eastAsia="Arial"/>
              </w:rPr>
              <w:t>’</w:t>
            </w:r>
          </w:p>
        </w:tc>
      </w:tr>
      <w:tr w:rsidR="0065443E" w:rsidRPr="003A44E9" w14:paraId="751368C2" w14:textId="77777777" w:rsidTr="40471A9B">
        <w:tc>
          <w:tcPr>
            <w:tcW w:w="1082" w:type="pct"/>
          </w:tcPr>
          <w:p w14:paraId="1AF630E0" w14:textId="51170EAD" w:rsidR="0065443E" w:rsidRPr="00D21B89" w:rsidRDefault="0065443E" w:rsidP="00F14220">
            <w:pPr>
              <w:pStyle w:val="Tabletext"/>
              <w:rPr>
                <w:rFonts w:eastAsia="Arial"/>
              </w:rPr>
            </w:pPr>
            <w:r w:rsidRPr="004B6741">
              <w:rPr>
                <w:rFonts w:eastAsia="Arial"/>
              </w:rPr>
              <w:t xml:space="preserve">4.11 </w:t>
            </w:r>
            <w:r w:rsidR="000B7686">
              <w:rPr>
                <w:rFonts w:eastAsia="Arial"/>
              </w:rPr>
              <w:t>Impact on the NHS</w:t>
            </w:r>
          </w:p>
        </w:tc>
        <w:tc>
          <w:tcPr>
            <w:tcW w:w="1219" w:type="pct"/>
          </w:tcPr>
          <w:p w14:paraId="71BDD451" w14:textId="77777777" w:rsidR="0065443E" w:rsidRDefault="0065443E" w:rsidP="00F14220">
            <w:pPr>
              <w:pStyle w:val="Tabletext"/>
              <w:rPr>
                <w:rFonts w:eastAsia="Arial"/>
              </w:rPr>
            </w:pPr>
            <w:r>
              <w:rPr>
                <w:rFonts w:eastAsia="Arial"/>
              </w:rPr>
              <w:t xml:space="preserve">Impact of technology on other services </w:t>
            </w:r>
          </w:p>
        </w:tc>
        <w:tc>
          <w:tcPr>
            <w:tcW w:w="2699" w:type="pct"/>
          </w:tcPr>
          <w:p w14:paraId="4E783844" w14:textId="3628CEA6" w:rsidR="0065443E" w:rsidRPr="00707F04" w:rsidRDefault="0065443E" w:rsidP="00F14220">
            <w:pPr>
              <w:pStyle w:val="Tabletext"/>
              <w:rPr>
                <w:rFonts w:eastAsia="Arial"/>
              </w:rPr>
            </w:pPr>
            <w:r w:rsidRPr="00643E0F">
              <w:rPr>
                <w:rFonts w:eastAsia="Arial"/>
              </w:rPr>
              <w:t>4.11.7</w:t>
            </w:r>
            <w:r w:rsidRPr="008F44B9">
              <w:rPr>
                <w:rFonts w:eastAsia="Arial"/>
              </w:rPr>
              <w:t xml:space="preserve"> </w:t>
            </w:r>
            <w:r w:rsidR="00EB1F29">
              <w:rPr>
                <w:rFonts w:eastAsia="Arial"/>
              </w:rPr>
              <w:t>‘</w:t>
            </w:r>
            <w:r w:rsidRPr="008F44B9">
              <w:rPr>
                <w:rFonts w:eastAsia="Arial"/>
              </w:rPr>
              <w:t>If implementing the technology could have substantial resource implications for other services, explore the effects on the submitted cost-effectiveness evidence for the technology.</w:t>
            </w:r>
            <w:r w:rsidR="00EB1F29">
              <w:rPr>
                <w:rFonts w:eastAsia="Arial"/>
              </w:rPr>
              <w:t>’</w:t>
            </w:r>
          </w:p>
        </w:tc>
      </w:tr>
      <w:tr w:rsidR="0065443E" w:rsidRPr="003A44E9" w14:paraId="3519ECB2" w14:textId="77777777" w:rsidTr="40471A9B">
        <w:tc>
          <w:tcPr>
            <w:tcW w:w="1082" w:type="pct"/>
          </w:tcPr>
          <w:p w14:paraId="04A6D570" w14:textId="73ABE46C" w:rsidR="0065443E" w:rsidRPr="00D21B89" w:rsidRDefault="0065443E" w:rsidP="00F14220">
            <w:pPr>
              <w:pStyle w:val="Tabletext"/>
              <w:rPr>
                <w:rFonts w:eastAsia="Arial"/>
              </w:rPr>
            </w:pPr>
            <w:r w:rsidRPr="004B6741">
              <w:rPr>
                <w:rFonts w:eastAsia="Arial"/>
              </w:rPr>
              <w:t xml:space="preserve">4.11 </w:t>
            </w:r>
            <w:r w:rsidR="000B7686">
              <w:rPr>
                <w:rFonts w:eastAsia="Arial"/>
              </w:rPr>
              <w:t>Impact on the NHS</w:t>
            </w:r>
          </w:p>
        </w:tc>
        <w:tc>
          <w:tcPr>
            <w:tcW w:w="1219" w:type="pct"/>
          </w:tcPr>
          <w:p w14:paraId="0F56E004" w14:textId="6E3EC45B" w:rsidR="0065443E" w:rsidRDefault="00DA342B" w:rsidP="00F14220">
            <w:pPr>
              <w:pStyle w:val="Tabletext"/>
              <w:rPr>
                <w:rFonts w:eastAsia="Arial"/>
              </w:rPr>
            </w:pPr>
            <w:r>
              <w:rPr>
                <w:rFonts w:eastAsia="Arial"/>
              </w:rPr>
              <w:t xml:space="preserve">Considering </w:t>
            </w:r>
            <w:r w:rsidR="0065443E">
              <w:rPr>
                <w:rFonts w:eastAsia="Arial"/>
              </w:rPr>
              <w:t xml:space="preserve">of budget analyses when exploring decision-making uncertainty in evaluation </w:t>
            </w:r>
          </w:p>
        </w:tc>
        <w:tc>
          <w:tcPr>
            <w:tcW w:w="2699" w:type="pct"/>
          </w:tcPr>
          <w:p w14:paraId="12DCA105" w14:textId="2DC18978" w:rsidR="0065443E" w:rsidRPr="00707F04" w:rsidRDefault="0065443E" w:rsidP="00F14220">
            <w:pPr>
              <w:pStyle w:val="Tabletext"/>
              <w:rPr>
                <w:rFonts w:eastAsia="Arial"/>
              </w:rPr>
            </w:pPr>
            <w:r w:rsidRPr="40471A9B">
              <w:rPr>
                <w:rFonts w:eastAsia="Arial"/>
              </w:rPr>
              <w:t xml:space="preserve">4.11.9 </w:t>
            </w:r>
            <w:r w:rsidR="00AA5711" w:rsidRPr="40471A9B">
              <w:rPr>
                <w:rFonts w:eastAsia="Arial"/>
              </w:rPr>
              <w:t>‘</w:t>
            </w:r>
            <w:r w:rsidRPr="40471A9B">
              <w:rPr>
                <w:rFonts w:eastAsia="Arial"/>
              </w:rPr>
              <w:t>Committees may consider budget impact analyses when exploring the level of decision-making uncertainty associated with the evaluation of the technology(s)</w:t>
            </w:r>
            <w:r w:rsidR="00AA5711" w:rsidRPr="40471A9B">
              <w:rPr>
                <w:rFonts w:eastAsia="Arial"/>
              </w:rPr>
              <w:t>.’</w:t>
            </w:r>
            <w:bookmarkEnd w:id="54"/>
          </w:p>
        </w:tc>
      </w:tr>
    </w:tbl>
    <w:p w14:paraId="326BF4F4" w14:textId="3BC8EF53" w:rsidR="00EF2E6C" w:rsidRPr="00FB0084" w:rsidRDefault="006E27A7" w:rsidP="00B8208D">
      <w:pPr>
        <w:pStyle w:val="Numberedheading2"/>
      </w:pPr>
      <w:bookmarkStart w:id="56" w:name="_Toc226546566"/>
      <w:r w:rsidRPr="00FC66C3">
        <w:t>Proposed</w:t>
      </w:r>
      <w:r>
        <w:t xml:space="preserve"> updates to </w:t>
      </w:r>
      <w:r w:rsidR="00CA5CEF">
        <w:t xml:space="preserve">NICE </w:t>
      </w:r>
      <w:r w:rsidR="003254E7">
        <w:t xml:space="preserve">methodological guidance </w:t>
      </w:r>
      <w:bookmarkEnd w:id="56"/>
    </w:p>
    <w:p w14:paraId="72A10DE1" w14:textId="63CCEEAC" w:rsidR="00EF2E6C" w:rsidRPr="00FB0084" w:rsidRDefault="00EF2E6C" w:rsidP="00B8208D">
      <w:pPr>
        <w:pStyle w:val="Paragraph"/>
      </w:pPr>
      <w:r w:rsidRPr="00FB0084">
        <w:t>To improve clarity, the text in</w:t>
      </w:r>
      <w:r w:rsidR="00936DF1">
        <w:t xml:space="preserve"> future NICE methodological guidance </w:t>
      </w:r>
      <w:r w:rsidR="00507A44">
        <w:t>should</w:t>
      </w:r>
      <w:r w:rsidR="00507A44" w:rsidRPr="00FB0084">
        <w:t xml:space="preserve"> </w:t>
      </w:r>
      <w:r w:rsidRPr="00FB0084">
        <w:t xml:space="preserve">be modified to </w:t>
      </w:r>
      <w:r w:rsidR="00F33EFC">
        <w:t xml:space="preserve">clarify that service delivery costs need to </w:t>
      </w:r>
      <w:r w:rsidR="00897FDD">
        <w:t xml:space="preserve">be included in cost-effectiveness analysis. </w:t>
      </w:r>
      <w:r w:rsidR="00FC66C3">
        <w:t>Also</w:t>
      </w:r>
      <w:r w:rsidR="00897FDD">
        <w:t xml:space="preserve">, the text can </w:t>
      </w:r>
      <w:r w:rsidRPr="00FB0084">
        <w:t xml:space="preserve">include a more detailed breakdown of relevant implementation cost categories based on the taxonomy of costs described in section </w:t>
      </w:r>
      <w:r w:rsidR="00FD3150">
        <w:t>5 of the main report</w:t>
      </w:r>
      <w:r w:rsidRPr="00FB0084">
        <w:t xml:space="preserve">. This would provide a clearer definition of what NICE means by implementation </w:t>
      </w:r>
      <w:r w:rsidRPr="000108F7">
        <w:t>costs</w:t>
      </w:r>
      <w:r w:rsidRPr="00050B47">
        <w:t>.</w:t>
      </w:r>
      <w:r w:rsidR="0012342B">
        <w:t xml:space="preserve"> These changes should be </w:t>
      </w:r>
      <w:r w:rsidR="003254E7">
        <w:t>reflected in guidance for resource impact</w:t>
      </w:r>
      <w:r w:rsidRPr="00050B47">
        <w:t>.</w:t>
      </w:r>
    </w:p>
    <w:p w14:paraId="279E5764" w14:textId="70C879EE" w:rsidR="00EF2E6C" w:rsidRDefault="00EF2E6C" w:rsidP="00B8208D">
      <w:pPr>
        <w:pStyle w:val="Paragraph"/>
      </w:pPr>
      <w:r w:rsidRPr="00FB0084">
        <w:t xml:space="preserve">More generally, all references to </w:t>
      </w:r>
      <w:r w:rsidR="00A10ED2">
        <w:t>service delivery</w:t>
      </w:r>
      <w:r w:rsidR="00DF212E">
        <w:t xml:space="preserve"> </w:t>
      </w:r>
      <w:r w:rsidRPr="00FB0084">
        <w:t>costs could be grouped into a specific subsection within</w:t>
      </w:r>
      <w:r w:rsidR="00CA5CEF">
        <w:t xml:space="preserve"> </w:t>
      </w:r>
      <w:r w:rsidR="006B022A">
        <w:t>the guidance manual</w:t>
      </w:r>
      <w:r w:rsidRPr="00FB0084">
        <w:t>.</w:t>
      </w:r>
    </w:p>
    <w:bookmarkStart w:id="57" w:name="_6.2.1.2_Specific_changes"/>
    <w:bookmarkEnd w:id="57"/>
    <w:p w14:paraId="620F8DFA" w14:textId="54F9386C" w:rsidR="00EF2E6C" w:rsidRDefault="00EF2E6C" w:rsidP="006B022A">
      <w:pPr>
        <w:pStyle w:val="Paragraph"/>
      </w:pPr>
      <w:r w:rsidRPr="00FC6E2C">
        <w:fldChar w:fldCharType="begin"/>
      </w:r>
      <w:r w:rsidRPr="00FC6E2C">
        <w:instrText xml:space="preserve"> REF _Ref217375301 \h  \* MERGEFORMAT </w:instrText>
      </w:r>
      <w:r w:rsidRPr="00FC6E2C">
        <w:fldChar w:fldCharType="separate"/>
      </w:r>
      <w:r w:rsidRPr="00FC6E2C">
        <w:t xml:space="preserve">Table </w:t>
      </w:r>
      <w:r w:rsidRPr="00FC6E2C">
        <w:fldChar w:fldCharType="end"/>
      </w:r>
      <w:r w:rsidR="000670EA">
        <w:t>2</w:t>
      </w:r>
      <w:r w:rsidRPr="00FC6E2C">
        <w:t xml:space="preserve"> outlines some </w:t>
      </w:r>
      <w:r w:rsidR="00265296">
        <w:t xml:space="preserve">recommendations </w:t>
      </w:r>
      <w:r w:rsidR="006B022A">
        <w:t>related to current</w:t>
      </w:r>
      <w:r w:rsidRPr="00FC6E2C">
        <w:t xml:space="preserve"> sections</w:t>
      </w:r>
      <w:r w:rsidR="006B022A">
        <w:t xml:space="preserve"> in</w:t>
      </w:r>
      <w:r w:rsidRPr="00FC6E2C">
        <w:t xml:space="preserve"> </w:t>
      </w:r>
      <w:hyperlink r:id="rId17" w:history="1">
        <w:r w:rsidRPr="00FC6E2C">
          <w:rPr>
            <w:rFonts w:eastAsia="Arial"/>
            <w:color w:val="0000FF"/>
            <w:u w:val="single"/>
          </w:rPr>
          <w:t>NICE</w:t>
        </w:r>
        <w:r w:rsidR="003341FE">
          <w:rPr>
            <w:rFonts w:eastAsia="Arial"/>
            <w:color w:val="0000FF"/>
            <w:u w:val="single"/>
          </w:rPr>
          <w:t>’s</w:t>
        </w:r>
        <w:r w:rsidRPr="00FC6E2C">
          <w:rPr>
            <w:rFonts w:eastAsia="Arial"/>
            <w:color w:val="0000FF"/>
            <w:u w:val="single"/>
          </w:rPr>
          <w:t xml:space="preserve"> manual on technology appraisal and highly specialised technologies</w:t>
        </w:r>
      </w:hyperlink>
      <w:r w:rsidR="006B022A">
        <w:t>.</w:t>
      </w:r>
      <w:r w:rsidR="00B84746">
        <w:t xml:space="preserve"> </w:t>
      </w:r>
    </w:p>
    <w:p w14:paraId="11F36A89" w14:textId="77777777" w:rsidR="006B022A" w:rsidRDefault="006B022A" w:rsidP="006B022A">
      <w:pPr>
        <w:pStyle w:val="Paragraph"/>
      </w:pPr>
    </w:p>
    <w:p w14:paraId="6FA7001C" w14:textId="77777777" w:rsidR="006B022A" w:rsidRDefault="006B022A" w:rsidP="006B022A">
      <w:pPr>
        <w:pStyle w:val="Paragraph"/>
      </w:pPr>
    </w:p>
    <w:p w14:paraId="43BFB1D4" w14:textId="77777777" w:rsidR="006B022A" w:rsidRDefault="006B022A" w:rsidP="006B022A">
      <w:pPr>
        <w:pStyle w:val="Paragraph"/>
      </w:pPr>
    </w:p>
    <w:p w14:paraId="09C68937" w14:textId="15AEFF01" w:rsidR="00EF2E6C" w:rsidRPr="00FC6E2C" w:rsidRDefault="00EF2E6C" w:rsidP="00B8208D">
      <w:pPr>
        <w:pStyle w:val="Caption"/>
      </w:pPr>
      <w:bookmarkStart w:id="58" w:name="_Ref217375301"/>
      <w:r w:rsidRPr="00FC6E2C">
        <w:t xml:space="preserve">Table </w:t>
      </w:r>
      <w:bookmarkEnd w:id="58"/>
      <w:r w:rsidR="000670EA">
        <w:t>2</w:t>
      </w:r>
      <w:r w:rsidRPr="00FC6E2C">
        <w:t xml:space="preserve"> Proposed updates to NICE methods guidance</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w:tblDescription w:val="Proposed updates to NICE methods guidance"/>
      </w:tblPr>
      <w:tblGrid>
        <w:gridCol w:w="4151"/>
        <w:gridCol w:w="4145"/>
      </w:tblGrid>
      <w:tr w:rsidR="00DF7B56" w:rsidRPr="00977E28" w14:paraId="36A8A476" w14:textId="77777777" w:rsidTr="00DF7B56">
        <w:tc>
          <w:tcPr>
            <w:tcW w:w="2502" w:type="pct"/>
            <w:tcBorders>
              <w:top w:val="single" w:sz="4" w:space="0" w:color="auto"/>
            </w:tcBorders>
          </w:tcPr>
          <w:p w14:paraId="208AAAD8" w14:textId="77777777" w:rsidR="00DF7B56" w:rsidRPr="00FC6E2C" w:rsidRDefault="00DF7B56" w:rsidP="00B8208D">
            <w:pPr>
              <w:pStyle w:val="Tableheading"/>
              <w:rPr>
                <w:rFonts w:eastAsia="Arial"/>
              </w:rPr>
            </w:pPr>
            <w:r w:rsidRPr="00FC6E2C">
              <w:rPr>
                <w:rFonts w:eastAsia="Arial"/>
              </w:rPr>
              <w:t>Current wording</w:t>
            </w:r>
          </w:p>
        </w:tc>
        <w:tc>
          <w:tcPr>
            <w:tcW w:w="2498" w:type="pct"/>
            <w:tcBorders>
              <w:top w:val="single" w:sz="4" w:space="0" w:color="auto"/>
            </w:tcBorders>
          </w:tcPr>
          <w:p w14:paraId="711B12AF" w14:textId="41B1EAAE" w:rsidR="00DF7B56" w:rsidRPr="00FC6E2C" w:rsidRDefault="00DF7B56" w:rsidP="00B8208D">
            <w:pPr>
              <w:pStyle w:val="Tableheading"/>
              <w:rPr>
                <w:rFonts w:eastAsia="Arial"/>
              </w:rPr>
            </w:pPr>
            <w:r>
              <w:rPr>
                <w:rFonts w:eastAsia="Arial"/>
              </w:rPr>
              <w:t xml:space="preserve">Recommendations </w:t>
            </w:r>
          </w:p>
        </w:tc>
      </w:tr>
      <w:tr w:rsidR="00DF7B56" w:rsidRPr="00977E28" w14:paraId="432C8973" w14:textId="77777777" w:rsidTr="00DF7B56">
        <w:tc>
          <w:tcPr>
            <w:tcW w:w="2502" w:type="pct"/>
          </w:tcPr>
          <w:p w14:paraId="7EBA0806" w14:textId="77777777" w:rsidR="00DF7B56" w:rsidRPr="00FC6E2C" w:rsidRDefault="00DF7B56" w:rsidP="00B8208D">
            <w:pPr>
              <w:pStyle w:val="Tabletext"/>
              <w:rPr>
                <w:rFonts w:eastAsia="Arial"/>
              </w:rPr>
            </w:pPr>
            <w:r w:rsidRPr="00FC6E2C">
              <w:rPr>
                <w:rFonts w:eastAsia="Arial"/>
              </w:rPr>
              <w:t>4.4.2 Estimates of resource use should include the comparative costs or saving of the technologies and changes in infrastructure, use and maintenance. If appropriate, staff training costs should be included.</w:t>
            </w:r>
          </w:p>
        </w:tc>
        <w:tc>
          <w:tcPr>
            <w:tcW w:w="2498" w:type="pct"/>
          </w:tcPr>
          <w:p w14:paraId="3B6805E5" w14:textId="73573D53" w:rsidR="00DF7B56" w:rsidRDefault="00DF7B56" w:rsidP="00B8208D">
            <w:pPr>
              <w:pStyle w:val="Tabletext"/>
              <w:rPr>
                <w:rFonts w:eastAsia="Arial"/>
              </w:rPr>
            </w:pPr>
            <w:r w:rsidRPr="00FC6E2C">
              <w:rPr>
                <w:rFonts w:eastAsia="Arial"/>
              </w:rPr>
              <w:t xml:space="preserve">Include link to this HTA Lab report </w:t>
            </w:r>
            <w:r w:rsidR="000441C7">
              <w:rPr>
                <w:rFonts w:eastAsia="Arial"/>
              </w:rPr>
              <w:t>for</w:t>
            </w:r>
            <w:r w:rsidRPr="00FC6E2C">
              <w:rPr>
                <w:rFonts w:eastAsia="Arial"/>
              </w:rPr>
              <w:t xml:space="preserve"> more detail on the taxonomy and recommendations for including implementation costs in economic evaluation.</w:t>
            </w:r>
          </w:p>
          <w:p w14:paraId="04943D73" w14:textId="0053818D" w:rsidR="00DF7B56" w:rsidRPr="00B8208D" w:rsidRDefault="00DF7B56" w:rsidP="006B022A">
            <w:pPr>
              <w:pStyle w:val="Tabletext"/>
              <w:rPr>
                <w:rFonts w:eastAsia="Arial"/>
              </w:rPr>
            </w:pPr>
            <w:r>
              <w:rPr>
                <w:rFonts w:eastAsia="Arial"/>
              </w:rPr>
              <w:t>Include text to recommend th</w:t>
            </w:r>
            <w:r w:rsidR="000441C7">
              <w:rPr>
                <w:rFonts w:eastAsia="Arial"/>
              </w:rPr>
              <w:t>at</w:t>
            </w:r>
            <w:r w:rsidRPr="00B8208D">
              <w:rPr>
                <w:rFonts w:eastAsia="Arial"/>
              </w:rPr>
              <w:t xml:space="preserve"> one-off and </w:t>
            </w:r>
            <w:r w:rsidR="000441C7">
              <w:rPr>
                <w:rFonts w:eastAsia="Arial"/>
              </w:rPr>
              <w:t xml:space="preserve">continuous </w:t>
            </w:r>
            <w:r w:rsidRPr="00B8208D">
              <w:rPr>
                <w:rFonts w:eastAsia="Arial"/>
              </w:rPr>
              <w:t>service delivery costs of implementing the technology are. The relevance of the following service delivery cost categories should be evaluated:</w:t>
            </w:r>
          </w:p>
          <w:p w14:paraId="46060D8A" w14:textId="77777777" w:rsidR="00DF7B56" w:rsidRPr="00B8208D" w:rsidRDefault="00DF7B56" w:rsidP="006B022A">
            <w:pPr>
              <w:pStyle w:val="Tablebullet"/>
              <w:rPr>
                <w:rFonts w:eastAsia="Arial"/>
              </w:rPr>
            </w:pPr>
            <w:r w:rsidRPr="00B8208D">
              <w:rPr>
                <w:rFonts w:eastAsia="Arial"/>
              </w:rPr>
              <w:t xml:space="preserve">personnel-related costs </w:t>
            </w:r>
          </w:p>
          <w:p w14:paraId="71424826" w14:textId="77777777" w:rsidR="00DF7B56" w:rsidRPr="00B8208D" w:rsidRDefault="00DF7B56" w:rsidP="006B022A">
            <w:pPr>
              <w:pStyle w:val="Tablebullet"/>
              <w:rPr>
                <w:rFonts w:eastAsia="Arial"/>
              </w:rPr>
            </w:pPr>
            <w:r w:rsidRPr="00B8208D">
              <w:rPr>
                <w:rFonts w:eastAsia="Arial"/>
              </w:rPr>
              <w:t>digital infrastructure</w:t>
            </w:r>
          </w:p>
          <w:p w14:paraId="16D6CBC6" w14:textId="77777777" w:rsidR="00DF7B56" w:rsidRPr="00B8208D" w:rsidRDefault="00DF7B56" w:rsidP="006B022A">
            <w:pPr>
              <w:pStyle w:val="Tablebullet"/>
              <w:rPr>
                <w:rFonts w:eastAsia="Arial"/>
              </w:rPr>
            </w:pPr>
            <w:r w:rsidRPr="00B8208D">
              <w:rPr>
                <w:rFonts w:eastAsia="Arial"/>
              </w:rPr>
              <w:t>site or service certification</w:t>
            </w:r>
          </w:p>
          <w:p w14:paraId="4954290C" w14:textId="77777777" w:rsidR="00DF7B56" w:rsidRPr="00B8208D" w:rsidRDefault="00DF7B56" w:rsidP="006B022A">
            <w:pPr>
              <w:pStyle w:val="Tablebullet"/>
              <w:rPr>
                <w:rFonts w:eastAsia="Arial"/>
              </w:rPr>
            </w:pPr>
            <w:r w:rsidRPr="00B8208D">
              <w:rPr>
                <w:rFonts w:eastAsia="Arial"/>
              </w:rPr>
              <w:t xml:space="preserve">non-personnel operating costs </w:t>
            </w:r>
          </w:p>
          <w:p w14:paraId="3CB77B17" w14:textId="77777777" w:rsidR="00DF7B56" w:rsidRPr="00B8208D" w:rsidRDefault="00DF7B56" w:rsidP="006B022A">
            <w:pPr>
              <w:pStyle w:val="Tablebullet"/>
              <w:rPr>
                <w:rFonts w:eastAsia="Arial"/>
              </w:rPr>
            </w:pPr>
            <w:r w:rsidRPr="00B8208D">
              <w:rPr>
                <w:rFonts w:eastAsia="Arial"/>
              </w:rPr>
              <w:t xml:space="preserve">supply chain costs </w:t>
            </w:r>
          </w:p>
          <w:p w14:paraId="65F9F101" w14:textId="77777777" w:rsidR="00DF7B56" w:rsidRDefault="00DF7B56" w:rsidP="006B022A">
            <w:pPr>
              <w:pStyle w:val="Tabletext"/>
              <w:rPr>
                <w:rFonts w:eastAsia="Arial"/>
              </w:rPr>
            </w:pPr>
          </w:p>
          <w:p w14:paraId="287C3EBC" w14:textId="086C32C4" w:rsidR="00DF7B56" w:rsidRPr="00FC6E2C" w:rsidRDefault="000441C7" w:rsidP="009A62A2">
            <w:pPr>
              <w:pStyle w:val="Tabletext"/>
              <w:rPr>
                <w:rFonts w:eastAsia="Arial"/>
              </w:rPr>
            </w:pPr>
            <w:r>
              <w:rPr>
                <w:rFonts w:eastAsia="Arial"/>
              </w:rPr>
              <w:t xml:space="preserve">Include </w:t>
            </w:r>
            <w:r w:rsidR="00DF7B56">
              <w:rPr>
                <w:rFonts w:eastAsia="Arial"/>
              </w:rPr>
              <w:t>guidance to reflect that</w:t>
            </w:r>
            <w:r w:rsidR="00DF7B56" w:rsidRPr="00FC6E2C">
              <w:rPr>
                <w:rFonts w:eastAsia="Arial"/>
              </w:rPr>
              <w:t>:</w:t>
            </w:r>
            <w:r w:rsidR="00DF7B56">
              <w:rPr>
                <w:rFonts w:eastAsia="Arial"/>
              </w:rPr>
              <w:t xml:space="preserve"> t</w:t>
            </w:r>
            <w:r w:rsidR="00DF7B56" w:rsidRPr="00FC6E2C">
              <w:rPr>
                <w:rFonts w:eastAsia="Arial"/>
              </w:rPr>
              <w:t>he cost of services that should be routinely available within the NHS</w:t>
            </w:r>
            <w:r w:rsidR="00DF7B56">
              <w:rPr>
                <w:rFonts w:eastAsia="Arial"/>
              </w:rPr>
              <w:t xml:space="preserve"> as part of current standard care, with or without the health technology being evaluated</w:t>
            </w:r>
            <w:r w:rsidR="00DF7B56" w:rsidRPr="00FC6E2C">
              <w:rPr>
                <w:rFonts w:eastAsia="Arial"/>
              </w:rPr>
              <w:t>, should not be included in the economic evaluation as an implementation cost:</w:t>
            </w:r>
          </w:p>
          <w:p w14:paraId="417F6C11" w14:textId="77777777" w:rsidR="00DF7B56" w:rsidRPr="00FC6E2C" w:rsidRDefault="00DF7B56" w:rsidP="00B8208D">
            <w:pPr>
              <w:pStyle w:val="Tablebullet"/>
              <w:rPr>
                <w:rFonts w:eastAsia="Arial"/>
              </w:rPr>
            </w:pPr>
            <w:r w:rsidRPr="00FC6E2C">
              <w:rPr>
                <w:rFonts w:eastAsia="Arial"/>
              </w:rPr>
              <w:t>if there is a funding mandate for a technology that needed that service to be available (for example, diagnostic equipment and trained personnel to assess eligibility and deliver a recommended treatment)</w:t>
            </w:r>
          </w:p>
          <w:p w14:paraId="5061A3BD" w14:textId="77777777" w:rsidR="00DF7B56" w:rsidRPr="00FC6E2C" w:rsidRDefault="00DF7B56" w:rsidP="00B8208D">
            <w:pPr>
              <w:pStyle w:val="Tablebullet"/>
              <w:rPr>
                <w:rFonts w:eastAsia="Arial"/>
              </w:rPr>
            </w:pPr>
            <w:r w:rsidRPr="00FC6E2C">
              <w:rPr>
                <w:rFonts w:eastAsia="Arial"/>
              </w:rPr>
              <w:t>if a service falls within an existing NHS commissioning policy</w:t>
            </w:r>
          </w:p>
          <w:p w14:paraId="33CFBA58" w14:textId="3DE3137E" w:rsidR="00DF7B56" w:rsidRPr="009A62A2" w:rsidRDefault="00DF7B56" w:rsidP="00DF7B56">
            <w:pPr>
              <w:pStyle w:val="Tablebullet"/>
              <w:rPr>
                <w:rFonts w:eastAsia="Arial"/>
              </w:rPr>
            </w:pPr>
            <w:r w:rsidRPr="00FC6E2C">
              <w:rPr>
                <w:rFonts w:eastAsia="Arial"/>
              </w:rPr>
              <w:t>if a service is part of planned service expansion in the NHS.’</w:t>
            </w:r>
          </w:p>
        </w:tc>
      </w:tr>
      <w:tr w:rsidR="00DF7B56" w:rsidRPr="00977E28" w14:paraId="5BE1AE4A" w14:textId="77777777" w:rsidTr="00DF7B56">
        <w:tc>
          <w:tcPr>
            <w:tcW w:w="2502" w:type="pct"/>
          </w:tcPr>
          <w:p w14:paraId="1EA1E58F" w14:textId="77777777" w:rsidR="00DF7B56" w:rsidRPr="00FC6E2C" w:rsidRDefault="00DF7B56" w:rsidP="00B8208D">
            <w:pPr>
              <w:pStyle w:val="Tabletext"/>
              <w:rPr>
                <w:rFonts w:eastAsia="Arial"/>
              </w:rPr>
            </w:pPr>
            <w:r w:rsidRPr="00FC6E2C">
              <w:rPr>
                <w:rFonts w:eastAsia="Arial"/>
              </w:rPr>
              <w:t>4.4.10 Data based on HRGs may not be appropriate in all circumstances. For example, when the new technology and the comparator both fall under the same HRG, or when the mean cost does not reflect resource use in relation to the new technology under evaluation. In such cases, other sources of evidence, such as micro-costing studies, may be more appropriate. In all cases, include all relevant costs such as the costs of the test, follow up, treatment, monitoring, staffing, facilities, training and any other modifications needed. When cost data is taken from literature, the methods used to identify sources of costs and resource use should be defined (preferably through systematic review). When multiple or alternative sources are available, the choice for the base case should be justified, the discrepancies between the sources should be explained and sensitivity analyses explored when appropriate implications for results of using alternative data sources.</w:t>
            </w:r>
          </w:p>
        </w:tc>
        <w:tc>
          <w:tcPr>
            <w:tcW w:w="2498" w:type="pct"/>
          </w:tcPr>
          <w:p w14:paraId="2055F1AE" w14:textId="61DA20DD" w:rsidR="00DF7B56" w:rsidRDefault="00DF7B56" w:rsidP="00B8208D">
            <w:pPr>
              <w:pStyle w:val="Tabletext"/>
              <w:rPr>
                <w:rFonts w:eastAsia="Arial"/>
              </w:rPr>
            </w:pPr>
            <w:r>
              <w:rPr>
                <w:rFonts w:eastAsia="Arial"/>
              </w:rPr>
              <w:t xml:space="preserve">Further guidance should be added on how </w:t>
            </w:r>
            <w:proofErr w:type="spellStart"/>
            <w:r>
              <w:rPr>
                <w:rFonts w:eastAsia="Arial"/>
              </w:rPr>
              <w:t>microcosting</w:t>
            </w:r>
            <w:proofErr w:type="spellEnd"/>
            <w:r>
              <w:rPr>
                <w:rFonts w:eastAsia="Arial"/>
              </w:rPr>
              <w:t xml:space="preserve"> should be done, including estimating a per-patient treated cost for one-off service delivery costs. This includes </w:t>
            </w:r>
            <w:r w:rsidRPr="00442BE1">
              <w:rPr>
                <w:rFonts w:eastAsia="Arial"/>
              </w:rPr>
              <w:t xml:space="preserve">preferred sources for cost data </w:t>
            </w:r>
            <w:r>
              <w:rPr>
                <w:rFonts w:eastAsia="Arial"/>
              </w:rPr>
              <w:t>and h</w:t>
            </w:r>
            <w:r w:rsidRPr="00442BE1">
              <w:rPr>
                <w:rFonts w:eastAsia="Arial"/>
              </w:rPr>
              <w:t xml:space="preserve">ow to </w:t>
            </w:r>
            <w:r>
              <w:rPr>
                <w:rFonts w:eastAsia="Arial"/>
              </w:rPr>
              <w:t>show that</w:t>
            </w:r>
            <w:r w:rsidRPr="00442BE1">
              <w:rPr>
                <w:rFonts w:eastAsia="Arial"/>
              </w:rPr>
              <w:t xml:space="preserve"> all relevant costs have been considered in the </w:t>
            </w:r>
            <w:proofErr w:type="spellStart"/>
            <w:r w:rsidRPr="00442BE1">
              <w:rPr>
                <w:rFonts w:eastAsia="Arial"/>
              </w:rPr>
              <w:t>microcosting</w:t>
            </w:r>
            <w:proofErr w:type="spellEnd"/>
            <w:r w:rsidRPr="00442BE1">
              <w:rPr>
                <w:rFonts w:eastAsia="Arial"/>
              </w:rPr>
              <w:t xml:space="preserve"> exercise</w:t>
            </w:r>
            <w:r>
              <w:rPr>
                <w:rFonts w:eastAsia="Arial"/>
              </w:rPr>
              <w:t xml:space="preserve">. </w:t>
            </w:r>
          </w:p>
          <w:p w14:paraId="775A3CF6" w14:textId="034B1CB0" w:rsidR="00DF7B56" w:rsidRPr="00FC6E2C" w:rsidRDefault="00DF7B56" w:rsidP="00B8208D">
            <w:pPr>
              <w:pStyle w:val="Tabletext"/>
              <w:rPr>
                <w:rFonts w:eastAsia="Arial"/>
              </w:rPr>
            </w:pPr>
            <w:r>
              <w:rPr>
                <w:rFonts w:eastAsia="Arial"/>
              </w:rPr>
              <w:t>This should be based on additional methodological work done as recommended in the section 7 of the main report.</w:t>
            </w:r>
          </w:p>
        </w:tc>
      </w:tr>
      <w:tr w:rsidR="00DF7B56" w:rsidRPr="00977E28" w14:paraId="7ABD6ED1" w14:textId="77777777" w:rsidTr="00DF7B56">
        <w:tc>
          <w:tcPr>
            <w:tcW w:w="2502" w:type="pct"/>
          </w:tcPr>
          <w:p w14:paraId="7BE82FB6" w14:textId="77777777" w:rsidR="00DF7B56" w:rsidRPr="00FC6E2C" w:rsidRDefault="00DF7B56" w:rsidP="00B8208D">
            <w:pPr>
              <w:pStyle w:val="Tabletext"/>
              <w:rPr>
                <w:rFonts w:eastAsia="Arial"/>
              </w:rPr>
            </w:pPr>
            <w:r w:rsidRPr="00FC6E2C">
              <w:rPr>
                <w:rFonts w:eastAsia="Arial"/>
              </w:rPr>
              <w:t>4.4.15 The committee should consider the specific circumstances and context of the evaluation. It should consider alongside the reference-case analysis a non-reference-case analysis in which a particular cost is apportioned or adjusted when:</w:t>
            </w:r>
          </w:p>
          <w:p w14:paraId="157B495D" w14:textId="77777777" w:rsidR="00DF7B56" w:rsidRPr="00FC6E2C" w:rsidRDefault="00DF7B56" w:rsidP="00B8208D">
            <w:pPr>
              <w:pStyle w:val="Tabletext"/>
              <w:rPr>
                <w:rFonts w:eastAsia="Arial"/>
              </w:rPr>
            </w:pPr>
            <w:r w:rsidRPr="00FC6E2C">
              <w:rPr>
                <w:rFonts w:eastAsia="Arial"/>
              </w:rPr>
              <w:t>there is an established plan to change practice or service delivery in the NHS</w:t>
            </w:r>
          </w:p>
          <w:p w14:paraId="35BA2C28" w14:textId="77777777" w:rsidR="00DF7B56" w:rsidRPr="00FC6E2C" w:rsidRDefault="00DF7B56" w:rsidP="00B8208D">
            <w:pPr>
              <w:pStyle w:val="Tabletext"/>
              <w:rPr>
                <w:rFonts w:eastAsia="Arial"/>
              </w:rPr>
            </w:pPr>
            <w:r w:rsidRPr="00FC6E2C">
              <w:rPr>
                <w:rFonts w:eastAsia="Arial"/>
              </w:rPr>
              <w:t>there is a formal arrangement with relevant stakeholders that the full costs should not be attributed to the new technology</w:t>
            </w:r>
          </w:p>
          <w:p w14:paraId="423CDD49" w14:textId="77777777" w:rsidR="00DF7B56" w:rsidRPr="00FC6E2C" w:rsidRDefault="00DF7B56" w:rsidP="00B8208D">
            <w:pPr>
              <w:pStyle w:val="Tabletext"/>
              <w:rPr>
                <w:rFonts w:eastAsia="Arial"/>
              </w:rPr>
            </w:pPr>
            <w:r w:rsidRPr="00FC6E2C">
              <w:rPr>
                <w:rFonts w:eastAsia="Arial"/>
              </w:rPr>
              <w:t>the technology has multiple uses beyond the indication under evaluation</w:t>
            </w:r>
          </w:p>
          <w:p w14:paraId="340222CB" w14:textId="77777777" w:rsidR="00DF7B56" w:rsidRPr="00FC6E2C" w:rsidRDefault="00DF7B56" w:rsidP="00B8208D">
            <w:pPr>
              <w:pStyle w:val="Tabletext"/>
              <w:rPr>
                <w:rFonts w:eastAsia="Arial"/>
              </w:rPr>
            </w:pPr>
            <w:r w:rsidRPr="00FC6E2C">
              <w:rPr>
                <w:rFonts w:eastAsia="Arial"/>
              </w:rPr>
              <w:t>introducing the new technology will lead to identifiable benefits that are not captured in health technology evaluations.</w:t>
            </w:r>
          </w:p>
        </w:tc>
        <w:tc>
          <w:tcPr>
            <w:tcW w:w="2498" w:type="pct"/>
          </w:tcPr>
          <w:p w14:paraId="6594062A" w14:textId="49CC786F" w:rsidR="00DF7B56" w:rsidRPr="00FC6E2C" w:rsidRDefault="00DF7B56" w:rsidP="00B8208D">
            <w:pPr>
              <w:pStyle w:val="Tabletext"/>
              <w:rPr>
                <w:rFonts w:eastAsia="Arial"/>
              </w:rPr>
            </w:pPr>
            <w:r>
              <w:rPr>
                <w:rFonts w:eastAsia="Arial"/>
              </w:rPr>
              <w:t xml:space="preserve">Further guidance on how apportionment should be applied in this non-reference case analysis should be added. This should be based on additional methodological work done as recommended in the section 7 of the main report. </w:t>
            </w:r>
          </w:p>
        </w:tc>
      </w:tr>
      <w:tr w:rsidR="00DF7B56" w:rsidRPr="00977E28" w14:paraId="3DB0918C" w14:textId="77777777" w:rsidTr="00DF7B56">
        <w:tc>
          <w:tcPr>
            <w:tcW w:w="2502" w:type="pct"/>
          </w:tcPr>
          <w:p w14:paraId="505147E7" w14:textId="77777777" w:rsidR="00DF7B56" w:rsidRPr="00FC6E2C" w:rsidRDefault="00DF7B56" w:rsidP="00B8208D">
            <w:pPr>
              <w:pStyle w:val="Tabletext"/>
              <w:rPr>
                <w:rFonts w:eastAsia="Arial"/>
              </w:rPr>
            </w:pPr>
            <w:r w:rsidRPr="00FC6E2C">
              <w:rPr>
                <w:rFonts w:eastAsia="Arial"/>
              </w:rPr>
              <w:t>4.11.4 Implementation of a new technology will have direct implications for the provision of units of the evaluated and comparator technologies (for example, doses of drugs or theatre hours) by the NHS. Also, the technology may have a knock-on effect (increase or decrease) on other NHS and PSS resources, including alternative or avoided treatment and resources needed to support using the new technology. These might include:</w:t>
            </w:r>
          </w:p>
          <w:p w14:paraId="59404C0C" w14:textId="77777777" w:rsidR="00DF7B56" w:rsidRPr="00FC6E2C" w:rsidRDefault="00DF7B56" w:rsidP="00B8208D">
            <w:pPr>
              <w:pStyle w:val="Tabletext"/>
              <w:rPr>
                <w:rFonts w:eastAsia="Arial"/>
              </w:rPr>
            </w:pPr>
            <w:r w:rsidRPr="00FC6E2C">
              <w:rPr>
                <w:rFonts w:eastAsia="Arial"/>
              </w:rPr>
              <w:t>staff numbers and hours</w:t>
            </w:r>
          </w:p>
          <w:p w14:paraId="12B24E1D" w14:textId="77777777" w:rsidR="00DF7B56" w:rsidRPr="00FC6E2C" w:rsidRDefault="00DF7B56" w:rsidP="00B8208D">
            <w:pPr>
              <w:pStyle w:val="Tabletext"/>
              <w:rPr>
                <w:rFonts w:eastAsia="Arial"/>
              </w:rPr>
            </w:pPr>
            <w:r w:rsidRPr="00FC6E2C">
              <w:rPr>
                <w:rFonts w:eastAsia="Arial"/>
              </w:rPr>
              <w:t>training and education</w:t>
            </w:r>
          </w:p>
          <w:p w14:paraId="5D6B7BA3" w14:textId="77777777" w:rsidR="00DF7B56" w:rsidRPr="00FC6E2C" w:rsidRDefault="00DF7B56" w:rsidP="00B8208D">
            <w:pPr>
              <w:pStyle w:val="Tabletext"/>
              <w:rPr>
                <w:rFonts w:eastAsia="Arial"/>
              </w:rPr>
            </w:pPr>
            <w:r w:rsidRPr="00FC6E2C">
              <w:rPr>
                <w:rFonts w:eastAsia="Arial"/>
              </w:rPr>
              <w:t>support services (for example, laboratory tests)</w:t>
            </w:r>
          </w:p>
          <w:p w14:paraId="7F72F287" w14:textId="77777777" w:rsidR="00DF7B56" w:rsidRPr="00FC6E2C" w:rsidRDefault="00DF7B56" w:rsidP="00B8208D">
            <w:pPr>
              <w:pStyle w:val="Tabletext"/>
              <w:rPr>
                <w:rFonts w:eastAsia="Arial"/>
              </w:rPr>
            </w:pPr>
            <w:r w:rsidRPr="00FC6E2C">
              <w:rPr>
                <w:rFonts w:eastAsia="Arial"/>
              </w:rPr>
              <w:t>service capacity or facilities (for example, hospital beds, clinic sessions, diagnostic services and residential home places).</w:t>
            </w:r>
          </w:p>
        </w:tc>
        <w:tc>
          <w:tcPr>
            <w:tcW w:w="2498" w:type="pct"/>
          </w:tcPr>
          <w:p w14:paraId="7E312049" w14:textId="5EAA79C8" w:rsidR="00DF7B56" w:rsidRPr="00FC6E2C" w:rsidRDefault="00DF7B56" w:rsidP="00B8208D">
            <w:pPr>
              <w:pStyle w:val="Tabletext"/>
              <w:rPr>
                <w:rFonts w:eastAsia="Arial"/>
              </w:rPr>
            </w:pPr>
            <w:r w:rsidRPr="00FC6E2C">
              <w:rPr>
                <w:rFonts w:eastAsia="Arial"/>
              </w:rPr>
              <w:t xml:space="preserve">Ensure that listed cost categories are aligned </w:t>
            </w:r>
            <w:r>
              <w:rPr>
                <w:rFonts w:eastAsia="Arial"/>
              </w:rPr>
              <w:t>across guidance for economic evaluations and resource impact assessment</w:t>
            </w:r>
            <w:r w:rsidR="000441C7">
              <w:rPr>
                <w:rFonts w:eastAsia="Arial"/>
              </w:rPr>
              <w:t>.</w:t>
            </w:r>
          </w:p>
        </w:tc>
      </w:tr>
      <w:tr w:rsidR="00DF7B56" w:rsidRPr="00977E28" w14:paraId="22D6C646" w14:textId="77777777" w:rsidTr="00DF7B56">
        <w:tc>
          <w:tcPr>
            <w:tcW w:w="2502" w:type="pct"/>
          </w:tcPr>
          <w:p w14:paraId="2D5F3129" w14:textId="77777777" w:rsidR="00DF7B56" w:rsidRDefault="00DF7B56" w:rsidP="00B8208D">
            <w:pPr>
              <w:pStyle w:val="Tabletext"/>
              <w:rPr>
                <w:rFonts w:eastAsia="Arial"/>
              </w:rPr>
            </w:pPr>
            <w:r w:rsidRPr="00FC6E2C">
              <w:rPr>
                <w:rFonts w:eastAsia="Arial"/>
              </w:rPr>
              <w:t>4.11.6 Provide estimates of net NHS (and PSS, when appropriate) costs of the expected resource impact to allow effective national and local financial planning. The costs should be disaggregated by appropriate generic organisational (for example, NHS, personal and social services, hospital or primary care) and budgetary categories (for example, drugs, staffing, consumables or capital). When possible, this should be to the same level and detail as that adopted in resource unit information. If savings are anticipated, specify the extent to which these finances can be realised. Supplied costs should also specify whether VAT is included. The cost information should reflect as closely as possible the prices that are paid in the NHS, and should be based on published cost analyses, recognised publicly available databases, price lists, or when appropriate, confidential or known price reductions.</w:t>
            </w:r>
          </w:p>
          <w:p w14:paraId="39CC799B" w14:textId="77777777" w:rsidR="00DF7B56" w:rsidRPr="00FC6E2C" w:rsidRDefault="00DF7B56" w:rsidP="00B8208D">
            <w:pPr>
              <w:pStyle w:val="Tabletext"/>
              <w:rPr>
                <w:rFonts w:eastAsia="Arial"/>
              </w:rPr>
            </w:pPr>
          </w:p>
        </w:tc>
        <w:tc>
          <w:tcPr>
            <w:tcW w:w="2498" w:type="pct"/>
          </w:tcPr>
          <w:p w14:paraId="70FFDD39" w14:textId="03E771AA" w:rsidR="00DF7B56" w:rsidRPr="00050B47" w:rsidRDefault="00DF7B56" w:rsidP="00B8208D">
            <w:pPr>
              <w:pStyle w:val="Tabletext"/>
              <w:rPr>
                <w:rFonts w:eastAsia="Arial" w:cs="Arial"/>
                <w:szCs w:val="22"/>
              </w:rPr>
            </w:pPr>
            <w:r w:rsidRPr="00FC6E2C">
              <w:rPr>
                <w:rFonts w:eastAsia="Arial"/>
              </w:rPr>
              <w:t xml:space="preserve">Ensure that listed </w:t>
            </w:r>
            <w:r>
              <w:rPr>
                <w:rFonts w:eastAsia="Arial"/>
              </w:rPr>
              <w:t xml:space="preserve">budgetary </w:t>
            </w:r>
            <w:r w:rsidRPr="00FC6E2C">
              <w:rPr>
                <w:rFonts w:eastAsia="Arial"/>
              </w:rPr>
              <w:t xml:space="preserve">categories are aligned </w:t>
            </w:r>
            <w:r>
              <w:rPr>
                <w:rFonts w:eastAsia="Arial"/>
              </w:rPr>
              <w:t>across guidance for economic evaluations and resource impact assessment</w:t>
            </w:r>
            <w:r w:rsidR="000441C7">
              <w:rPr>
                <w:rFonts w:eastAsia="Arial"/>
              </w:rPr>
              <w:t>.</w:t>
            </w:r>
          </w:p>
        </w:tc>
      </w:tr>
      <w:tr w:rsidR="00DF7B56" w:rsidRPr="00EF2E6C" w14:paraId="75F7EFAD" w14:textId="77777777" w:rsidTr="00DF7B56">
        <w:tc>
          <w:tcPr>
            <w:tcW w:w="2502" w:type="pct"/>
          </w:tcPr>
          <w:p w14:paraId="2128861C" w14:textId="77777777" w:rsidR="00DF7B56" w:rsidRPr="00FC6E2C" w:rsidRDefault="00DF7B56" w:rsidP="00B8208D">
            <w:pPr>
              <w:pStyle w:val="Tabletext"/>
              <w:rPr>
                <w:rFonts w:eastAsia="Arial"/>
              </w:rPr>
            </w:pPr>
            <w:r w:rsidRPr="00FC6E2C">
              <w:rPr>
                <w:rFonts w:eastAsia="Arial"/>
              </w:rPr>
              <w:t>6.1.13 The committee may consider factors that may provide benefits to the NHS or the population, such as patient convenience. It may also consider costs and other positive or negative impacts on the NHS that may not be captured in the cost analysis, such as improved processes.</w:t>
            </w:r>
          </w:p>
        </w:tc>
        <w:tc>
          <w:tcPr>
            <w:tcW w:w="2498" w:type="pct"/>
          </w:tcPr>
          <w:p w14:paraId="646446AB" w14:textId="61002C25" w:rsidR="00DF7B56" w:rsidRPr="000A1C14" w:rsidRDefault="00DF7B56" w:rsidP="00B8208D">
            <w:pPr>
              <w:pStyle w:val="Tabletext"/>
              <w:rPr>
                <w:rFonts w:eastAsia="Arial"/>
              </w:rPr>
            </w:pPr>
            <w:r w:rsidRPr="000A1C14">
              <w:rPr>
                <w:rFonts w:eastAsia="Arial"/>
              </w:rPr>
              <w:t>Further detail on how these benefits should be captured should be added</w:t>
            </w:r>
            <w:r>
              <w:rPr>
                <w:rFonts w:eastAsia="Arial"/>
              </w:rPr>
              <w:t>,</w:t>
            </w:r>
            <w:r w:rsidRPr="000A1C14">
              <w:rPr>
                <w:rFonts w:eastAsia="Arial"/>
              </w:rPr>
              <w:t xml:space="preserve"> including types of spillover effects that are appropriate to include</w:t>
            </w:r>
            <w:r>
              <w:rPr>
                <w:rFonts w:eastAsia="Arial"/>
              </w:rPr>
              <w:t xml:space="preserve"> and how they apply to the comparator arm. </w:t>
            </w:r>
            <w:r w:rsidRPr="000A1C14">
              <w:rPr>
                <w:rFonts w:eastAsia="Arial"/>
              </w:rPr>
              <w:t xml:space="preserve">This should be based on additional methodological work </w:t>
            </w:r>
            <w:r>
              <w:rPr>
                <w:rFonts w:eastAsia="Arial"/>
              </w:rPr>
              <w:t>done</w:t>
            </w:r>
            <w:r w:rsidRPr="000A1C14">
              <w:rPr>
                <w:rFonts w:eastAsia="Arial"/>
              </w:rPr>
              <w:t xml:space="preserve"> as recommended in the section 7 of the main report</w:t>
            </w:r>
            <w:r w:rsidR="000441C7">
              <w:rPr>
                <w:rFonts w:eastAsia="Arial"/>
              </w:rPr>
              <w:t>.</w:t>
            </w:r>
          </w:p>
        </w:tc>
      </w:tr>
    </w:tbl>
    <w:p w14:paraId="66F6FAE8" w14:textId="2DBE21A7" w:rsidR="00077AD4" w:rsidRDefault="00077AD4" w:rsidP="00F01F44">
      <w:pPr>
        <w:pStyle w:val="Numberedheading1"/>
        <w:ind w:left="720" w:hanging="720"/>
      </w:pPr>
      <w:bookmarkStart w:id="59" w:name="_Toc226546567"/>
      <w:r>
        <w:t>Conclusions</w:t>
      </w:r>
      <w:bookmarkEnd w:id="59"/>
    </w:p>
    <w:p w14:paraId="5CB3702C" w14:textId="06ACF8A4" w:rsidR="00EC49CE" w:rsidRDefault="00DA342B" w:rsidP="00B8208D">
      <w:pPr>
        <w:pStyle w:val="Paragraph"/>
      </w:pPr>
      <w:hyperlink r:id="rId18" w:tgtFrame="_blank" w:history="1">
        <w:r w:rsidRPr="00316044">
          <w:rPr>
            <w:rStyle w:val="Hyperlink"/>
          </w:rPr>
          <w:t>NICE</w:t>
        </w:r>
        <w:r>
          <w:rPr>
            <w:rStyle w:val="Hyperlink"/>
          </w:rPr>
          <w:t>’s manual on</w:t>
        </w:r>
        <w:r w:rsidRPr="00316044">
          <w:rPr>
            <w:rStyle w:val="Hyperlink"/>
          </w:rPr>
          <w:t xml:space="preserve"> technology appraisal and highly specialised technologies guidance</w:t>
        </w:r>
      </w:hyperlink>
      <w:r>
        <w:t xml:space="preserve"> includes high-level guidance on how to incorporate implementation costs</w:t>
      </w:r>
      <w:r w:rsidR="00040F6B">
        <w:t xml:space="preserve"> </w:t>
      </w:r>
      <w:r>
        <w:t>in economic evaluations</w:t>
      </w:r>
      <w:r w:rsidR="000E001A">
        <w:t>.</w:t>
      </w:r>
      <w:r w:rsidR="00CE305F">
        <w:t xml:space="preserve"> </w:t>
      </w:r>
      <w:r>
        <w:t>But</w:t>
      </w:r>
      <w:r w:rsidR="299642DC">
        <w:t xml:space="preserve"> </w:t>
      </w:r>
      <w:r w:rsidR="000E001A">
        <w:t>t</w:t>
      </w:r>
      <w:r w:rsidR="00A417EC">
        <w:t>here is scope for</w:t>
      </w:r>
      <w:r w:rsidR="00EC49CE">
        <w:t>:</w:t>
      </w:r>
    </w:p>
    <w:p w14:paraId="57143460" w14:textId="7C1D5C78" w:rsidR="00EC49CE" w:rsidRDefault="00A417EC" w:rsidP="00F14220">
      <w:pPr>
        <w:pStyle w:val="Bulletleft1"/>
      </w:pPr>
      <w:r>
        <w:t xml:space="preserve">additional detail on </w:t>
      </w:r>
      <w:r w:rsidR="00094471">
        <w:t>categori</w:t>
      </w:r>
      <w:r>
        <w:t>es</w:t>
      </w:r>
      <w:r w:rsidR="00CE305F">
        <w:t xml:space="preserve"> of implementation costs</w:t>
      </w:r>
    </w:p>
    <w:p w14:paraId="7AA04812" w14:textId="343C6EE6" w:rsidR="00EC49CE" w:rsidRDefault="00C442FA" w:rsidP="00F14220">
      <w:pPr>
        <w:pStyle w:val="Bulletleft1"/>
      </w:pPr>
      <w:r>
        <w:t xml:space="preserve">additional guidance </w:t>
      </w:r>
      <w:r w:rsidR="000C23E3">
        <w:t>on how to apportion or adjust implementation costs</w:t>
      </w:r>
    </w:p>
    <w:p w14:paraId="6A14A030" w14:textId="7FB604A1" w:rsidR="00EC49CE" w:rsidRDefault="00EC0461" w:rsidP="00F14220">
      <w:pPr>
        <w:pStyle w:val="Bulletleft1"/>
      </w:pPr>
      <w:r>
        <w:t xml:space="preserve">additional guidance on how to undertake </w:t>
      </w:r>
      <w:r w:rsidR="00DD3E7A">
        <w:t xml:space="preserve">micro-costing </w:t>
      </w:r>
      <w:r w:rsidR="00EB3BF3">
        <w:t xml:space="preserve">  </w:t>
      </w:r>
    </w:p>
    <w:p w14:paraId="79D13BCB" w14:textId="53670E19" w:rsidR="00EC49CE" w:rsidRDefault="00565C9A" w:rsidP="00F14220">
      <w:pPr>
        <w:pStyle w:val="Bulletleft1last"/>
      </w:pPr>
      <w:r>
        <w:t xml:space="preserve">guidance </w:t>
      </w:r>
      <w:r w:rsidR="00DD3E7A">
        <w:t xml:space="preserve">for capturing the spillover effects of </w:t>
      </w:r>
      <w:r>
        <w:t>implementi</w:t>
      </w:r>
      <w:r w:rsidR="00676BF8">
        <w:t xml:space="preserve">ng </w:t>
      </w:r>
      <w:r>
        <w:t>specific technologies on different services.</w:t>
      </w:r>
    </w:p>
    <w:p w14:paraId="6F8663FC" w14:textId="0E5D508F" w:rsidR="00CD235B" w:rsidRDefault="00040F6B" w:rsidP="00CD235B">
      <w:pPr>
        <w:pStyle w:val="Paragraph"/>
      </w:pPr>
      <w:r>
        <w:t>Also</w:t>
      </w:r>
      <w:r w:rsidR="00565C9A">
        <w:t>,</w:t>
      </w:r>
      <w:r w:rsidR="00E71B87">
        <w:t xml:space="preserve"> to ensure consistency, </w:t>
      </w:r>
      <w:r w:rsidR="00D35357">
        <w:t>specific recommendations</w:t>
      </w:r>
      <w:r w:rsidR="00F56415">
        <w:t xml:space="preserve"> could be added</w:t>
      </w:r>
      <w:r w:rsidR="00D35357">
        <w:t xml:space="preserve"> to </w:t>
      </w:r>
      <w:r w:rsidR="00CD235B">
        <w:t xml:space="preserve">make sure there is </w:t>
      </w:r>
      <w:r w:rsidR="00D35357">
        <w:t xml:space="preserve">alignment </w:t>
      </w:r>
      <w:r w:rsidR="00AC33DB">
        <w:t xml:space="preserve">(if appropriate) </w:t>
      </w:r>
      <w:r w:rsidR="00D35357">
        <w:t>of implementation costs across resource</w:t>
      </w:r>
      <w:r w:rsidR="00EF284B">
        <w:t>-</w:t>
      </w:r>
      <w:r w:rsidR="00D35357">
        <w:t>impact and cost</w:t>
      </w:r>
      <w:r w:rsidR="00EF284B">
        <w:t>-</w:t>
      </w:r>
      <w:r w:rsidR="00D35357">
        <w:t>effectiveness calculations.</w:t>
      </w:r>
      <w:bookmarkStart w:id="60" w:name="_Toc226546568"/>
    </w:p>
    <w:p w14:paraId="54BED893" w14:textId="3FFD327B" w:rsidR="00AA7014" w:rsidRDefault="00AA7014" w:rsidP="00B8208D">
      <w:pPr>
        <w:pStyle w:val="Numberedheading1"/>
      </w:pPr>
      <w:r>
        <w:t>Project team</w:t>
      </w:r>
      <w:bookmarkEnd w:id="60"/>
    </w:p>
    <w:p w14:paraId="3696323A" w14:textId="575EB754" w:rsidR="002B4F3E" w:rsidRPr="007469CC" w:rsidRDefault="00AA7014" w:rsidP="00B8208D">
      <w:pPr>
        <w:pStyle w:val="Paragraph"/>
      </w:pPr>
      <w:r>
        <w:t>Fatima Salih</w:t>
      </w:r>
      <w:r w:rsidR="009F13B0">
        <w:t>, scientific adviser</w:t>
      </w:r>
      <w:r w:rsidR="00CA36FB">
        <w:br/>
      </w:r>
      <w:r>
        <w:t>Juan Yanguela</w:t>
      </w:r>
      <w:r w:rsidR="009F13B0">
        <w:t>, adviser</w:t>
      </w:r>
      <w:bookmarkEnd w:id="14"/>
    </w:p>
    <w:sectPr w:rsidR="002B4F3E" w:rsidRPr="007469CC" w:rsidSect="002B4F3E">
      <w:head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9063" w14:textId="77777777" w:rsidR="00B809AA" w:rsidRDefault="00B809AA" w:rsidP="00446BEE">
      <w:r>
        <w:separator/>
      </w:r>
    </w:p>
  </w:endnote>
  <w:endnote w:type="continuationSeparator" w:id="0">
    <w:p w14:paraId="33A6B71D" w14:textId="77777777" w:rsidR="00B809AA" w:rsidRDefault="00B809AA" w:rsidP="00446BEE">
      <w:r>
        <w:continuationSeparator/>
      </w:r>
    </w:p>
  </w:endnote>
  <w:endnote w:type="continuationNotice" w:id="1">
    <w:p w14:paraId="28C17951" w14:textId="77777777" w:rsidR="00B809AA" w:rsidRDefault="00B80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 w:name="Inter">
    <w:panose1 w:val="02000503000000020004"/>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A89F4" w14:textId="77777777" w:rsidR="00473FD7" w:rsidRDefault="00473FD7" w:rsidP="5DD8AEA6">
    <w:pPr>
      <w:tabs>
        <w:tab w:val="right" w:pos="8306"/>
      </w:tabs>
      <w:spacing w:after="240"/>
      <w:rPr>
        <w:rFonts w:ascii="Arial" w:hAnsi="Arial"/>
        <w:color w:val="000000"/>
        <w:sz w:val="18"/>
        <w:szCs w:val="18"/>
      </w:rPr>
    </w:pPr>
    <w:r w:rsidRPr="00E57AE6">
      <w:rPr>
        <w:rFonts w:ascii="Arial" w:hAnsi="Arial" w:cs="Arial"/>
      </w:rPr>
      <w:fldChar w:fldCharType="begin"/>
    </w:r>
    <w:r w:rsidRPr="00E57AE6">
      <w:rPr>
        <w:rFonts w:ascii="Arial" w:hAnsi="Arial" w:cs="Arial"/>
      </w:rPr>
      <w:instrText xml:space="preserve"> PAGE </w:instrText>
    </w:r>
    <w:r w:rsidRPr="00E57AE6">
      <w:rPr>
        <w:rFonts w:ascii="Arial" w:hAnsi="Arial" w:cs="Arial"/>
      </w:rPr>
      <w:fldChar w:fldCharType="separate"/>
    </w:r>
    <w:r>
      <w:rPr>
        <w:rFonts w:ascii="Arial" w:hAnsi="Arial" w:cs="Arial"/>
      </w:rPr>
      <w:t>3</w:t>
    </w:r>
    <w:r w:rsidRPr="00E57AE6">
      <w:rPr>
        <w:rFonts w:ascii="Arial" w:hAnsi="Arial" w:cs="Arial"/>
      </w:rPr>
      <w:fldChar w:fldCharType="end"/>
    </w:r>
    <w:r w:rsidRPr="00E57AE6">
      <w:rPr>
        <w:rFonts w:ascii="Arial" w:hAnsi="Arial" w:cs="Arial"/>
      </w:rPr>
      <w:t xml:space="preserve"> of </w:t>
    </w:r>
    <w:r w:rsidRPr="00E57AE6">
      <w:rPr>
        <w:rFonts w:ascii="Arial" w:hAnsi="Arial" w:cs="Arial"/>
      </w:rPr>
      <w:fldChar w:fldCharType="begin"/>
    </w:r>
    <w:r w:rsidRPr="00E57AE6">
      <w:rPr>
        <w:rFonts w:ascii="Arial" w:hAnsi="Arial" w:cs="Arial"/>
      </w:rPr>
      <w:instrText>NUMPAGES</w:instrText>
    </w:r>
    <w:r w:rsidRPr="00E57AE6">
      <w:rPr>
        <w:rFonts w:ascii="Arial" w:hAnsi="Arial" w:cs="Arial"/>
      </w:rPr>
      <w:fldChar w:fldCharType="separate"/>
    </w:r>
    <w:r>
      <w:rPr>
        <w:rFonts w:ascii="Arial" w:hAnsi="Arial" w:cs="Arial"/>
      </w:rPr>
      <w:t>4</w:t>
    </w:r>
    <w:r w:rsidRPr="00E57AE6">
      <w:rPr>
        <w:rFonts w:ascii="Arial" w:hAnsi="Arial" w:cs="Arial"/>
      </w:rPr>
      <w:fldChar w:fldCharType="end"/>
    </w:r>
  </w:p>
  <w:p w14:paraId="562B36AC" w14:textId="77777777" w:rsidR="00473FD7" w:rsidRPr="007400D7" w:rsidRDefault="00473FD7" w:rsidP="00E57AE6">
    <w:pPr>
      <w:tabs>
        <w:tab w:val="right" w:pos="8306"/>
      </w:tabs>
      <w:spacing w:after="240"/>
      <w:rPr>
        <w:rFonts w:ascii="Arial" w:hAnsi="Arial" w:cs="Arial"/>
        <w:color w:val="000000"/>
        <w:sz w:val="18"/>
        <w:szCs w:val="18"/>
      </w:rPr>
    </w:pPr>
    <w:r w:rsidRPr="42753707">
      <w:rPr>
        <w:rFonts w:ascii="Arial" w:hAnsi="Arial"/>
        <w:color w:val="000000" w:themeColor="text1"/>
        <w:sz w:val="18"/>
        <w:szCs w:val="18"/>
      </w:rPr>
      <w:t>© NICE 202</w:t>
    </w:r>
    <w:r>
      <w:rPr>
        <w:rFonts w:ascii="Arial" w:hAnsi="Arial"/>
        <w:color w:val="000000" w:themeColor="text1"/>
        <w:sz w:val="18"/>
        <w:szCs w:val="18"/>
      </w:rPr>
      <w:t>6</w:t>
    </w:r>
    <w:r w:rsidRPr="42753707">
      <w:rPr>
        <w:rFonts w:ascii="Arial" w:hAnsi="Arial"/>
        <w:color w:val="000000" w:themeColor="text1"/>
        <w:sz w:val="18"/>
        <w:szCs w:val="18"/>
      </w:rPr>
      <w:t xml:space="preserve">. All rights reserved. Subject to </w:t>
    </w:r>
    <w:hyperlink r:id="rId1" w:anchor="notice-of-rights" w:history="1">
      <w:r w:rsidRPr="007C6CEC">
        <w:rPr>
          <w:rStyle w:val="Hyperlink"/>
          <w:rFonts w:ascii="Arial" w:hAnsi="Arial"/>
          <w:sz w:val="18"/>
          <w:szCs w:val="18"/>
        </w:rPr>
        <w:t>Notice of rights</w:t>
      </w:r>
    </w:hyperlink>
    <w:r w:rsidRPr="42753707">
      <w:rPr>
        <w:rFonts w:ascii="Arial" w:hAnsi="Arial"/>
        <w:color w:val="000000" w:themeColor="text1"/>
        <w:sz w:val="18"/>
        <w:szCs w:val="18"/>
      </w:rPr>
      <w:t>.</w:t>
    </w:r>
    <w:r>
      <w:tab/>
    </w:r>
  </w:p>
  <w:p w14:paraId="52DD46F0" w14:textId="7C984B05" w:rsidR="00473FD7" w:rsidRDefault="00473FD7" w:rsidP="002C3734">
    <w:pPr>
      <w:pStyle w:val="Footer"/>
      <w:rPr>
        <w:color w:val="000000" w:themeColor="text1"/>
        <w:sz w:val="18"/>
        <w:szCs w:val="18"/>
      </w:rPr>
    </w:pPr>
    <w:r w:rsidRPr="00155680">
      <w:rPr>
        <w:color w:val="000000" w:themeColor="text1"/>
        <w:sz w:val="18"/>
        <w:szCs w:val="18"/>
      </w:rPr>
      <w:t xml:space="preserve">Infrastructure and service redesign: examining the methods for capturing implementation costs- </w:t>
    </w:r>
    <w:r>
      <w:rPr>
        <w:color w:val="000000" w:themeColor="text1"/>
        <w:sz w:val="18"/>
        <w:szCs w:val="18"/>
      </w:rPr>
      <w:t xml:space="preserve">Appendix C </w:t>
    </w:r>
  </w:p>
  <w:p w14:paraId="0DF758F5" w14:textId="4EE9F411" w:rsidR="00473FD7" w:rsidRPr="00B75946" w:rsidRDefault="00EF5F2D" w:rsidP="002C3734">
    <w:pPr>
      <w:pStyle w:val="Footer"/>
      <w:rPr>
        <w:color w:val="000000"/>
        <w:sz w:val="18"/>
        <w:szCs w:val="18"/>
        <w:highlight w:val="yellow"/>
      </w:rPr>
    </w:pPr>
    <w:r>
      <w:rPr>
        <w:color w:val="000000" w:themeColor="text1"/>
        <w:sz w:val="18"/>
        <w:szCs w:val="18"/>
      </w:rPr>
      <w:t>June</w:t>
    </w:r>
    <w:r w:rsidR="00473FD7" w:rsidRPr="00155680">
      <w:rPr>
        <w:color w:val="000000" w:themeColor="text1"/>
        <w:sz w:val="18"/>
        <w:szCs w:val="18"/>
      </w:rPr>
      <w:t xml:space="preserve"> 2026</w:t>
    </w:r>
  </w:p>
  <w:p w14:paraId="651C5477" w14:textId="2AA2F788" w:rsidR="00473FD7" w:rsidRPr="00E57AE6" w:rsidRDefault="00473FD7" w:rsidP="3392959B">
    <w:pPr>
      <w:pStyle w:val="Footer"/>
      <w:rPr>
        <w:sz w:val="12"/>
        <w:szCs w:val="12"/>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5E8E" w14:textId="77777777" w:rsidR="00473FD7" w:rsidRDefault="00473FD7" w:rsidP="0007747A">
    <w:pPr>
      <w:pStyle w:val="Footer"/>
      <w:jc w:val="center"/>
    </w:pPr>
    <w:r w:rsidRPr="008E7826">
      <w:fldChar w:fldCharType="begin"/>
    </w:r>
    <w:r w:rsidRPr="008E7826">
      <w:instrText xml:space="preserve"> PAGE </w:instrText>
    </w:r>
    <w:r w:rsidRPr="008E7826">
      <w:fldChar w:fldCharType="separate"/>
    </w:r>
    <w:r w:rsidRPr="008E7826">
      <w:rPr>
        <w:noProof/>
      </w:rPr>
      <w:t>2</w:t>
    </w:r>
    <w:r w:rsidRPr="008E7826">
      <w:fldChar w:fldCharType="end"/>
    </w:r>
    <w:r w:rsidRPr="008E7826">
      <w:t xml:space="preserve"> of </w:t>
    </w:r>
    <w:r>
      <w:fldChar w:fldCharType="begin"/>
    </w:r>
    <w:r>
      <w:instrText>NUMPAGES</w:instrText>
    </w:r>
    <w:r>
      <w:fldChar w:fldCharType="separate"/>
    </w:r>
    <w:r w:rsidRPr="008E78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341B" w14:textId="77777777" w:rsidR="00B809AA" w:rsidRDefault="00B809AA" w:rsidP="00446BEE">
      <w:r>
        <w:separator/>
      </w:r>
    </w:p>
  </w:footnote>
  <w:footnote w:type="continuationSeparator" w:id="0">
    <w:p w14:paraId="4E867C14" w14:textId="77777777" w:rsidR="00B809AA" w:rsidRDefault="00B809AA" w:rsidP="00446BEE">
      <w:r>
        <w:continuationSeparator/>
      </w:r>
    </w:p>
  </w:footnote>
  <w:footnote w:type="continuationNotice" w:id="1">
    <w:p w14:paraId="403D2232" w14:textId="77777777" w:rsidR="00B809AA" w:rsidRDefault="00B80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0473FD7" w14:paraId="250B213C" w14:textId="77777777" w:rsidTr="5DD8AEA6">
      <w:trPr>
        <w:trHeight w:val="300"/>
      </w:trPr>
      <w:tc>
        <w:tcPr>
          <w:tcW w:w="2765" w:type="dxa"/>
        </w:tcPr>
        <w:p w14:paraId="7E9D856D" w14:textId="77777777" w:rsidR="00473FD7" w:rsidRDefault="00473FD7" w:rsidP="5DD8AEA6">
          <w:pPr>
            <w:pStyle w:val="Header"/>
            <w:ind w:left="-115"/>
          </w:pPr>
        </w:p>
      </w:tc>
      <w:tc>
        <w:tcPr>
          <w:tcW w:w="2765" w:type="dxa"/>
        </w:tcPr>
        <w:p w14:paraId="7C14A170" w14:textId="77777777" w:rsidR="00473FD7" w:rsidRDefault="00473FD7" w:rsidP="5DD8AEA6">
          <w:pPr>
            <w:pStyle w:val="Header"/>
            <w:jc w:val="center"/>
          </w:pPr>
        </w:p>
      </w:tc>
      <w:tc>
        <w:tcPr>
          <w:tcW w:w="2765" w:type="dxa"/>
        </w:tcPr>
        <w:p w14:paraId="3E823A80" w14:textId="77777777" w:rsidR="00473FD7" w:rsidRDefault="00473FD7" w:rsidP="5DD8AEA6">
          <w:pPr>
            <w:pStyle w:val="Header"/>
            <w:ind w:right="-115"/>
            <w:jc w:val="right"/>
          </w:pPr>
        </w:p>
      </w:tc>
    </w:tr>
  </w:tbl>
  <w:p w14:paraId="3706C161" w14:textId="77777777" w:rsidR="00473FD7" w:rsidRDefault="00473FD7"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54E6" w14:textId="77777777" w:rsidR="00473FD7" w:rsidRDefault="00473FD7">
    <w:pPr>
      <w:pStyle w:val="Header"/>
    </w:pPr>
    <w:r>
      <w:rPr>
        <w:noProof/>
      </w:rPr>
      <w:drawing>
        <wp:anchor distT="0" distB="0" distL="114300" distR="114300" simplePos="0" relativeHeight="251658240" behindDoc="0" locked="0" layoutInCell="1" allowOverlap="1" wp14:anchorId="5582E01D" wp14:editId="18DCA0E0">
          <wp:simplePos x="0" y="0"/>
          <wp:positionH relativeFrom="column">
            <wp:posOffset>0</wp:posOffset>
          </wp:positionH>
          <wp:positionV relativeFrom="page">
            <wp:posOffset>447675</wp:posOffset>
          </wp:positionV>
          <wp:extent cx="2444400" cy="252000"/>
          <wp:effectExtent l="0" t="0" r="0" b="0"/>
          <wp:wrapNone/>
          <wp:docPr id="1179782271" name="Picture 117978227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2E8A55F2"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5FF26952" w:rsidR="5DD8AEA6"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C18297C" w14:textId="77777777" w:rsidTr="5DD8AEA6">
      <w:trPr>
        <w:trHeight w:val="300"/>
      </w:trPr>
      <w:tc>
        <w:tcPr>
          <w:tcW w:w="2765" w:type="dxa"/>
        </w:tcPr>
        <w:p w14:paraId="04CB7BCE" w14:textId="2F94956F" w:rsidR="5DD8AEA6" w:rsidRDefault="5DD8AEA6" w:rsidP="5DD8AEA6">
          <w:pPr>
            <w:pStyle w:val="Header"/>
            <w:ind w:left="-115"/>
          </w:pPr>
        </w:p>
      </w:tc>
      <w:tc>
        <w:tcPr>
          <w:tcW w:w="2765" w:type="dxa"/>
        </w:tcPr>
        <w:p w14:paraId="49C5B1E1" w14:textId="25EE81F6" w:rsidR="5DD8AEA6" w:rsidRDefault="5DD8AEA6" w:rsidP="5DD8AEA6">
          <w:pPr>
            <w:pStyle w:val="Header"/>
            <w:jc w:val="center"/>
          </w:pPr>
        </w:p>
      </w:tc>
      <w:tc>
        <w:tcPr>
          <w:tcW w:w="2765" w:type="dxa"/>
        </w:tcPr>
        <w:p w14:paraId="52B458A8" w14:textId="74F20C05" w:rsidR="5DD8AEA6" w:rsidRDefault="5DD8AEA6" w:rsidP="5DD8AEA6">
          <w:pPr>
            <w:pStyle w:val="Header"/>
            <w:ind w:right="-115"/>
            <w:jc w:val="right"/>
          </w:pPr>
        </w:p>
      </w:tc>
    </w:tr>
  </w:tbl>
  <w:p w14:paraId="67EBBC3F" w14:textId="34FE9CC0" w:rsidR="5DD8AEA6" w:rsidRDefault="5DD8AEA6" w:rsidP="00013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91F"/>
    <w:multiLevelType w:val="multilevel"/>
    <w:tmpl w:val="512A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283"/>
        </w:tabs>
        <w:ind w:left="283"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635FBF"/>
    <w:multiLevelType w:val="multilevel"/>
    <w:tmpl w:val="F61E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3F5BE3"/>
    <w:multiLevelType w:val="multilevel"/>
    <w:tmpl w:val="CCB2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D18E3"/>
    <w:multiLevelType w:val="hybridMultilevel"/>
    <w:tmpl w:val="E0B03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C3584"/>
    <w:multiLevelType w:val="multilevel"/>
    <w:tmpl w:val="2F5AF208"/>
    <w:lvl w:ilvl="0">
      <w:start w:val="1"/>
      <w:numFmt w:val="decimal"/>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AE47B57"/>
    <w:multiLevelType w:val="hybridMultilevel"/>
    <w:tmpl w:val="167E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81BA3"/>
    <w:multiLevelType w:val="hybridMultilevel"/>
    <w:tmpl w:val="F84C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44417D0"/>
    <w:multiLevelType w:val="multilevel"/>
    <w:tmpl w:val="7638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F181FB9"/>
    <w:multiLevelType w:val="hybridMultilevel"/>
    <w:tmpl w:val="7E10BCF2"/>
    <w:lvl w:ilvl="0" w:tplc="114033BC">
      <w:start w:val="1"/>
      <w:numFmt w:val="bullet"/>
      <w:lvlText w:val=""/>
      <w:lvlJc w:val="left"/>
      <w:pPr>
        <w:ind w:left="1280" w:hanging="360"/>
      </w:pPr>
      <w:rPr>
        <w:rFonts w:ascii="Symbol" w:hAnsi="Symbol"/>
      </w:rPr>
    </w:lvl>
    <w:lvl w:ilvl="1" w:tplc="FB9410EE">
      <w:start w:val="1"/>
      <w:numFmt w:val="bullet"/>
      <w:lvlText w:val=""/>
      <w:lvlJc w:val="left"/>
      <w:pPr>
        <w:ind w:left="1280" w:hanging="360"/>
      </w:pPr>
      <w:rPr>
        <w:rFonts w:ascii="Symbol" w:hAnsi="Symbol"/>
      </w:rPr>
    </w:lvl>
    <w:lvl w:ilvl="2" w:tplc="CE2A9D54">
      <w:start w:val="1"/>
      <w:numFmt w:val="bullet"/>
      <w:lvlText w:val=""/>
      <w:lvlJc w:val="left"/>
      <w:pPr>
        <w:ind w:left="1280" w:hanging="360"/>
      </w:pPr>
      <w:rPr>
        <w:rFonts w:ascii="Symbol" w:hAnsi="Symbol"/>
      </w:rPr>
    </w:lvl>
    <w:lvl w:ilvl="3" w:tplc="0E96E884">
      <w:start w:val="1"/>
      <w:numFmt w:val="bullet"/>
      <w:lvlText w:val=""/>
      <w:lvlJc w:val="left"/>
      <w:pPr>
        <w:ind w:left="1280" w:hanging="360"/>
      </w:pPr>
      <w:rPr>
        <w:rFonts w:ascii="Symbol" w:hAnsi="Symbol"/>
      </w:rPr>
    </w:lvl>
    <w:lvl w:ilvl="4" w:tplc="9DA67EF8">
      <w:start w:val="1"/>
      <w:numFmt w:val="bullet"/>
      <w:lvlText w:val=""/>
      <w:lvlJc w:val="left"/>
      <w:pPr>
        <w:ind w:left="1280" w:hanging="360"/>
      </w:pPr>
      <w:rPr>
        <w:rFonts w:ascii="Symbol" w:hAnsi="Symbol"/>
      </w:rPr>
    </w:lvl>
    <w:lvl w:ilvl="5" w:tplc="5486042C">
      <w:start w:val="1"/>
      <w:numFmt w:val="bullet"/>
      <w:lvlText w:val=""/>
      <w:lvlJc w:val="left"/>
      <w:pPr>
        <w:ind w:left="1280" w:hanging="360"/>
      </w:pPr>
      <w:rPr>
        <w:rFonts w:ascii="Symbol" w:hAnsi="Symbol"/>
      </w:rPr>
    </w:lvl>
    <w:lvl w:ilvl="6" w:tplc="5F966CEA">
      <w:start w:val="1"/>
      <w:numFmt w:val="bullet"/>
      <w:lvlText w:val=""/>
      <w:lvlJc w:val="left"/>
      <w:pPr>
        <w:ind w:left="1280" w:hanging="360"/>
      </w:pPr>
      <w:rPr>
        <w:rFonts w:ascii="Symbol" w:hAnsi="Symbol"/>
      </w:rPr>
    </w:lvl>
    <w:lvl w:ilvl="7" w:tplc="C38C84A8">
      <w:start w:val="1"/>
      <w:numFmt w:val="bullet"/>
      <w:lvlText w:val=""/>
      <w:lvlJc w:val="left"/>
      <w:pPr>
        <w:ind w:left="1280" w:hanging="360"/>
      </w:pPr>
      <w:rPr>
        <w:rFonts w:ascii="Symbol" w:hAnsi="Symbol"/>
      </w:rPr>
    </w:lvl>
    <w:lvl w:ilvl="8" w:tplc="A78E7A92">
      <w:start w:val="1"/>
      <w:numFmt w:val="bullet"/>
      <w:lvlText w:val=""/>
      <w:lvlJc w:val="left"/>
      <w:pPr>
        <w:ind w:left="1280" w:hanging="360"/>
      </w:pPr>
      <w:rPr>
        <w:rFonts w:ascii="Symbol" w:hAnsi="Symbol"/>
      </w:rPr>
    </w:lvl>
  </w:abstractNum>
  <w:abstractNum w:abstractNumId="17" w15:restartNumberingAfterBreak="0">
    <w:nsid w:val="4F2F72F8"/>
    <w:multiLevelType w:val="multilevel"/>
    <w:tmpl w:val="C606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BD18BA"/>
    <w:multiLevelType w:val="multilevel"/>
    <w:tmpl w:val="7CE6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DB2E14"/>
    <w:multiLevelType w:val="multilevel"/>
    <w:tmpl w:val="CD54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94909CC"/>
    <w:multiLevelType w:val="multilevel"/>
    <w:tmpl w:val="236A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00DD1"/>
    <w:multiLevelType w:val="multilevel"/>
    <w:tmpl w:val="57D0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6D21A8"/>
    <w:multiLevelType w:val="hybridMultilevel"/>
    <w:tmpl w:val="D85E2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130EEB"/>
    <w:multiLevelType w:val="multilevel"/>
    <w:tmpl w:val="0BE4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8" w15:restartNumberingAfterBreak="0">
    <w:nsid w:val="632002E3"/>
    <w:multiLevelType w:val="multilevel"/>
    <w:tmpl w:val="DD5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8E15451"/>
    <w:multiLevelType w:val="hybridMultilevel"/>
    <w:tmpl w:val="6D443960"/>
    <w:lvl w:ilvl="0" w:tplc="B71079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6F2189"/>
    <w:multiLevelType w:val="hybridMultilevel"/>
    <w:tmpl w:val="7DD6DEFA"/>
    <w:lvl w:ilvl="0" w:tplc="B20870AC">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4" w15:restartNumberingAfterBreak="0">
    <w:nsid w:val="79AB6630"/>
    <w:multiLevelType w:val="multilevel"/>
    <w:tmpl w:val="2D5E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2E0962"/>
    <w:multiLevelType w:val="multilevel"/>
    <w:tmpl w:val="5698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785CD5"/>
    <w:multiLevelType w:val="hybridMultilevel"/>
    <w:tmpl w:val="40A8D2D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399716702">
    <w:abstractNumId w:val="22"/>
  </w:num>
  <w:num w:numId="2" w16cid:durableId="1595244151">
    <w:abstractNumId w:val="32"/>
  </w:num>
  <w:num w:numId="3" w16cid:durableId="368646558">
    <w:abstractNumId w:val="9"/>
  </w:num>
  <w:num w:numId="4" w16cid:durableId="534393170">
    <w:abstractNumId w:val="29"/>
  </w:num>
  <w:num w:numId="5" w16cid:durableId="609512517">
    <w:abstractNumId w:val="33"/>
  </w:num>
  <w:num w:numId="6" w16cid:durableId="1428035579">
    <w:abstractNumId w:val="10"/>
  </w:num>
  <w:num w:numId="7" w16cid:durableId="1570847782">
    <w:abstractNumId w:val="35"/>
  </w:num>
  <w:num w:numId="8" w16cid:durableId="1720128968">
    <w:abstractNumId w:val="18"/>
  </w:num>
  <w:num w:numId="9" w16cid:durableId="10464143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07478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578225">
    <w:abstractNumId w:val="10"/>
  </w:num>
  <w:num w:numId="12" w16cid:durableId="1940066939">
    <w:abstractNumId w:val="10"/>
  </w:num>
  <w:num w:numId="13" w16cid:durableId="440534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718631">
    <w:abstractNumId w:val="10"/>
  </w:num>
  <w:num w:numId="15" w16cid:durableId="3500336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4032480">
    <w:abstractNumId w:val="10"/>
  </w:num>
  <w:num w:numId="17" w16cid:durableId="15589346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8004589">
    <w:abstractNumId w:val="10"/>
  </w:num>
  <w:num w:numId="19" w16cid:durableId="1800608564">
    <w:abstractNumId w:val="17"/>
  </w:num>
  <w:num w:numId="20" w16cid:durableId="1037126934">
    <w:abstractNumId w:val="26"/>
  </w:num>
  <w:num w:numId="21" w16cid:durableId="534539431">
    <w:abstractNumId w:val="6"/>
  </w:num>
  <w:num w:numId="22" w16cid:durableId="1199706865">
    <w:abstractNumId w:val="4"/>
  </w:num>
  <w:num w:numId="23" w16cid:durableId="612858654">
    <w:abstractNumId w:val="28"/>
  </w:num>
  <w:num w:numId="24" w16cid:durableId="883906110">
    <w:abstractNumId w:val="34"/>
  </w:num>
  <w:num w:numId="25" w16cid:durableId="985011369">
    <w:abstractNumId w:val="21"/>
  </w:num>
  <w:num w:numId="26" w16cid:durableId="200288804">
    <w:abstractNumId w:val="14"/>
  </w:num>
  <w:num w:numId="27" w16cid:durableId="2133859185">
    <w:abstractNumId w:val="24"/>
  </w:num>
  <w:num w:numId="28" w16cid:durableId="1963919989">
    <w:abstractNumId w:val="0"/>
  </w:num>
  <w:num w:numId="29" w16cid:durableId="1560940785">
    <w:abstractNumId w:val="19"/>
  </w:num>
  <w:num w:numId="30" w16cid:durableId="629938712">
    <w:abstractNumId w:val="11"/>
  </w:num>
  <w:num w:numId="31" w16cid:durableId="102193832">
    <w:abstractNumId w:val="7"/>
  </w:num>
  <w:num w:numId="32" w16cid:durableId="771587914">
    <w:abstractNumId w:val="36"/>
  </w:num>
  <w:num w:numId="33" w16cid:durableId="1068845047">
    <w:abstractNumId w:val="1"/>
  </w:num>
  <w:num w:numId="34" w16cid:durableId="531042484">
    <w:abstractNumId w:val="8"/>
  </w:num>
  <w:num w:numId="35" w16cid:durableId="1802571300">
    <w:abstractNumId w:val="13"/>
  </w:num>
  <w:num w:numId="36" w16cid:durableId="669066790">
    <w:abstractNumId w:val="15"/>
  </w:num>
  <w:num w:numId="37" w16cid:durableId="1013219320">
    <w:abstractNumId w:val="15"/>
  </w:num>
  <w:num w:numId="38" w16cid:durableId="505023712">
    <w:abstractNumId w:val="3"/>
  </w:num>
  <w:num w:numId="39" w16cid:durableId="278531092">
    <w:abstractNumId w:val="5"/>
  </w:num>
  <w:num w:numId="40" w16cid:durableId="2075739856">
    <w:abstractNumId w:val="2"/>
  </w:num>
  <w:num w:numId="41" w16cid:durableId="1636183826">
    <w:abstractNumId w:val="30"/>
  </w:num>
  <w:num w:numId="42" w16cid:durableId="26487945">
    <w:abstractNumId w:val="10"/>
  </w:num>
  <w:num w:numId="43" w16cid:durableId="1179932938">
    <w:abstractNumId w:val="10"/>
  </w:num>
  <w:num w:numId="44" w16cid:durableId="276722527">
    <w:abstractNumId w:val="23"/>
  </w:num>
  <w:num w:numId="45" w16cid:durableId="1232741432">
    <w:abstractNumId w:val="22"/>
  </w:num>
  <w:num w:numId="46" w16cid:durableId="815297000">
    <w:abstractNumId w:val="20"/>
  </w:num>
  <w:num w:numId="47" w16cid:durableId="634986937">
    <w:abstractNumId w:val="29"/>
  </w:num>
  <w:num w:numId="48" w16cid:durableId="1589266338">
    <w:abstractNumId w:val="25"/>
  </w:num>
  <w:num w:numId="49" w16cid:durableId="1684818800">
    <w:abstractNumId w:val="12"/>
  </w:num>
  <w:num w:numId="50" w16cid:durableId="511720058">
    <w:abstractNumId w:val="29"/>
  </w:num>
  <w:num w:numId="51" w16cid:durableId="1874684582">
    <w:abstractNumId w:val="31"/>
  </w:num>
  <w:num w:numId="52" w16cid:durableId="1766807621">
    <w:abstractNumId w:val="16"/>
  </w:num>
  <w:num w:numId="53" w16cid:durableId="1603147093">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04BC"/>
    <w:rsid w:val="00005367"/>
    <w:rsid w:val="000053F8"/>
    <w:rsid w:val="000072B8"/>
    <w:rsid w:val="0000797C"/>
    <w:rsid w:val="000108F7"/>
    <w:rsid w:val="00012EE9"/>
    <w:rsid w:val="0001306E"/>
    <w:rsid w:val="00013F4D"/>
    <w:rsid w:val="000153EB"/>
    <w:rsid w:val="0001707F"/>
    <w:rsid w:val="00017F79"/>
    <w:rsid w:val="0002383A"/>
    <w:rsid w:val="00024D0A"/>
    <w:rsid w:val="00024E76"/>
    <w:rsid w:val="00025EBB"/>
    <w:rsid w:val="00026A72"/>
    <w:rsid w:val="00030425"/>
    <w:rsid w:val="00034CB1"/>
    <w:rsid w:val="000408CC"/>
    <w:rsid w:val="00040F6B"/>
    <w:rsid w:val="000441C7"/>
    <w:rsid w:val="000468A6"/>
    <w:rsid w:val="00050B47"/>
    <w:rsid w:val="00050E0D"/>
    <w:rsid w:val="00051E3B"/>
    <w:rsid w:val="000564A3"/>
    <w:rsid w:val="0005661B"/>
    <w:rsid w:val="00062274"/>
    <w:rsid w:val="00064345"/>
    <w:rsid w:val="000648AB"/>
    <w:rsid w:val="000653DD"/>
    <w:rsid w:val="000660BF"/>
    <w:rsid w:val="00066E18"/>
    <w:rsid w:val="000670EA"/>
    <w:rsid w:val="00070065"/>
    <w:rsid w:val="00071C6B"/>
    <w:rsid w:val="0007317A"/>
    <w:rsid w:val="00074B73"/>
    <w:rsid w:val="00076FCC"/>
    <w:rsid w:val="0007747A"/>
    <w:rsid w:val="00077AD4"/>
    <w:rsid w:val="00091758"/>
    <w:rsid w:val="000918F2"/>
    <w:rsid w:val="00092F16"/>
    <w:rsid w:val="000931E1"/>
    <w:rsid w:val="00094471"/>
    <w:rsid w:val="00096014"/>
    <w:rsid w:val="00096F5A"/>
    <w:rsid w:val="00097438"/>
    <w:rsid w:val="000979D8"/>
    <w:rsid w:val="00097BD8"/>
    <w:rsid w:val="000A0D61"/>
    <w:rsid w:val="000A19CA"/>
    <w:rsid w:val="000A1C14"/>
    <w:rsid w:val="000A43D7"/>
    <w:rsid w:val="000A458B"/>
    <w:rsid w:val="000A4FEE"/>
    <w:rsid w:val="000A597B"/>
    <w:rsid w:val="000A60D8"/>
    <w:rsid w:val="000A6952"/>
    <w:rsid w:val="000B4D57"/>
    <w:rsid w:val="000B5334"/>
    <w:rsid w:val="000B5939"/>
    <w:rsid w:val="000B6718"/>
    <w:rsid w:val="000B6983"/>
    <w:rsid w:val="000B7686"/>
    <w:rsid w:val="000B9464"/>
    <w:rsid w:val="000C23E3"/>
    <w:rsid w:val="000C280C"/>
    <w:rsid w:val="000C4F99"/>
    <w:rsid w:val="000C7E0C"/>
    <w:rsid w:val="000D0C4C"/>
    <w:rsid w:val="000D28D8"/>
    <w:rsid w:val="000D35B4"/>
    <w:rsid w:val="000D6678"/>
    <w:rsid w:val="000E001A"/>
    <w:rsid w:val="000E393E"/>
    <w:rsid w:val="000E4D4E"/>
    <w:rsid w:val="000E5278"/>
    <w:rsid w:val="000E6A48"/>
    <w:rsid w:val="000E7288"/>
    <w:rsid w:val="000E7EFA"/>
    <w:rsid w:val="000F2016"/>
    <w:rsid w:val="000F55CB"/>
    <w:rsid w:val="000F7BE2"/>
    <w:rsid w:val="001048DB"/>
    <w:rsid w:val="001050B5"/>
    <w:rsid w:val="00105F30"/>
    <w:rsid w:val="00106D66"/>
    <w:rsid w:val="00107122"/>
    <w:rsid w:val="001079B7"/>
    <w:rsid w:val="001102C2"/>
    <w:rsid w:val="00110413"/>
    <w:rsid w:val="00112889"/>
    <w:rsid w:val="00112B3E"/>
    <w:rsid w:val="001134E7"/>
    <w:rsid w:val="0011544F"/>
    <w:rsid w:val="0011590B"/>
    <w:rsid w:val="001160A2"/>
    <w:rsid w:val="00117C0C"/>
    <w:rsid w:val="00120D0D"/>
    <w:rsid w:val="00121290"/>
    <w:rsid w:val="001215F7"/>
    <w:rsid w:val="00122A11"/>
    <w:rsid w:val="00122C70"/>
    <w:rsid w:val="0012342B"/>
    <w:rsid w:val="001237AD"/>
    <w:rsid w:val="0012439F"/>
    <w:rsid w:val="00124D8F"/>
    <w:rsid w:val="001260FB"/>
    <w:rsid w:val="001261CA"/>
    <w:rsid w:val="00126973"/>
    <w:rsid w:val="00127C70"/>
    <w:rsid w:val="00131F1A"/>
    <w:rsid w:val="00133672"/>
    <w:rsid w:val="001336FF"/>
    <w:rsid w:val="00133E1A"/>
    <w:rsid w:val="00133E30"/>
    <w:rsid w:val="00135C00"/>
    <w:rsid w:val="00136206"/>
    <w:rsid w:val="001362CB"/>
    <w:rsid w:val="00137F2F"/>
    <w:rsid w:val="00140286"/>
    <w:rsid w:val="0014109E"/>
    <w:rsid w:val="00141740"/>
    <w:rsid w:val="0014204E"/>
    <w:rsid w:val="0014256F"/>
    <w:rsid w:val="001440CF"/>
    <w:rsid w:val="00145CCA"/>
    <w:rsid w:val="00145F2D"/>
    <w:rsid w:val="001471C1"/>
    <w:rsid w:val="0014728A"/>
    <w:rsid w:val="00150EA5"/>
    <w:rsid w:val="001511C0"/>
    <w:rsid w:val="001537CA"/>
    <w:rsid w:val="001541AD"/>
    <w:rsid w:val="001543B7"/>
    <w:rsid w:val="00157BBE"/>
    <w:rsid w:val="00157F94"/>
    <w:rsid w:val="00161231"/>
    <w:rsid w:val="0016156A"/>
    <w:rsid w:val="0016183E"/>
    <w:rsid w:val="00162CEF"/>
    <w:rsid w:val="001648CF"/>
    <w:rsid w:val="00164DAE"/>
    <w:rsid w:val="0016681F"/>
    <w:rsid w:val="001669BE"/>
    <w:rsid w:val="00167B7F"/>
    <w:rsid w:val="0017062A"/>
    <w:rsid w:val="0017169E"/>
    <w:rsid w:val="00173D4C"/>
    <w:rsid w:val="00177CF1"/>
    <w:rsid w:val="001806A4"/>
    <w:rsid w:val="00180A9F"/>
    <w:rsid w:val="00181210"/>
    <w:rsid w:val="0018457C"/>
    <w:rsid w:val="0019090B"/>
    <w:rsid w:val="00192CA9"/>
    <w:rsid w:val="001931D2"/>
    <w:rsid w:val="00194255"/>
    <w:rsid w:val="00195560"/>
    <w:rsid w:val="00197CA3"/>
    <w:rsid w:val="00197D92"/>
    <w:rsid w:val="001A11E6"/>
    <w:rsid w:val="001A13D9"/>
    <w:rsid w:val="001A6635"/>
    <w:rsid w:val="001A762B"/>
    <w:rsid w:val="001B0EE9"/>
    <w:rsid w:val="001B11B3"/>
    <w:rsid w:val="001B173E"/>
    <w:rsid w:val="001B23D0"/>
    <w:rsid w:val="001B2A50"/>
    <w:rsid w:val="001B43CC"/>
    <w:rsid w:val="001B6180"/>
    <w:rsid w:val="001B65B3"/>
    <w:rsid w:val="001B6CEC"/>
    <w:rsid w:val="001B6F9E"/>
    <w:rsid w:val="001C09BE"/>
    <w:rsid w:val="001C48DD"/>
    <w:rsid w:val="001D04DD"/>
    <w:rsid w:val="001D0734"/>
    <w:rsid w:val="001D1AD3"/>
    <w:rsid w:val="001D2E37"/>
    <w:rsid w:val="001D7202"/>
    <w:rsid w:val="001E01C3"/>
    <w:rsid w:val="001E0502"/>
    <w:rsid w:val="001E0C90"/>
    <w:rsid w:val="001E1065"/>
    <w:rsid w:val="001E2319"/>
    <w:rsid w:val="001E4662"/>
    <w:rsid w:val="001E60D6"/>
    <w:rsid w:val="001E6277"/>
    <w:rsid w:val="001E7E56"/>
    <w:rsid w:val="001F2040"/>
    <w:rsid w:val="001F475D"/>
    <w:rsid w:val="001F52D5"/>
    <w:rsid w:val="001F55A6"/>
    <w:rsid w:val="001F670E"/>
    <w:rsid w:val="001F7178"/>
    <w:rsid w:val="001F73C9"/>
    <w:rsid w:val="00200858"/>
    <w:rsid w:val="00201E92"/>
    <w:rsid w:val="00204E53"/>
    <w:rsid w:val="00206F6D"/>
    <w:rsid w:val="00207F7D"/>
    <w:rsid w:val="00212399"/>
    <w:rsid w:val="002124D5"/>
    <w:rsid w:val="00213187"/>
    <w:rsid w:val="00213B22"/>
    <w:rsid w:val="00213C25"/>
    <w:rsid w:val="00215762"/>
    <w:rsid w:val="0021615D"/>
    <w:rsid w:val="00220302"/>
    <w:rsid w:val="0022103C"/>
    <w:rsid w:val="002220F8"/>
    <w:rsid w:val="0022247C"/>
    <w:rsid w:val="00222A26"/>
    <w:rsid w:val="0022404A"/>
    <w:rsid w:val="00225872"/>
    <w:rsid w:val="00226B93"/>
    <w:rsid w:val="0022791D"/>
    <w:rsid w:val="00230940"/>
    <w:rsid w:val="002359F7"/>
    <w:rsid w:val="0023780B"/>
    <w:rsid w:val="00237E7E"/>
    <w:rsid w:val="002408EA"/>
    <w:rsid w:val="00241679"/>
    <w:rsid w:val="00242E26"/>
    <w:rsid w:val="002435A3"/>
    <w:rsid w:val="002444C6"/>
    <w:rsid w:val="00246BBA"/>
    <w:rsid w:val="00247918"/>
    <w:rsid w:val="0025101C"/>
    <w:rsid w:val="002514F0"/>
    <w:rsid w:val="002544AD"/>
    <w:rsid w:val="0025603E"/>
    <w:rsid w:val="00257E92"/>
    <w:rsid w:val="0026293D"/>
    <w:rsid w:val="00263145"/>
    <w:rsid w:val="002651CF"/>
    <w:rsid w:val="00265296"/>
    <w:rsid w:val="00265C44"/>
    <w:rsid w:val="002708B8"/>
    <w:rsid w:val="00273043"/>
    <w:rsid w:val="0027566A"/>
    <w:rsid w:val="00277955"/>
    <w:rsid w:val="00280516"/>
    <w:rsid w:val="00281125"/>
    <w:rsid w:val="00281699"/>
    <w:rsid w:val="002819D7"/>
    <w:rsid w:val="00281FD5"/>
    <w:rsid w:val="0028373E"/>
    <w:rsid w:val="00286B4A"/>
    <w:rsid w:val="00287008"/>
    <w:rsid w:val="00287C0A"/>
    <w:rsid w:val="002910D4"/>
    <w:rsid w:val="00291337"/>
    <w:rsid w:val="002914D8"/>
    <w:rsid w:val="00293D38"/>
    <w:rsid w:val="00294F60"/>
    <w:rsid w:val="00297CDF"/>
    <w:rsid w:val="002A105E"/>
    <w:rsid w:val="002A2222"/>
    <w:rsid w:val="002A27CC"/>
    <w:rsid w:val="002A2D95"/>
    <w:rsid w:val="002A36B6"/>
    <w:rsid w:val="002A6749"/>
    <w:rsid w:val="002B038C"/>
    <w:rsid w:val="002B1DAE"/>
    <w:rsid w:val="002B278D"/>
    <w:rsid w:val="002B4776"/>
    <w:rsid w:val="002B4F3E"/>
    <w:rsid w:val="002B5F19"/>
    <w:rsid w:val="002B66B6"/>
    <w:rsid w:val="002B74E8"/>
    <w:rsid w:val="002B7C7C"/>
    <w:rsid w:val="002B7CE6"/>
    <w:rsid w:val="002C1A7E"/>
    <w:rsid w:val="002C1BA5"/>
    <w:rsid w:val="002C1EF1"/>
    <w:rsid w:val="002C2A43"/>
    <w:rsid w:val="002C3734"/>
    <w:rsid w:val="002C4A23"/>
    <w:rsid w:val="002C6C02"/>
    <w:rsid w:val="002D23A1"/>
    <w:rsid w:val="002D3376"/>
    <w:rsid w:val="002D4C23"/>
    <w:rsid w:val="002D69F2"/>
    <w:rsid w:val="002E0005"/>
    <w:rsid w:val="002E0EF1"/>
    <w:rsid w:val="002E2970"/>
    <w:rsid w:val="002E39E8"/>
    <w:rsid w:val="002E51D1"/>
    <w:rsid w:val="002E5603"/>
    <w:rsid w:val="002F2E0E"/>
    <w:rsid w:val="002F4346"/>
    <w:rsid w:val="0030327A"/>
    <w:rsid w:val="00304316"/>
    <w:rsid w:val="003044A9"/>
    <w:rsid w:val="00304A1B"/>
    <w:rsid w:val="00311ED0"/>
    <w:rsid w:val="00311FB4"/>
    <w:rsid w:val="0031358A"/>
    <w:rsid w:val="00316044"/>
    <w:rsid w:val="0031613F"/>
    <w:rsid w:val="00325353"/>
    <w:rsid w:val="003254E7"/>
    <w:rsid w:val="00330CBB"/>
    <w:rsid w:val="00332222"/>
    <w:rsid w:val="003336F0"/>
    <w:rsid w:val="003341FE"/>
    <w:rsid w:val="00337D37"/>
    <w:rsid w:val="00341E34"/>
    <w:rsid w:val="00343CF1"/>
    <w:rsid w:val="00344278"/>
    <w:rsid w:val="00345374"/>
    <w:rsid w:val="00345B11"/>
    <w:rsid w:val="003644D8"/>
    <w:rsid w:val="003648C5"/>
    <w:rsid w:val="00365B00"/>
    <w:rsid w:val="003702D1"/>
    <w:rsid w:val="00370DBE"/>
    <w:rsid w:val="00371A7E"/>
    <w:rsid w:val="003722FA"/>
    <w:rsid w:val="00373E7F"/>
    <w:rsid w:val="00374DAD"/>
    <w:rsid w:val="00382734"/>
    <w:rsid w:val="003849B4"/>
    <w:rsid w:val="00386AB1"/>
    <w:rsid w:val="00387B27"/>
    <w:rsid w:val="00392819"/>
    <w:rsid w:val="003952D7"/>
    <w:rsid w:val="00397383"/>
    <w:rsid w:val="003A0151"/>
    <w:rsid w:val="003A0B24"/>
    <w:rsid w:val="003A0D6F"/>
    <w:rsid w:val="003A5DD0"/>
    <w:rsid w:val="003A61DC"/>
    <w:rsid w:val="003A6C1D"/>
    <w:rsid w:val="003B2ACE"/>
    <w:rsid w:val="003B5EBE"/>
    <w:rsid w:val="003B647B"/>
    <w:rsid w:val="003C0502"/>
    <w:rsid w:val="003C1118"/>
    <w:rsid w:val="003C1A33"/>
    <w:rsid w:val="003C1EA2"/>
    <w:rsid w:val="003C593B"/>
    <w:rsid w:val="003C6B1D"/>
    <w:rsid w:val="003C6CA2"/>
    <w:rsid w:val="003C7331"/>
    <w:rsid w:val="003C7AAF"/>
    <w:rsid w:val="003D1491"/>
    <w:rsid w:val="003D189A"/>
    <w:rsid w:val="003D1E4F"/>
    <w:rsid w:val="003D3861"/>
    <w:rsid w:val="003D498B"/>
    <w:rsid w:val="003D7555"/>
    <w:rsid w:val="003E1D7C"/>
    <w:rsid w:val="003E2FD8"/>
    <w:rsid w:val="003E3077"/>
    <w:rsid w:val="003E4C55"/>
    <w:rsid w:val="003E5D6A"/>
    <w:rsid w:val="003E74E7"/>
    <w:rsid w:val="003E7AFE"/>
    <w:rsid w:val="003F0A04"/>
    <w:rsid w:val="003F1B72"/>
    <w:rsid w:val="003F1C1C"/>
    <w:rsid w:val="003F23E6"/>
    <w:rsid w:val="003F3261"/>
    <w:rsid w:val="003F36DF"/>
    <w:rsid w:val="003F54B9"/>
    <w:rsid w:val="003F64C6"/>
    <w:rsid w:val="003F6CEC"/>
    <w:rsid w:val="00400540"/>
    <w:rsid w:val="004019C0"/>
    <w:rsid w:val="00401C03"/>
    <w:rsid w:val="00403BDB"/>
    <w:rsid w:val="00405D68"/>
    <w:rsid w:val="004075B6"/>
    <w:rsid w:val="00407E61"/>
    <w:rsid w:val="00407FFC"/>
    <w:rsid w:val="00410910"/>
    <w:rsid w:val="004149BC"/>
    <w:rsid w:val="00416BB7"/>
    <w:rsid w:val="00420952"/>
    <w:rsid w:val="00421CBE"/>
    <w:rsid w:val="00421FA8"/>
    <w:rsid w:val="00426032"/>
    <w:rsid w:val="0042620D"/>
    <w:rsid w:val="00426469"/>
    <w:rsid w:val="00426C41"/>
    <w:rsid w:val="004272BF"/>
    <w:rsid w:val="00427EA6"/>
    <w:rsid w:val="004313C1"/>
    <w:rsid w:val="00432228"/>
    <w:rsid w:val="00432427"/>
    <w:rsid w:val="004341B0"/>
    <w:rsid w:val="00434FF3"/>
    <w:rsid w:val="00440476"/>
    <w:rsid w:val="00441221"/>
    <w:rsid w:val="00442BE1"/>
    <w:rsid w:val="0044313E"/>
    <w:rsid w:val="00443FFA"/>
    <w:rsid w:val="00446BEE"/>
    <w:rsid w:val="00452E30"/>
    <w:rsid w:val="00452F82"/>
    <w:rsid w:val="00453CA0"/>
    <w:rsid w:val="00457A57"/>
    <w:rsid w:val="004627EB"/>
    <w:rsid w:val="00464508"/>
    <w:rsid w:val="004651CB"/>
    <w:rsid w:val="004651E8"/>
    <w:rsid w:val="00467517"/>
    <w:rsid w:val="00473A40"/>
    <w:rsid w:val="00473FD7"/>
    <w:rsid w:val="004753FB"/>
    <w:rsid w:val="00477C6E"/>
    <w:rsid w:val="0048078B"/>
    <w:rsid w:val="00482333"/>
    <w:rsid w:val="00483325"/>
    <w:rsid w:val="00484498"/>
    <w:rsid w:val="00485DF2"/>
    <w:rsid w:val="0048623B"/>
    <w:rsid w:val="00490F94"/>
    <w:rsid w:val="00492A85"/>
    <w:rsid w:val="0049373E"/>
    <w:rsid w:val="00494018"/>
    <w:rsid w:val="004954E2"/>
    <w:rsid w:val="004A286E"/>
    <w:rsid w:val="004A30D1"/>
    <w:rsid w:val="004A4B4F"/>
    <w:rsid w:val="004A4C2C"/>
    <w:rsid w:val="004A588A"/>
    <w:rsid w:val="004A66AD"/>
    <w:rsid w:val="004A73E8"/>
    <w:rsid w:val="004B2582"/>
    <w:rsid w:val="004B377A"/>
    <w:rsid w:val="004B4414"/>
    <w:rsid w:val="004B675C"/>
    <w:rsid w:val="004B7AA8"/>
    <w:rsid w:val="004C0D7B"/>
    <w:rsid w:val="004C132A"/>
    <w:rsid w:val="004C4B42"/>
    <w:rsid w:val="004C4D72"/>
    <w:rsid w:val="004C68C8"/>
    <w:rsid w:val="004D02CE"/>
    <w:rsid w:val="004D1A2F"/>
    <w:rsid w:val="004D27B7"/>
    <w:rsid w:val="004D312A"/>
    <w:rsid w:val="004D4E1F"/>
    <w:rsid w:val="004E165B"/>
    <w:rsid w:val="004E22FC"/>
    <w:rsid w:val="004E4E07"/>
    <w:rsid w:val="004E671C"/>
    <w:rsid w:val="004E7061"/>
    <w:rsid w:val="004E751B"/>
    <w:rsid w:val="004F3270"/>
    <w:rsid w:val="004F3B8D"/>
    <w:rsid w:val="004F4B22"/>
    <w:rsid w:val="004F4C19"/>
    <w:rsid w:val="004F52B6"/>
    <w:rsid w:val="005014BC"/>
    <w:rsid w:val="0050256D"/>
    <w:rsid w:val="005025A1"/>
    <w:rsid w:val="00505EEF"/>
    <w:rsid w:val="00505F43"/>
    <w:rsid w:val="00507A44"/>
    <w:rsid w:val="00507B08"/>
    <w:rsid w:val="00511930"/>
    <w:rsid w:val="00512C1B"/>
    <w:rsid w:val="00512D10"/>
    <w:rsid w:val="0051515C"/>
    <w:rsid w:val="005151DB"/>
    <w:rsid w:val="005154CC"/>
    <w:rsid w:val="00515BF3"/>
    <w:rsid w:val="00515C22"/>
    <w:rsid w:val="00516133"/>
    <w:rsid w:val="005164D3"/>
    <w:rsid w:val="005171DF"/>
    <w:rsid w:val="00517F89"/>
    <w:rsid w:val="00520168"/>
    <w:rsid w:val="00520655"/>
    <w:rsid w:val="00520F1D"/>
    <w:rsid w:val="00525A2F"/>
    <w:rsid w:val="005303D2"/>
    <w:rsid w:val="005312E8"/>
    <w:rsid w:val="005322CB"/>
    <w:rsid w:val="00532846"/>
    <w:rsid w:val="00534334"/>
    <w:rsid w:val="00534AFE"/>
    <w:rsid w:val="00535B56"/>
    <w:rsid w:val="00536AE0"/>
    <w:rsid w:val="00537648"/>
    <w:rsid w:val="00541583"/>
    <w:rsid w:val="00543553"/>
    <w:rsid w:val="005446AF"/>
    <w:rsid w:val="00545759"/>
    <w:rsid w:val="00545BF0"/>
    <w:rsid w:val="005510CA"/>
    <w:rsid w:val="00552DD9"/>
    <w:rsid w:val="005539AC"/>
    <w:rsid w:val="00554747"/>
    <w:rsid w:val="005547EB"/>
    <w:rsid w:val="005557C0"/>
    <w:rsid w:val="00563574"/>
    <w:rsid w:val="00565C9A"/>
    <w:rsid w:val="0056788F"/>
    <w:rsid w:val="00570BB1"/>
    <w:rsid w:val="0057153E"/>
    <w:rsid w:val="0057478E"/>
    <w:rsid w:val="00577A0C"/>
    <w:rsid w:val="00577A0F"/>
    <w:rsid w:val="00577CEE"/>
    <w:rsid w:val="00581E79"/>
    <w:rsid w:val="005821F0"/>
    <w:rsid w:val="005823B5"/>
    <w:rsid w:val="005826E5"/>
    <w:rsid w:val="00584EA7"/>
    <w:rsid w:val="00584FC6"/>
    <w:rsid w:val="00591AC4"/>
    <w:rsid w:val="0059329C"/>
    <w:rsid w:val="00594C3A"/>
    <w:rsid w:val="005952B3"/>
    <w:rsid w:val="005A02D5"/>
    <w:rsid w:val="005A2197"/>
    <w:rsid w:val="005A31A0"/>
    <w:rsid w:val="005B35E1"/>
    <w:rsid w:val="005C0839"/>
    <w:rsid w:val="005C1CC6"/>
    <w:rsid w:val="005C2437"/>
    <w:rsid w:val="005C2BE2"/>
    <w:rsid w:val="005C33C3"/>
    <w:rsid w:val="005C3E1B"/>
    <w:rsid w:val="005C5BCC"/>
    <w:rsid w:val="005C63B0"/>
    <w:rsid w:val="005C788B"/>
    <w:rsid w:val="005D3D47"/>
    <w:rsid w:val="005D4C95"/>
    <w:rsid w:val="005D4DF6"/>
    <w:rsid w:val="005D52D0"/>
    <w:rsid w:val="005D5EAE"/>
    <w:rsid w:val="005E1D01"/>
    <w:rsid w:val="005E3092"/>
    <w:rsid w:val="005E38CC"/>
    <w:rsid w:val="005E41DE"/>
    <w:rsid w:val="005E6963"/>
    <w:rsid w:val="005E6D53"/>
    <w:rsid w:val="005E71A7"/>
    <w:rsid w:val="005E7AC0"/>
    <w:rsid w:val="005E7D48"/>
    <w:rsid w:val="005F29FD"/>
    <w:rsid w:val="005F3A31"/>
    <w:rsid w:val="00600430"/>
    <w:rsid w:val="00603171"/>
    <w:rsid w:val="006036AD"/>
    <w:rsid w:val="00605847"/>
    <w:rsid w:val="00610A3F"/>
    <w:rsid w:val="0061117F"/>
    <w:rsid w:val="00613FFD"/>
    <w:rsid w:val="0061478B"/>
    <w:rsid w:val="00614FDF"/>
    <w:rsid w:val="006162F6"/>
    <w:rsid w:val="00617732"/>
    <w:rsid w:val="006231E2"/>
    <w:rsid w:val="006234B9"/>
    <w:rsid w:val="00624140"/>
    <w:rsid w:val="0062434C"/>
    <w:rsid w:val="00625A2F"/>
    <w:rsid w:val="00627251"/>
    <w:rsid w:val="006305BF"/>
    <w:rsid w:val="00630907"/>
    <w:rsid w:val="00631417"/>
    <w:rsid w:val="00632A3D"/>
    <w:rsid w:val="006339F8"/>
    <w:rsid w:val="00634118"/>
    <w:rsid w:val="00634C4D"/>
    <w:rsid w:val="0063524C"/>
    <w:rsid w:val="0063567A"/>
    <w:rsid w:val="006407DE"/>
    <w:rsid w:val="00640D3D"/>
    <w:rsid w:val="00640FFC"/>
    <w:rsid w:val="00641562"/>
    <w:rsid w:val="006416DF"/>
    <w:rsid w:val="00642FC5"/>
    <w:rsid w:val="00644238"/>
    <w:rsid w:val="0064612F"/>
    <w:rsid w:val="0065014E"/>
    <w:rsid w:val="0065106A"/>
    <w:rsid w:val="00651D40"/>
    <w:rsid w:val="00652C6D"/>
    <w:rsid w:val="0065416C"/>
    <w:rsid w:val="0065443E"/>
    <w:rsid w:val="0065453C"/>
    <w:rsid w:val="00654F86"/>
    <w:rsid w:val="006571B1"/>
    <w:rsid w:val="006574FF"/>
    <w:rsid w:val="00657781"/>
    <w:rsid w:val="006625BA"/>
    <w:rsid w:val="00664903"/>
    <w:rsid w:val="00665C39"/>
    <w:rsid w:val="00666CF3"/>
    <w:rsid w:val="006709A9"/>
    <w:rsid w:val="00670E85"/>
    <w:rsid w:val="00671367"/>
    <w:rsid w:val="00672671"/>
    <w:rsid w:val="006737C0"/>
    <w:rsid w:val="00675669"/>
    <w:rsid w:val="00676668"/>
    <w:rsid w:val="00676BF8"/>
    <w:rsid w:val="006775E5"/>
    <w:rsid w:val="006802A7"/>
    <w:rsid w:val="006830D2"/>
    <w:rsid w:val="006839A3"/>
    <w:rsid w:val="006844DE"/>
    <w:rsid w:val="00687C26"/>
    <w:rsid w:val="00691401"/>
    <w:rsid w:val="006921E1"/>
    <w:rsid w:val="0069283D"/>
    <w:rsid w:val="00693A92"/>
    <w:rsid w:val="0069462C"/>
    <w:rsid w:val="00696A2A"/>
    <w:rsid w:val="00696C0A"/>
    <w:rsid w:val="00697252"/>
    <w:rsid w:val="00697ECE"/>
    <w:rsid w:val="006A14A8"/>
    <w:rsid w:val="006A1C5F"/>
    <w:rsid w:val="006A28FB"/>
    <w:rsid w:val="006A50E3"/>
    <w:rsid w:val="006A599D"/>
    <w:rsid w:val="006A5FCF"/>
    <w:rsid w:val="006A6AE1"/>
    <w:rsid w:val="006A6DAA"/>
    <w:rsid w:val="006A7D6D"/>
    <w:rsid w:val="006B022A"/>
    <w:rsid w:val="006B2C28"/>
    <w:rsid w:val="006B3BE5"/>
    <w:rsid w:val="006C2A9F"/>
    <w:rsid w:val="006C30BB"/>
    <w:rsid w:val="006C3E12"/>
    <w:rsid w:val="006D2EF6"/>
    <w:rsid w:val="006D4338"/>
    <w:rsid w:val="006D4810"/>
    <w:rsid w:val="006D4C33"/>
    <w:rsid w:val="006D79C2"/>
    <w:rsid w:val="006E1BEE"/>
    <w:rsid w:val="006E1EB2"/>
    <w:rsid w:val="006E27A7"/>
    <w:rsid w:val="006E2D97"/>
    <w:rsid w:val="006E3EB5"/>
    <w:rsid w:val="006E457E"/>
    <w:rsid w:val="006E462F"/>
    <w:rsid w:val="006E60A4"/>
    <w:rsid w:val="006E6625"/>
    <w:rsid w:val="006E6A4C"/>
    <w:rsid w:val="006E7432"/>
    <w:rsid w:val="006E7C9E"/>
    <w:rsid w:val="006E7DD7"/>
    <w:rsid w:val="006F0C45"/>
    <w:rsid w:val="006F20B4"/>
    <w:rsid w:val="006F578A"/>
    <w:rsid w:val="006F7F5A"/>
    <w:rsid w:val="00700D68"/>
    <w:rsid w:val="0070234E"/>
    <w:rsid w:val="00704E88"/>
    <w:rsid w:val="00706859"/>
    <w:rsid w:val="007105DD"/>
    <w:rsid w:val="007156DB"/>
    <w:rsid w:val="00715CEC"/>
    <w:rsid w:val="00716611"/>
    <w:rsid w:val="007219F2"/>
    <w:rsid w:val="00723549"/>
    <w:rsid w:val="00724DFC"/>
    <w:rsid w:val="00725051"/>
    <w:rsid w:val="007257C4"/>
    <w:rsid w:val="00726E18"/>
    <w:rsid w:val="00726F3D"/>
    <w:rsid w:val="0072727D"/>
    <w:rsid w:val="00730691"/>
    <w:rsid w:val="007314E7"/>
    <w:rsid w:val="00736348"/>
    <w:rsid w:val="00737FF4"/>
    <w:rsid w:val="007400D7"/>
    <w:rsid w:val="00741D1B"/>
    <w:rsid w:val="00744809"/>
    <w:rsid w:val="007456B2"/>
    <w:rsid w:val="00745ABE"/>
    <w:rsid w:val="007469CC"/>
    <w:rsid w:val="00747131"/>
    <w:rsid w:val="00747ACF"/>
    <w:rsid w:val="00750F0D"/>
    <w:rsid w:val="00753085"/>
    <w:rsid w:val="007530B3"/>
    <w:rsid w:val="00755270"/>
    <w:rsid w:val="0076113F"/>
    <w:rsid w:val="007627BF"/>
    <w:rsid w:val="0076660F"/>
    <w:rsid w:val="00766F02"/>
    <w:rsid w:val="007717E0"/>
    <w:rsid w:val="00771ABF"/>
    <w:rsid w:val="0077376B"/>
    <w:rsid w:val="007738ED"/>
    <w:rsid w:val="007745CF"/>
    <w:rsid w:val="0077621C"/>
    <w:rsid w:val="00776A8C"/>
    <w:rsid w:val="0078003E"/>
    <w:rsid w:val="00780426"/>
    <w:rsid w:val="00781C41"/>
    <w:rsid w:val="007823D2"/>
    <w:rsid w:val="007847D6"/>
    <w:rsid w:val="007858A2"/>
    <w:rsid w:val="00785C8F"/>
    <w:rsid w:val="00790915"/>
    <w:rsid w:val="00792564"/>
    <w:rsid w:val="00793FAA"/>
    <w:rsid w:val="00794BF8"/>
    <w:rsid w:val="007A07AB"/>
    <w:rsid w:val="007A3796"/>
    <w:rsid w:val="007A3BFA"/>
    <w:rsid w:val="007A3C72"/>
    <w:rsid w:val="007A40E1"/>
    <w:rsid w:val="007A4EBA"/>
    <w:rsid w:val="007A6804"/>
    <w:rsid w:val="007B0C93"/>
    <w:rsid w:val="007B26D8"/>
    <w:rsid w:val="007B4267"/>
    <w:rsid w:val="007B4AD8"/>
    <w:rsid w:val="007B6435"/>
    <w:rsid w:val="007C090C"/>
    <w:rsid w:val="007C2A22"/>
    <w:rsid w:val="007C37AD"/>
    <w:rsid w:val="007C446F"/>
    <w:rsid w:val="007C5857"/>
    <w:rsid w:val="007C5CE2"/>
    <w:rsid w:val="007C6921"/>
    <w:rsid w:val="007C7388"/>
    <w:rsid w:val="007D21C3"/>
    <w:rsid w:val="007D2722"/>
    <w:rsid w:val="007E0416"/>
    <w:rsid w:val="007E0D14"/>
    <w:rsid w:val="007E3458"/>
    <w:rsid w:val="007E3C8D"/>
    <w:rsid w:val="007E73FC"/>
    <w:rsid w:val="007F0083"/>
    <w:rsid w:val="007F0A76"/>
    <w:rsid w:val="007F2C80"/>
    <w:rsid w:val="007F582D"/>
    <w:rsid w:val="007F5D76"/>
    <w:rsid w:val="007F7355"/>
    <w:rsid w:val="00802A45"/>
    <w:rsid w:val="00805888"/>
    <w:rsid w:val="008058CD"/>
    <w:rsid w:val="008075E1"/>
    <w:rsid w:val="008079F8"/>
    <w:rsid w:val="00811C77"/>
    <w:rsid w:val="008122F6"/>
    <w:rsid w:val="00812E52"/>
    <w:rsid w:val="00815809"/>
    <w:rsid w:val="00815CD1"/>
    <w:rsid w:val="008177B7"/>
    <w:rsid w:val="0082032C"/>
    <w:rsid w:val="008208D6"/>
    <w:rsid w:val="00820F03"/>
    <w:rsid w:val="00822850"/>
    <w:rsid w:val="00824F95"/>
    <w:rsid w:val="00827911"/>
    <w:rsid w:val="00830246"/>
    <w:rsid w:val="00831036"/>
    <w:rsid w:val="00831CEF"/>
    <w:rsid w:val="00833D8A"/>
    <w:rsid w:val="00835E66"/>
    <w:rsid w:val="00836115"/>
    <w:rsid w:val="00837BE8"/>
    <w:rsid w:val="008424EA"/>
    <w:rsid w:val="00842764"/>
    <w:rsid w:val="0084558D"/>
    <w:rsid w:val="00845A78"/>
    <w:rsid w:val="00845C56"/>
    <w:rsid w:val="008468AF"/>
    <w:rsid w:val="0085041B"/>
    <w:rsid w:val="008523F5"/>
    <w:rsid w:val="008525E9"/>
    <w:rsid w:val="008544BD"/>
    <w:rsid w:val="00855008"/>
    <w:rsid w:val="00855C33"/>
    <w:rsid w:val="00856B5A"/>
    <w:rsid w:val="0085791B"/>
    <w:rsid w:val="00861211"/>
    <w:rsid w:val="00861611"/>
    <w:rsid w:val="00861B92"/>
    <w:rsid w:val="008626EF"/>
    <w:rsid w:val="0086289C"/>
    <w:rsid w:val="0086303E"/>
    <w:rsid w:val="008632FD"/>
    <w:rsid w:val="00863DB3"/>
    <w:rsid w:val="00864446"/>
    <w:rsid w:val="00870441"/>
    <w:rsid w:val="00872CEF"/>
    <w:rsid w:val="0087605F"/>
    <w:rsid w:val="008765FA"/>
    <w:rsid w:val="008804B0"/>
    <w:rsid w:val="00880504"/>
    <w:rsid w:val="008814FB"/>
    <w:rsid w:val="00881EBD"/>
    <w:rsid w:val="00882562"/>
    <w:rsid w:val="00884E47"/>
    <w:rsid w:val="008863FC"/>
    <w:rsid w:val="0088730B"/>
    <w:rsid w:val="0088738A"/>
    <w:rsid w:val="00887E07"/>
    <w:rsid w:val="00891DF2"/>
    <w:rsid w:val="00895F0E"/>
    <w:rsid w:val="0089668C"/>
    <w:rsid w:val="00896D1D"/>
    <w:rsid w:val="00897FDD"/>
    <w:rsid w:val="008A1DD1"/>
    <w:rsid w:val="008A2A80"/>
    <w:rsid w:val="008A30D5"/>
    <w:rsid w:val="008A41BF"/>
    <w:rsid w:val="008A4D4D"/>
    <w:rsid w:val="008A4E2A"/>
    <w:rsid w:val="008A52F2"/>
    <w:rsid w:val="008A7705"/>
    <w:rsid w:val="008B1013"/>
    <w:rsid w:val="008B29C5"/>
    <w:rsid w:val="008B48AD"/>
    <w:rsid w:val="008B64F9"/>
    <w:rsid w:val="008C0CC6"/>
    <w:rsid w:val="008C1C53"/>
    <w:rsid w:val="008C32D0"/>
    <w:rsid w:val="008C40EE"/>
    <w:rsid w:val="008D140D"/>
    <w:rsid w:val="008D14F1"/>
    <w:rsid w:val="008D3360"/>
    <w:rsid w:val="008D38CE"/>
    <w:rsid w:val="008D3CF6"/>
    <w:rsid w:val="008E1917"/>
    <w:rsid w:val="008E33BF"/>
    <w:rsid w:val="008E6F1E"/>
    <w:rsid w:val="008E7651"/>
    <w:rsid w:val="008E7826"/>
    <w:rsid w:val="008F1D5C"/>
    <w:rsid w:val="008F1D7D"/>
    <w:rsid w:val="008F1FF0"/>
    <w:rsid w:val="008F30BB"/>
    <w:rsid w:val="008F3B36"/>
    <w:rsid w:val="008F522C"/>
    <w:rsid w:val="008F5E30"/>
    <w:rsid w:val="008F6FB7"/>
    <w:rsid w:val="008F7E42"/>
    <w:rsid w:val="0090200B"/>
    <w:rsid w:val="00903378"/>
    <w:rsid w:val="009053E6"/>
    <w:rsid w:val="00912F33"/>
    <w:rsid w:val="009138F7"/>
    <w:rsid w:val="00914D7F"/>
    <w:rsid w:val="00914EE9"/>
    <w:rsid w:val="00921E8A"/>
    <w:rsid w:val="00922538"/>
    <w:rsid w:val="00922CDB"/>
    <w:rsid w:val="00922FBF"/>
    <w:rsid w:val="0092565F"/>
    <w:rsid w:val="00926F60"/>
    <w:rsid w:val="0092738F"/>
    <w:rsid w:val="009314B4"/>
    <w:rsid w:val="0093158A"/>
    <w:rsid w:val="0093512A"/>
    <w:rsid w:val="0093606A"/>
    <w:rsid w:val="00936DF1"/>
    <w:rsid w:val="009401FE"/>
    <w:rsid w:val="00945D91"/>
    <w:rsid w:val="0094612B"/>
    <w:rsid w:val="009464AC"/>
    <w:rsid w:val="00947C3B"/>
    <w:rsid w:val="009509B2"/>
    <w:rsid w:val="00952079"/>
    <w:rsid w:val="00954D67"/>
    <w:rsid w:val="00955FDF"/>
    <w:rsid w:val="009610AD"/>
    <w:rsid w:val="00961481"/>
    <w:rsid w:val="0096472E"/>
    <w:rsid w:val="009663F4"/>
    <w:rsid w:val="00967A1E"/>
    <w:rsid w:val="00967BF7"/>
    <w:rsid w:val="00970DDD"/>
    <w:rsid w:val="0097265F"/>
    <w:rsid w:val="00972E1E"/>
    <w:rsid w:val="0097305A"/>
    <w:rsid w:val="00975A16"/>
    <w:rsid w:val="009765E7"/>
    <w:rsid w:val="00977490"/>
    <w:rsid w:val="00977966"/>
    <w:rsid w:val="00977E28"/>
    <w:rsid w:val="009827E5"/>
    <w:rsid w:val="00987375"/>
    <w:rsid w:val="00987D93"/>
    <w:rsid w:val="0099079A"/>
    <w:rsid w:val="00992871"/>
    <w:rsid w:val="00992ACF"/>
    <w:rsid w:val="00993E32"/>
    <w:rsid w:val="009945F4"/>
    <w:rsid w:val="00994911"/>
    <w:rsid w:val="00994E5C"/>
    <w:rsid w:val="00995D23"/>
    <w:rsid w:val="009A1236"/>
    <w:rsid w:val="009A539A"/>
    <w:rsid w:val="009A62A2"/>
    <w:rsid w:val="009B50F5"/>
    <w:rsid w:val="009B780D"/>
    <w:rsid w:val="009B7E0D"/>
    <w:rsid w:val="009C2DD0"/>
    <w:rsid w:val="009C3F9A"/>
    <w:rsid w:val="009C414D"/>
    <w:rsid w:val="009C63DB"/>
    <w:rsid w:val="009C6ABC"/>
    <w:rsid w:val="009C74EA"/>
    <w:rsid w:val="009D022D"/>
    <w:rsid w:val="009D2786"/>
    <w:rsid w:val="009D648B"/>
    <w:rsid w:val="009E30ED"/>
    <w:rsid w:val="009E39B2"/>
    <w:rsid w:val="009E4CFC"/>
    <w:rsid w:val="009E680B"/>
    <w:rsid w:val="009E76DE"/>
    <w:rsid w:val="009F13B0"/>
    <w:rsid w:val="009F1592"/>
    <w:rsid w:val="009F17D5"/>
    <w:rsid w:val="009F52BE"/>
    <w:rsid w:val="009F603E"/>
    <w:rsid w:val="009F787D"/>
    <w:rsid w:val="00A00F0C"/>
    <w:rsid w:val="00A020A8"/>
    <w:rsid w:val="00A02897"/>
    <w:rsid w:val="00A06721"/>
    <w:rsid w:val="00A10ED2"/>
    <w:rsid w:val="00A15A1F"/>
    <w:rsid w:val="00A22721"/>
    <w:rsid w:val="00A25F60"/>
    <w:rsid w:val="00A3325A"/>
    <w:rsid w:val="00A33BCB"/>
    <w:rsid w:val="00A36CA7"/>
    <w:rsid w:val="00A37D1B"/>
    <w:rsid w:val="00A4097F"/>
    <w:rsid w:val="00A41255"/>
    <w:rsid w:val="00A41641"/>
    <w:rsid w:val="00A416A5"/>
    <w:rsid w:val="00A417EC"/>
    <w:rsid w:val="00A42A76"/>
    <w:rsid w:val="00A43013"/>
    <w:rsid w:val="00A45E24"/>
    <w:rsid w:val="00A46F75"/>
    <w:rsid w:val="00A5119E"/>
    <w:rsid w:val="00A52B9D"/>
    <w:rsid w:val="00A54890"/>
    <w:rsid w:val="00A555F5"/>
    <w:rsid w:val="00A56687"/>
    <w:rsid w:val="00A566BE"/>
    <w:rsid w:val="00A6167B"/>
    <w:rsid w:val="00A61D00"/>
    <w:rsid w:val="00A63F57"/>
    <w:rsid w:val="00A65D31"/>
    <w:rsid w:val="00A663E1"/>
    <w:rsid w:val="00A70201"/>
    <w:rsid w:val="00A71EC2"/>
    <w:rsid w:val="00A81AA6"/>
    <w:rsid w:val="00A82003"/>
    <w:rsid w:val="00A83AFA"/>
    <w:rsid w:val="00A84D3C"/>
    <w:rsid w:val="00A85701"/>
    <w:rsid w:val="00A87458"/>
    <w:rsid w:val="00A904DA"/>
    <w:rsid w:val="00A92948"/>
    <w:rsid w:val="00A9386B"/>
    <w:rsid w:val="00A93CB0"/>
    <w:rsid w:val="00A93EC0"/>
    <w:rsid w:val="00A94106"/>
    <w:rsid w:val="00A94DF4"/>
    <w:rsid w:val="00AA021C"/>
    <w:rsid w:val="00AA041E"/>
    <w:rsid w:val="00AA5711"/>
    <w:rsid w:val="00AA5969"/>
    <w:rsid w:val="00AA6C11"/>
    <w:rsid w:val="00AA7014"/>
    <w:rsid w:val="00AB0998"/>
    <w:rsid w:val="00AB32E9"/>
    <w:rsid w:val="00AB4CB4"/>
    <w:rsid w:val="00AB655B"/>
    <w:rsid w:val="00AC0013"/>
    <w:rsid w:val="00AC1AB2"/>
    <w:rsid w:val="00AC31F0"/>
    <w:rsid w:val="00AC33DB"/>
    <w:rsid w:val="00AC3453"/>
    <w:rsid w:val="00AC5003"/>
    <w:rsid w:val="00AC58BB"/>
    <w:rsid w:val="00AC5E49"/>
    <w:rsid w:val="00AD1A11"/>
    <w:rsid w:val="00AD1A9F"/>
    <w:rsid w:val="00AD25B1"/>
    <w:rsid w:val="00AD3B77"/>
    <w:rsid w:val="00AE099B"/>
    <w:rsid w:val="00AE7468"/>
    <w:rsid w:val="00AF079C"/>
    <w:rsid w:val="00AF108A"/>
    <w:rsid w:val="00AF1587"/>
    <w:rsid w:val="00AF1EC4"/>
    <w:rsid w:val="00AF5A96"/>
    <w:rsid w:val="00AF5E2F"/>
    <w:rsid w:val="00B00341"/>
    <w:rsid w:val="00B01B86"/>
    <w:rsid w:val="00B025DA"/>
    <w:rsid w:val="00B02E55"/>
    <w:rsid w:val="00B03173"/>
    <w:rsid w:val="00B036C1"/>
    <w:rsid w:val="00B05FDC"/>
    <w:rsid w:val="00B07190"/>
    <w:rsid w:val="00B107B2"/>
    <w:rsid w:val="00B114A2"/>
    <w:rsid w:val="00B14F16"/>
    <w:rsid w:val="00B153D2"/>
    <w:rsid w:val="00B177AE"/>
    <w:rsid w:val="00B21858"/>
    <w:rsid w:val="00B22B58"/>
    <w:rsid w:val="00B22BE7"/>
    <w:rsid w:val="00B22E8A"/>
    <w:rsid w:val="00B23AAD"/>
    <w:rsid w:val="00B27361"/>
    <w:rsid w:val="00B31D7A"/>
    <w:rsid w:val="00B35F18"/>
    <w:rsid w:val="00B364C3"/>
    <w:rsid w:val="00B42B81"/>
    <w:rsid w:val="00B43B67"/>
    <w:rsid w:val="00B43F24"/>
    <w:rsid w:val="00B455B8"/>
    <w:rsid w:val="00B52832"/>
    <w:rsid w:val="00B5431F"/>
    <w:rsid w:val="00B56099"/>
    <w:rsid w:val="00B56453"/>
    <w:rsid w:val="00B6276C"/>
    <w:rsid w:val="00B64FFA"/>
    <w:rsid w:val="00B6505A"/>
    <w:rsid w:val="00B65A11"/>
    <w:rsid w:val="00B66BB5"/>
    <w:rsid w:val="00B70CA8"/>
    <w:rsid w:val="00B733B6"/>
    <w:rsid w:val="00B73558"/>
    <w:rsid w:val="00B75946"/>
    <w:rsid w:val="00B75F14"/>
    <w:rsid w:val="00B809AA"/>
    <w:rsid w:val="00B8167D"/>
    <w:rsid w:val="00B817B3"/>
    <w:rsid w:val="00B8208D"/>
    <w:rsid w:val="00B8314D"/>
    <w:rsid w:val="00B84746"/>
    <w:rsid w:val="00B85741"/>
    <w:rsid w:val="00B86ADE"/>
    <w:rsid w:val="00B93164"/>
    <w:rsid w:val="00B93EF7"/>
    <w:rsid w:val="00B940A7"/>
    <w:rsid w:val="00B94FD6"/>
    <w:rsid w:val="00B9582A"/>
    <w:rsid w:val="00B96CCA"/>
    <w:rsid w:val="00B96F73"/>
    <w:rsid w:val="00BA12FF"/>
    <w:rsid w:val="00BA2267"/>
    <w:rsid w:val="00BB28E2"/>
    <w:rsid w:val="00BB5F94"/>
    <w:rsid w:val="00BB79DF"/>
    <w:rsid w:val="00BC0340"/>
    <w:rsid w:val="00BC04DB"/>
    <w:rsid w:val="00BC184B"/>
    <w:rsid w:val="00BC2D7E"/>
    <w:rsid w:val="00BC4BC6"/>
    <w:rsid w:val="00BD4464"/>
    <w:rsid w:val="00BD44F4"/>
    <w:rsid w:val="00BD513B"/>
    <w:rsid w:val="00BD7E83"/>
    <w:rsid w:val="00BE1283"/>
    <w:rsid w:val="00BE33DA"/>
    <w:rsid w:val="00BE35F4"/>
    <w:rsid w:val="00BE5BD1"/>
    <w:rsid w:val="00BE7788"/>
    <w:rsid w:val="00BF2F48"/>
    <w:rsid w:val="00BF3D18"/>
    <w:rsid w:val="00BF3E96"/>
    <w:rsid w:val="00BF5868"/>
    <w:rsid w:val="00BF5BFD"/>
    <w:rsid w:val="00BF6EB2"/>
    <w:rsid w:val="00BF6F58"/>
    <w:rsid w:val="00BF781C"/>
    <w:rsid w:val="00BF7FE0"/>
    <w:rsid w:val="00C01F28"/>
    <w:rsid w:val="00C021C9"/>
    <w:rsid w:val="00C03B46"/>
    <w:rsid w:val="00C03CF9"/>
    <w:rsid w:val="00C0419D"/>
    <w:rsid w:val="00C0555A"/>
    <w:rsid w:val="00C06962"/>
    <w:rsid w:val="00C10C2F"/>
    <w:rsid w:val="00C11642"/>
    <w:rsid w:val="00C118BD"/>
    <w:rsid w:val="00C15556"/>
    <w:rsid w:val="00C23334"/>
    <w:rsid w:val="00C251DC"/>
    <w:rsid w:val="00C2674C"/>
    <w:rsid w:val="00C2678C"/>
    <w:rsid w:val="00C3496C"/>
    <w:rsid w:val="00C356BA"/>
    <w:rsid w:val="00C36044"/>
    <w:rsid w:val="00C3653C"/>
    <w:rsid w:val="00C40FA3"/>
    <w:rsid w:val="00C41A0D"/>
    <w:rsid w:val="00C442FA"/>
    <w:rsid w:val="00C4442A"/>
    <w:rsid w:val="00C4497C"/>
    <w:rsid w:val="00C55D41"/>
    <w:rsid w:val="00C61714"/>
    <w:rsid w:val="00C620B5"/>
    <w:rsid w:val="00C66CE2"/>
    <w:rsid w:val="00C675AE"/>
    <w:rsid w:val="00C70046"/>
    <w:rsid w:val="00C70F32"/>
    <w:rsid w:val="00C71C93"/>
    <w:rsid w:val="00C7206D"/>
    <w:rsid w:val="00C72513"/>
    <w:rsid w:val="00C75AEB"/>
    <w:rsid w:val="00C77C66"/>
    <w:rsid w:val="00C80DDC"/>
    <w:rsid w:val="00C8184C"/>
    <w:rsid w:val="00C81F4D"/>
    <w:rsid w:val="00C82288"/>
    <w:rsid w:val="00C82AEA"/>
    <w:rsid w:val="00C839F2"/>
    <w:rsid w:val="00C851A5"/>
    <w:rsid w:val="00C85682"/>
    <w:rsid w:val="00C91F21"/>
    <w:rsid w:val="00C95884"/>
    <w:rsid w:val="00C96411"/>
    <w:rsid w:val="00CA0508"/>
    <w:rsid w:val="00CA06B9"/>
    <w:rsid w:val="00CA36FB"/>
    <w:rsid w:val="00CA5B79"/>
    <w:rsid w:val="00CA5CEF"/>
    <w:rsid w:val="00CA6855"/>
    <w:rsid w:val="00CA73F1"/>
    <w:rsid w:val="00CA74E9"/>
    <w:rsid w:val="00CB2369"/>
    <w:rsid w:val="00CB333A"/>
    <w:rsid w:val="00CB3652"/>
    <w:rsid w:val="00CB45B6"/>
    <w:rsid w:val="00CB50EF"/>
    <w:rsid w:val="00CB5887"/>
    <w:rsid w:val="00CC0073"/>
    <w:rsid w:val="00CC07FF"/>
    <w:rsid w:val="00CC1751"/>
    <w:rsid w:val="00CC2010"/>
    <w:rsid w:val="00CC35C7"/>
    <w:rsid w:val="00CC4A1B"/>
    <w:rsid w:val="00CD14A6"/>
    <w:rsid w:val="00CD235B"/>
    <w:rsid w:val="00CD380E"/>
    <w:rsid w:val="00CD4858"/>
    <w:rsid w:val="00CD5377"/>
    <w:rsid w:val="00CD648E"/>
    <w:rsid w:val="00CE0586"/>
    <w:rsid w:val="00CE10B2"/>
    <w:rsid w:val="00CE25DA"/>
    <w:rsid w:val="00CE2607"/>
    <w:rsid w:val="00CE305F"/>
    <w:rsid w:val="00CE5C11"/>
    <w:rsid w:val="00CF1395"/>
    <w:rsid w:val="00CF1426"/>
    <w:rsid w:val="00CF289B"/>
    <w:rsid w:val="00CF2E5C"/>
    <w:rsid w:val="00CF46BC"/>
    <w:rsid w:val="00CF58B7"/>
    <w:rsid w:val="00CF6619"/>
    <w:rsid w:val="00CF7DC1"/>
    <w:rsid w:val="00D017C6"/>
    <w:rsid w:val="00D0180E"/>
    <w:rsid w:val="00D02A8F"/>
    <w:rsid w:val="00D0365F"/>
    <w:rsid w:val="00D03792"/>
    <w:rsid w:val="00D04971"/>
    <w:rsid w:val="00D04A39"/>
    <w:rsid w:val="00D07B54"/>
    <w:rsid w:val="00D10715"/>
    <w:rsid w:val="00D11435"/>
    <w:rsid w:val="00D13D9A"/>
    <w:rsid w:val="00D14939"/>
    <w:rsid w:val="00D15BD8"/>
    <w:rsid w:val="00D1699D"/>
    <w:rsid w:val="00D17720"/>
    <w:rsid w:val="00D2078C"/>
    <w:rsid w:val="00D22B58"/>
    <w:rsid w:val="00D27742"/>
    <w:rsid w:val="00D351C1"/>
    <w:rsid w:val="00D35357"/>
    <w:rsid w:val="00D35EFB"/>
    <w:rsid w:val="00D3723D"/>
    <w:rsid w:val="00D47D55"/>
    <w:rsid w:val="00D504B3"/>
    <w:rsid w:val="00D506D9"/>
    <w:rsid w:val="00D51B61"/>
    <w:rsid w:val="00D53F58"/>
    <w:rsid w:val="00D54D90"/>
    <w:rsid w:val="00D602BC"/>
    <w:rsid w:val="00D624E2"/>
    <w:rsid w:val="00D63B41"/>
    <w:rsid w:val="00D6703C"/>
    <w:rsid w:val="00D7081B"/>
    <w:rsid w:val="00D70875"/>
    <w:rsid w:val="00D7356A"/>
    <w:rsid w:val="00D759D9"/>
    <w:rsid w:val="00D75C71"/>
    <w:rsid w:val="00D76986"/>
    <w:rsid w:val="00D81DA8"/>
    <w:rsid w:val="00D8235C"/>
    <w:rsid w:val="00D82DF7"/>
    <w:rsid w:val="00D84B64"/>
    <w:rsid w:val="00D85AB8"/>
    <w:rsid w:val="00D85D88"/>
    <w:rsid w:val="00D86BF0"/>
    <w:rsid w:val="00D93F24"/>
    <w:rsid w:val="00D94736"/>
    <w:rsid w:val="00D9679E"/>
    <w:rsid w:val="00DA02F6"/>
    <w:rsid w:val="00DA072C"/>
    <w:rsid w:val="00DA0964"/>
    <w:rsid w:val="00DA2133"/>
    <w:rsid w:val="00DA2513"/>
    <w:rsid w:val="00DA342B"/>
    <w:rsid w:val="00DA3E84"/>
    <w:rsid w:val="00DA4C2F"/>
    <w:rsid w:val="00DA5420"/>
    <w:rsid w:val="00DA632C"/>
    <w:rsid w:val="00DB2161"/>
    <w:rsid w:val="00DB61FA"/>
    <w:rsid w:val="00DB7AF2"/>
    <w:rsid w:val="00DB7BE5"/>
    <w:rsid w:val="00DC12BA"/>
    <w:rsid w:val="00DC4E10"/>
    <w:rsid w:val="00DC544A"/>
    <w:rsid w:val="00DC5EE1"/>
    <w:rsid w:val="00DC6287"/>
    <w:rsid w:val="00DC7922"/>
    <w:rsid w:val="00DC7D08"/>
    <w:rsid w:val="00DD3270"/>
    <w:rsid w:val="00DD3E7A"/>
    <w:rsid w:val="00DD7966"/>
    <w:rsid w:val="00DE14F1"/>
    <w:rsid w:val="00DE32E4"/>
    <w:rsid w:val="00DE4611"/>
    <w:rsid w:val="00DE5DA6"/>
    <w:rsid w:val="00DE5FCC"/>
    <w:rsid w:val="00DE6E9D"/>
    <w:rsid w:val="00DF212E"/>
    <w:rsid w:val="00DF38AE"/>
    <w:rsid w:val="00DF409D"/>
    <w:rsid w:val="00DF7B56"/>
    <w:rsid w:val="00DF7E78"/>
    <w:rsid w:val="00E025C5"/>
    <w:rsid w:val="00E03341"/>
    <w:rsid w:val="00E03ABF"/>
    <w:rsid w:val="00E05532"/>
    <w:rsid w:val="00E066EF"/>
    <w:rsid w:val="00E06EC3"/>
    <w:rsid w:val="00E10D9E"/>
    <w:rsid w:val="00E1120D"/>
    <w:rsid w:val="00E12B04"/>
    <w:rsid w:val="00E1309C"/>
    <w:rsid w:val="00E13BCB"/>
    <w:rsid w:val="00E15E80"/>
    <w:rsid w:val="00E23634"/>
    <w:rsid w:val="00E243E7"/>
    <w:rsid w:val="00E2599D"/>
    <w:rsid w:val="00E33191"/>
    <w:rsid w:val="00E332E4"/>
    <w:rsid w:val="00E3633A"/>
    <w:rsid w:val="00E452C2"/>
    <w:rsid w:val="00E51079"/>
    <w:rsid w:val="00E51920"/>
    <w:rsid w:val="00E54112"/>
    <w:rsid w:val="00E54FB7"/>
    <w:rsid w:val="00E5529F"/>
    <w:rsid w:val="00E5585A"/>
    <w:rsid w:val="00E559BB"/>
    <w:rsid w:val="00E567FC"/>
    <w:rsid w:val="00E568A9"/>
    <w:rsid w:val="00E56B81"/>
    <w:rsid w:val="00E57AE6"/>
    <w:rsid w:val="00E6060F"/>
    <w:rsid w:val="00E64120"/>
    <w:rsid w:val="00E64662"/>
    <w:rsid w:val="00E6556F"/>
    <w:rsid w:val="00E660A1"/>
    <w:rsid w:val="00E717F5"/>
    <w:rsid w:val="00E719C1"/>
    <w:rsid w:val="00E71B87"/>
    <w:rsid w:val="00E72AE9"/>
    <w:rsid w:val="00E73368"/>
    <w:rsid w:val="00E73EDD"/>
    <w:rsid w:val="00E7415F"/>
    <w:rsid w:val="00E741E9"/>
    <w:rsid w:val="00E745BD"/>
    <w:rsid w:val="00E75392"/>
    <w:rsid w:val="00E770D6"/>
    <w:rsid w:val="00E776B6"/>
    <w:rsid w:val="00E77A3E"/>
    <w:rsid w:val="00E8134D"/>
    <w:rsid w:val="00E81405"/>
    <w:rsid w:val="00E81865"/>
    <w:rsid w:val="00E82FCB"/>
    <w:rsid w:val="00E83EDF"/>
    <w:rsid w:val="00E84D54"/>
    <w:rsid w:val="00E851C4"/>
    <w:rsid w:val="00E85EF7"/>
    <w:rsid w:val="00E86A19"/>
    <w:rsid w:val="00E86F2C"/>
    <w:rsid w:val="00E95B8B"/>
    <w:rsid w:val="00EA0353"/>
    <w:rsid w:val="00EA3CB5"/>
    <w:rsid w:val="00EA5237"/>
    <w:rsid w:val="00EA5EC7"/>
    <w:rsid w:val="00EA63A1"/>
    <w:rsid w:val="00EA7BAC"/>
    <w:rsid w:val="00EB096F"/>
    <w:rsid w:val="00EB0C98"/>
    <w:rsid w:val="00EB0E59"/>
    <w:rsid w:val="00EB1F29"/>
    <w:rsid w:val="00EB244C"/>
    <w:rsid w:val="00EB2D61"/>
    <w:rsid w:val="00EB3BF3"/>
    <w:rsid w:val="00EB4887"/>
    <w:rsid w:val="00EB4A20"/>
    <w:rsid w:val="00EB7463"/>
    <w:rsid w:val="00EC0461"/>
    <w:rsid w:val="00EC27FA"/>
    <w:rsid w:val="00EC35E1"/>
    <w:rsid w:val="00EC3A20"/>
    <w:rsid w:val="00EC49CE"/>
    <w:rsid w:val="00ED29D0"/>
    <w:rsid w:val="00ED372D"/>
    <w:rsid w:val="00ED42C3"/>
    <w:rsid w:val="00ED5662"/>
    <w:rsid w:val="00ED5A6D"/>
    <w:rsid w:val="00ED7093"/>
    <w:rsid w:val="00ED70A0"/>
    <w:rsid w:val="00EE0BBC"/>
    <w:rsid w:val="00EE1B3C"/>
    <w:rsid w:val="00EE2159"/>
    <w:rsid w:val="00EE26BE"/>
    <w:rsid w:val="00EE492E"/>
    <w:rsid w:val="00EE4A96"/>
    <w:rsid w:val="00EE61B6"/>
    <w:rsid w:val="00EF04BA"/>
    <w:rsid w:val="00EF0A29"/>
    <w:rsid w:val="00EF284B"/>
    <w:rsid w:val="00EF2E6C"/>
    <w:rsid w:val="00EF5F2D"/>
    <w:rsid w:val="00EF7B96"/>
    <w:rsid w:val="00F011DD"/>
    <w:rsid w:val="00F01F44"/>
    <w:rsid w:val="00F0250A"/>
    <w:rsid w:val="00F02C2D"/>
    <w:rsid w:val="00F04075"/>
    <w:rsid w:val="00F055F1"/>
    <w:rsid w:val="00F05BC6"/>
    <w:rsid w:val="00F06773"/>
    <w:rsid w:val="00F07370"/>
    <w:rsid w:val="00F10EA7"/>
    <w:rsid w:val="00F11A56"/>
    <w:rsid w:val="00F1368D"/>
    <w:rsid w:val="00F14220"/>
    <w:rsid w:val="00F1460F"/>
    <w:rsid w:val="00F14A4E"/>
    <w:rsid w:val="00F16BF6"/>
    <w:rsid w:val="00F214DB"/>
    <w:rsid w:val="00F21B70"/>
    <w:rsid w:val="00F23470"/>
    <w:rsid w:val="00F24DEB"/>
    <w:rsid w:val="00F26713"/>
    <w:rsid w:val="00F30DC6"/>
    <w:rsid w:val="00F3266E"/>
    <w:rsid w:val="00F33D10"/>
    <w:rsid w:val="00F33EFC"/>
    <w:rsid w:val="00F34134"/>
    <w:rsid w:val="00F41A16"/>
    <w:rsid w:val="00F4214E"/>
    <w:rsid w:val="00F42B5E"/>
    <w:rsid w:val="00F43196"/>
    <w:rsid w:val="00F470D8"/>
    <w:rsid w:val="00F53822"/>
    <w:rsid w:val="00F53CFA"/>
    <w:rsid w:val="00F54968"/>
    <w:rsid w:val="00F549D0"/>
    <w:rsid w:val="00F56415"/>
    <w:rsid w:val="00F57F5A"/>
    <w:rsid w:val="00F610AF"/>
    <w:rsid w:val="00F668E0"/>
    <w:rsid w:val="00F7067A"/>
    <w:rsid w:val="00F70869"/>
    <w:rsid w:val="00F7269B"/>
    <w:rsid w:val="00F7302B"/>
    <w:rsid w:val="00F75A35"/>
    <w:rsid w:val="00F76B85"/>
    <w:rsid w:val="00F7731D"/>
    <w:rsid w:val="00F77FE2"/>
    <w:rsid w:val="00F832E2"/>
    <w:rsid w:val="00F84A27"/>
    <w:rsid w:val="00F86B97"/>
    <w:rsid w:val="00F8735F"/>
    <w:rsid w:val="00F90858"/>
    <w:rsid w:val="00F91D43"/>
    <w:rsid w:val="00F9205A"/>
    <w:rsid w:val="00F935F7"/>
    <w:rsid w:val="00F9379E"/>
    <w:rsid w:val="00F9383B"/>
    <w:rsid w:val="00F939CB"/>
    <w:rsid w:val="00F93DBB"/>
    <w:rsid w:val="00F93F21"/>
    <w:rsid w:val="00FA0373"/>
    <w:rsid w:val="00FA1903"/>
    <w:rsid w:val="00FA1DE0"/>
    <w:rsid w:val="00FA2C5A"/>
    <w:rsid w:val="00FA754C"/>
    <w:rsid w:val="00FA7947"/>
    <w:rsid w:val="00FB0084"/>
    <w:rsid w:val="00FB3CA8"/>
    <w:rsid w:val="00FB49BA"/>
    <w:rsid w:val="00FB73B7"/>
    <w:rsid w:val="00FC0AAE"/>
    <w:rsid w:val="00FC1558"/>
    <w:rsid w:val="00FC2D11"/>
    <w:rsid w:val="00FC38EE"/>
    <w:rsid w:val="00FC4DA4"/>
    <w:rsid w:val="00FC5B34"/>
    <w:rsid w:val="00FC6230"/>
    <w:rsid w:val="00FC66C3"/>
    <w:rsid w:val="00FC6E2C"/>
    <w:rsid w:val="00FC7FB1"/>
    <w:rsid w:val="00FD3150"/>
    <w:rsid w:val="00FD3AB6"/>
    <w:rsid w:val="00FD3BF3"/>
    <w:rsid w:val="00FD451E"/>
    <w:rsid w:val="00FD47B4"/>
    <w:rsid w:val="00FD6C40"/>
    <w:rsid w:val="00FD6FBF"/>
    <w:rsid w:val="00FD7759"/>
    <w:rsid w:val="00FE1DDE"/>
    <w:rsid w:val="00FE453C"/>
    <w:rsid w:val="00FE4637"/>
    <w:rsid w:val="00FE467B"/>
    <w:rsid w:val="00FE55D2"/>
    <w:rsid w:val="00FE60D3"/>
    <w:rsid w:val="00FE6B31"/>
    <w:rsid w:val="00FE759C"/>
    <w:rsid w:val="00FF0B97"/>
    <w:rsid w:val="00FF252B"/>
    <w:rsid w:val="00FF3235"/>
    <w:rsid w:val="00FF3D2D"/>
    <w:rsid w:val="00FF53FD"/>
    <w:rsid w:val="00FF61E7"/>
    <w:rsid w:val="01453781"/>
    <w:rsid w:val="01A149C0"/>
    <w:rsid w:val="02365453"/>
    <w:rsid w:val="04674AFA"/>
    <w:rsid w:val="04EF4191"/>
    <w:rsid w:val="051EF4F5"/>
    <w:rsid w:val="06A52601"/>
    <w:rsid w:val="081B0BAA"/>
    <w:rsid w:val="095528BD"/>
    <w:rsid w:val="0AD2D555"/>
    <w:rsid w:val="0B04F3EB"/>
    <w:rsid w:val="0C8DDB1F"/>
    <w:rsid w:val="0D27473E"/>
    <w:rsid w:val="0D5AC02F"/>
    <w:rsid w:val="0D91765D"/>
    <w:rsid w:val="0E4BA265"/>
    <w:rsid w:val="10AB1DE4"/>
    <w:rsid w:val="11AB5395"/>
    <w:rsid w:val="12A6F317"/>
    <w:rsid w:val="12ADDAF3"/>
    <w:rsid w:val="167CBCA7"/>
    <w:rsid w:val="1950D7BC"/>
    <w:rsid w:val="19774A4F"/>
    <w:rsid w:val="197B1A36"/>
    <w:rsid w:val="197BC498"/>
    <w:rsid w:val="1AECA81D"/>
    <w:rsid w:val="1C2B4F4F"/>
    <w:rsid w:val="1C88787E"/>
    <w:rsid w:val="1CA580C6"/>
    <w:rsid w:val="1D54FF6B"/>
    <w:rsid w:val="1ED6F79D"/>
    <w:rsid w:val="205137A1"/>
    <w:rsid w:val="2175636D"/>
    <w:rsid w:val="2523CEAD"/>
    <w:rsid w:val="253FBFEC"/>
    <w:rsid w:val="259C6A6C"/>
    <w:rsid w:val="25F49284"/>
    <w:rsid w:val="26100C44"/>
    <w:rsid w:val="26BF9F0E"/>
    <w:rsid w:val="26F77383"/>
    <w:rsid w:val="26FCDE69"/>
    <w:rsid w:val="2704E292"/>
    <w:rsid w:val="27630944"/>
    <w:rsid w:val="27A7CBCF"/>
    <w:rsid w:val="27ABDCA5"/>
    <w:rsid w:val="27B69203"/>
    <w:rsid w:val="299642DC"/>
    <w:rsid w:val="29A13234"/>
    <w:rsid w:val="29F73FD0"/>
    <w:rsid w:val="2B1A0A96"/>
    <w:rsid w:val="2B931031"/>
    <w:rsid w:val="2BC96EC6"/>
    <w:rsid w:val="2C06F566"/>
    <w:rsid w:val="2D98717D"/>
    <w:rsid w:val="3085AE85"/>
    <w:rsid w:val="30AAB17D"/>
    <w:rsid w:val="3392959B"/>
    <w:rsid w:val="348D6195"/>
    <w:rsid w:val="34BDEA88"/>
    <w:rsid w:val="36A62176"/>
    <w:rsid w:val="36B5857F"/>
    <w:rsid w:val="37F06CFE"/>
    <w:rsid w:val="38F019E0"/>
    <w:rsid w:val="39E993E7"/>
    <w:rsid w:val="3ADB1FFE"/>
    <w:rsid w:val="3AFF0B67"/>
    <w:rsid w:val="3B118447"/>
    <w:rsid w:val="3DFFF78B"/>
    <w:rsid w:val="3EBB115A"/>
    <w:rsid w:val="3FAAC695"/>
    <w:rsid w:val="40471A9B"/>
    <w:rsid w:val="41573FB4"/>
    <w:rsid w:val="42753707"/>
    <w:rsid w:val="445DA31A"/>
    <w:rsid w:val="45A25A13"/>
    <w:rsid w:val="462AB0D7"/>
    <w:rsid w:val="464F8B9A"/>
    <w:rsid w:val="46722B29"/>
    <w:rsid w:val="47A2A68E"/>
    <w:rsid w:val="48AED26C"/>
    <w:rsid w:val="49EEB023"/>
    <w:rsid w:val="4AA46646"/>
    <w:rsid w:val="4AEB76AF"/>
    <w:rsid w:val="4C119B97"/>
    <w:rsid w:val="4C37E5CF"/>
    <w:rsid w:val="4DAD6BF8"/>
    <w:rsid w:val="4F39D872"/>
    <w:rsid w:val="4F3FB2BF"/>
    <w:rsid w:val="50806052"/>
    <w:rsid w:val="50F1F330"/>
    <w:rsid w:val="5204F722"/>
    <w:rsid w:val="53270E87"/>
    <w:rsid w:val="58D277C8"/>
    <w:rsid w:val="58E932B6"/>
    <w:rsid w:val="592C4B90"/>
    <w:rsid w:val="59300368"/>
    <w:rsid w:val="5936AC4B"/>
    <w:rsid w:val="5A537823"/>
    <w:rsid w:val="5ADFDFE3"/>
    <w:rsid w:val="5B947DF9"/>
    <w:rsid w:val="5BD931CA"/>
    <w:rsid w:val="5CB803AB"/>
    <w:rsid w:val="5CC86F6A"/>
    <w:rsid w:val="5DD8AEA6"/>
    <w:rsid w:val="5E261F86"/>
    <w:rsid w:val="5E798A5F"/>
    <w:rsid w:val="5EC193F9"/>
    <w:rsid w:val="5F0E32E5"/>
    <w:rsid w:val="5FEFA46D"/>
    <w:rsid w:val="6066787B"/>
    <w:rsid w:val="60FD7502"/>
    <w:rsid w:val="6117EF4E"/>
    <w:rsid w:val="61672D7E"/>
    <w:rsid w:val="61D41124"/>
    <w:rsid w:val="64D00A47"/>
    <w:rsid w:val="6758E840"/>
    <w:rsid w:val="6910AD38"/>
    <w:rsid w:val="69199229"/>
    <w:rsid w:val="6AB3B86C"/>
    <w:rsid w:val="6B59B6D1"/>
    <w:rsid w:val="6B5B94A1"/>
    <w:rsid w:val="6C8912E6"/>
    <w:rsid w:val="6D82ED7A"/>
    <w:rsid w:val="6FA9A750"/>
    <w:rsid w:val="6FED4026"/>
    <w:rsid w:val="7063392E"/>
    <w:rsid w:val="706F363C"/>
    <w:rsid w:val="72680855"/>
    <w:rsid w:val="72D085F9"/>
    <w:rsid w:val="731197A1"/>
    <w:rsid w:val="74C1611F"/>
    <w:rsid w:val="770B4130"/>
    <w:rsid w:val="773F42B3"/>
    <w:rsid w:val="774FA451"/>
    <w:rsid w:val="77603F94"/>
    <w:rsid w:val="7799CE02"/>
    <w:rsid w:val="792149D2"/>
    <w:rsid w:val="7AD645AD"/>
    <w:rsid w:val="7DFDF7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qFormat="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45B6"/>
    <w:rPr>
      <w:sz w:val="24"/>
      <w:szCs w:val="24"/>
      <w:lang w:eastAsia="en-US"/>
    </w:rPr>
  </w:style>
  <w:style w:type="paragraph" w:styleId="Heading1">
    <w:name w:val="heading 1"/>
    <w:basedOn w:val="Normal"/>
    <w:next w:val="NICEnormal"/>
    <w:link w:val="Heading1Char"/>
    <w:qFormat/>
    <w:rsid w:val="003D755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D7555"/>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3D7555"/>
    <w:pPr>
      <w:keepNext/>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3D7555"/>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3D7555"/>
    <w:pPr>
      <w:numPr>
        <w:numId w:val="45"/>
      </w:numPr>
      <w:tabs>
        <w:tab w:val="num" w:pos="360"/>
        <w:tab w:val="left" w:pos="426"/>
      </w:tabs>
      <w:spacing w:after="240" w:line="360" w:lineRule="auto"/>
    </w:pPr>
    <w:rPr>
      <w:rFonts w:ascii="Arial" w:hAnsi="Arial"/>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3D7555"/>
    <w:rPr>
      <w:rFonts w:ascii="Arial" w:hAnsi="Arial" w:cs="Arial"/>
      <w:b/>
      <w:bCs/>
      <w:kern w:val="32"/>
      <w:sz w:val="32"/>
      <w:szCs w:val="32"/>
      <w:lang w:eastAsia="en-US"/>
    </w:rPr>
  </w:style>
  <w:style w:type="paragraph" w:customStyle="1" w:styleId="Bullets">
    <w:name w:val="Bullets"/>
    <w:basedOn w:val="Normal"/>
    <w:uiPriority w:val="5"/>
    <w:qFormat/>
    <w:rsid w:val="003D7555"/>
    <w:pPr>
      <w:spacing w:after="120" w:line="276" w:lineRule="auto"/>
      <w:ind w:left="1134" w:hanging="454"/>
    </w:pPr>
    <w:rPr>
      <w:rFonts w:ascii="Arial" w:hAnsi="Arial"/>
      <w:lang w:eastAsia="en-GB"/>
    </w:rPr>
  </w:style>
  <w:style w:type="paragraph" w:styleId="Header">
    <w:name w:val="header"/>
    <w:basedOn w:val="NICEnormalsinglespacing"/>
    <w:link w:val="HeaderChar"/>
    <w:rsid w:val="003D7555"/>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3D7555"/>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3D7555"/>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lang w:eastAsia="en-US"/>
    </w:rPr>
  </w:style>
  <w:style w:type="character" w:customStyle="1" w:styleId="Heading2Char">
    <w:name w:val="Heading 2 Char"/>
    <w:link w:val="Heading2"/>
    <w:rsid w:val="003D7555"/>
    <w:rPr>
      <w:rFonts w:ascii="Arial" w:hAnsi="Arial" w:cs="Arial"/>
      <w:b/>
      <w:bCs/>
      <w:sz w:val="28"/>
      <w:szCs w:val="28"/>
      <w:lang w:eastAsia="en-US"/>
    </w:rPr>
  </w:style>
  <w:style w:type="character" w:customStyle="1" w:styleId="Heading3Char">
    <w:name w:val="Heading 3 Char"/>
    <w:basedOn w:val="DefaultParagraphFont"/>
    <w:link w:val="Heading3"/>
    <w:rsid w:val="003D7555"/>
    <w:rPr>
      <w:rFonts w:ascii="Arial" w:hAnsi="Arial" w:cs="Arial"/>
      <w:b/>
      <w:bCs/>
      <w:sz w:val="26"/>
      <w:szCs w:val="26"/>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rPr>
  </w:style>
  <w:style w:type="paragraph" w:styleId="TOC1">
    <w:name w:val="toc 1"/>
    <w:basedOn w:val="Normal"/>
    <w:next w:val="Normal"/>
    <w:autoRedefine/>
    <w:uiPriority w:val="39"/>
    <w:rsid w:val="003D7555"/>
    <w:pPr>
      <w:spacing w:after="100"/>
    </w:pPr>
  </w:style>
  <w:style w:type="paragraph" w:styleId="TOC2">
    <w:name w:val="toc 2"/>
    <w:basedOn w:val="Normal"/>
    <w:next w:val="Normal"/>
    <w:autoRedefine/>
    <w:uiPriority w:val="39"/>
    <w:rsid w:val="00050B47"/>
    <w:pPr>
      <w:tabs>
        <w:tab w:val="right" w:leader="dot" w:pos="8296"/>
      </w:tabs>
      <w:spacing w:line="360" w:lineRule="auto"/>
      <w:ind w:left="240"/>
    </w:pPr>
    <w:rPr>
      <w:rFonts w:asciiTheme="minorBidi" w:hAnsiTheme="minorBidi" w:cstheme="minorBidi"/>
      <w:noProof/>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D17720"/>
    <w:pPr>
      <w:spacing w:after="200"/>
    </w:pPr>
    <w:rPr>
      <w:b/>
      <w:bCs/>
      <w:iCs/>
      <w:szCs w:val="18"/>
    </w:rPr>
  </w:style>
  <w:style w:type="character" w:styleId="Hyperlink">
    <w:name w:val="Hyperlink"/>
    <w:uiPriority w:val="99"/>
    <w:rsid w:val="003D7555"/>
    <w:rPr>
      <w:color w:val="0000FF"/>
      <w:u w:val="single"/>
    </w:rPr>
  </w:style>
  <w:style w:type="table" w:customStyle="1" w:styleId="PanelDefault">
    <w:name w:val="Panel (Default)"/>
    <w:basedOn w:val="TableNormal"/>
    <w:uiPriority w:val="99"/>
    <w:rsid w:val="003D755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D755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3D7555"/>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D17720"/>
    <w:pPr>
      <w:spacing w:after="60"/>
    </w:pPr>
    <w:rPr>
      <w:sz w:val="22"/>
    </w:rPr>
  </w:style>
  <w:style w:type="paragraph" w:customStyle="1" w:styleId="Tablebullet">
    <w:name w:val="Table bullet"/>
    <w:basedOn w:val="Tabletext"/>
    <w:qFormat/>
    <w:rsid w:val="003D7555"/>
    <w:pPr>
      <w:numPr>
        <w:numId w:val="47"/>
      </w:numPr>
    </w:pPr>
  </w:style>
  <w:style w:type="table" w:styleId="TableGrid">
    <w:name w:val="Table Grid"/>
    <w:basedOn w:val="TableNormal"/>
    <w:rsid w:val="003D7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D17720"/>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Normal"/>
    <w:rsid w:val="003D7555"/>
    <w:pPr>
      <w:keepNext/>
      <w:spacing w:before="240" w:after="240"/>
      <w:jc w:val="center"/>
      <w:outlineLvl w:val="0"/>
    </w:pPr>
    <w:rPr>
      <w:rFonts w:ascii="Arial" w:hAnsi="Arial" w:cs="Arial"/>
      <w:b/>
      <w:bCs/>
      <w:kern w:val="28"/>
      <w:sz w:val="32"/>
      <w:szCs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qFormat/>
    <w:rsid w:val="003D7555"/>
    <w:rPr>
      <w:sz w:val="16"/>
      <w:szCs w:val="16"/>
    </w:rPr>
  </w:style>
  <w:style w:type="paragraph" w:styleId="CommentText">
    <w:name w:val="annotation text"/>
    <w:basedOn w:val="Normal"/>
    <w:link w:val="CommentTextChar"/>
    <w:qFormat/>
    <w:rsid w:val="003D7555"/>
    <w:rPr>
      <w:sz w:val="20"/>
      <w:szCs w:val="20"/>
      <w:lang w:val="x-none"/>
    </w:rPr>
  </w:style>
  <w:style w:type="character" w:customStyle="1" w:styleId="CommentTextChar">
    <w:name w:val="Comment Text Char"/>
    <w:link w:val="CommentText"/>
    <w:qFormat/>
    <w:rsid w:val="003D7555"/>
    <w:rPr>
      <w:lang w:val="x-none" w:eastAsia="en-US"/>
    </w:rPr>
  </w:style>
  <w:style w:type="paragraph" w:styleId="CommentSubject">
    <w:name w:val="annotation subject"/>
    <w:basedOn w:val="CommentText"/>
    <w:next w:val="CommentText"/>
    <w:link w:val="CommentSubjectChar"/>
    <w:semiHidden/>
    <w:rsid w:val="003D7555"/>
    <w:rPr>
      <w:b/>
      <w:bCs/>
    </w:rPr>
  </w:style>
  <w:style w:type="character" w:customStyle="1" w:styleId="CommentSubjectChar">
    <w:name w:val="Comment Subject Char"/>
    <w:basedOn w:val="CommentTextChar"/>
    <w:link w:val="CommentSubject"/>
    <w:semiHidden/>
    <w:rsid w:val="003F0A04"/>
    <w:rPr>
      <w:b/>
      <w:bCs/>
      <w:lang w:val="x-none" w:eastAsia="en-U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qFormat/>
    <w:rsid w:val="003D7555"/>
    <w:pPr>
      <w:ind w:left="720"/>
      <w:contextualSpacing/>
    </w:pPr>
    <w:rPr>
      <w:lang w:eastAsia="en-GB"/>
    </w:rPr>
  </w:style>
  <w:style w:type="paragraph" w:customStyle="1" w:styleId="NICEnormalsinglespacing">
    <w:name w:val="NICE normal single spacing"/>
    <w:basedOn w:val="NICEnormal"/>
    <w:rsid w:val="003D7555"/>
    <w:pPr>
      <w:spacing w:line="240" w:lineRule="auto"/>
    </w:pPr>
  </w:style>
  <w:style w:type="paragraph" w:customStyle="1" w:styleId="NICEnormal">
    <w:name w:val="NICE normal"/>
    <w:link w:val="NICEnormalChar"/>
    <w:qFormat/>
    <w:rsid w:val="003D7555"/>
    <w:pPr>
      <w:spacing w:after="240" w:line="360" w:lineRule="auto"/>
    </w:pPr>
    <w:rPr>
      <w:rFonts w:ascii="Arial" w:hAnsi="Arial"/>
      <w:sz w:val="24"/>
      <w:szCs w:val="24"/>
      <w:lang w:eastAsia="en-US"/>
    </w:rPr>
  </w:style>
  <w:style w:type="character" w:customStyle="1" w:styleId="NICEnormalChar">
    <w:name w:val="NICE normal Char"/>
    <w:link w:val="NICEnormal"/>
    <w:rsid w:val="003D7555"/>
    <w:rPr>
      <w:rFonts w:ascii="Arial" w:hAnsi="Arial"/>
      <w:sz w:val="24"/>
      <w:szCs w:val="24"/>
      <w:lang w:eastAsia="en-US"/>
    </w:rPr>
  </w:style>
  <w:style w:type="paragraph" w:customStyle="1" w:styleId="Numberedheading1">
    <w:name w:val="Numbered heading 1"/>
    <w:basedOn w:val="Heading1"/>
    <w:next w:val="NICEnormal"/>
    <w:link w:val="Numberedheading1CharChar"/>
    <w:qFormat/>
    <w:rsid w:val="003D7555"/>
    <w:pPr>
      <w:numPr>
        <w:numId w:val="53"/>
      </w:numPr>
    </w:pPr>
    <w:rPr>
      <w:szCs w:val="24"/>
    </w:rPr>
  </w:style>
  <w:style w:type="character" w:customStyle="1" w:styleId="Numberedheading1CharChar">
    <w:name w:val="Numbered heading 1 Char Char"/>
    <w:link w:val="Numberedheading1"/>
    <w:rsid w:val="003D7555"/>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C66C3"/>
    <w:pPr>
      <w:numPr>
        <w:ilvl w:val="1"/>
        <w:numId w:val="53"/>
      </w:numPr>
      <w:ind w:left="1134"/>
    </w:pPr>
  </w:style>
  <w:style w:type="character" w:customStyle="1" w:styleId="Numberedheading2Char">
    <w:name w:val="Numbered heading 2 Char"/>
    <w:basedOn w:val="Heading2Char"/>
    <w:link w:val="Numberedheading2"/>
    <w:rsid w:val="00FC66C3"/>
    <w:rPr>
      <w:rFonts w:ascii="Arial" w:hAnsi="Arial" w:cs="Arial"/>
      <w:b/>
      <w:bCs/>
      <w:sz w:val="28"/>
      <w:szCs w:val="28"/>
      <w:lang w:eastAsia="en-US"/>
    </w:rPr>
  </w:style>
  <w:style w:type="character" w:styleId="PlaceholderText">
    <w:name w:val="Placeholder Text"/>
    <w:basedOn w:val="DefaultParagraphFont"/>
    <w:uiPriority w:val="99"/>
    <w:semiHidden/>
    <w:rsid w:val="003D7555"/>
    <w:rPr>
      <w:color w:val="808080"/>
    </w:rPr>
  </w:style>
  <w:style w:type="paragraph" w:customStyle="1" w:styleId="Title1">
    <w:name w:val="Title 1"/>
    <w:basedOn w:val="Normal"/>
    <w:qFormat/>
    <w:rsid w:val="003D7555"/>
    <w:pPr>
      <w:keepNext/>
      <w:spacing w:before="240" w:after="240"/>
      <w:jc w:val="center"/>
      <w:outlineLvl w:val="0"/>
    </w:pPr>
    <w:rPr>
      <w:rFonts w:ascii="Arial" w:hAnsi="Arial" w:cs="Arial"/>
      <w:b/>
      <w:bCs/>
      <w:kern w:val="28"/>
      <w:sz w:val="40"/>
      <w:szCs w:val="32"/>
    </w:rPr>
  </w:style>
  <w:style w:type="character" w:styleId="UnresolvedMention">
    <w:name w:val="Unresolved Mention"/>
    <w:basedOn w:val="DefaultParagraphFont"/>
    <w:uiPriority w:val="99"/>
    <w:semiHidden/>
    <w:unhideWhenUsed/>
    <w:rsid w:val="003D7555"/>
    <w:rPr>
      <w:color w:val="605E5C"/>
      <w:shd w:val="clear" w:color="auto" w:fill="E1DFDD"/>
    </w:rPr>
  </w:style>
  <w:style w:type="character" w:styleId="Mention">
    <w:name w:val="Mention"/>
    <w:basedOn w:val="DefaultParagraphFont"/>
    <w:uiPriority w:val="99"/>
    <w:unhideWhenUsed/>
    <w:rsid w:val="00F77FE2"/>
    <w:rPr>
      <w:color w:val="2B579A"/>
      <w:shd w:val="clear" w:color="auto" w:fill="E1DFDD"/>
    </w:rPr>
  </w:style>
  <w:style w:type="character" w:styleId="FollowedHyperlink">
    <w:name w:val="FollowedHyperlink"/>
    <w:rsid w:val="003D7555"/>
    <w:rPr>
      <w:color w:val="800080"/>
      <w:u w:val="single"/>
    </w:rPr>
  </w:style>
  <w:style w:type="paragraph" w:styleId="NormalWeb">
    <w:name w:val="Normal (Web)"/>
    <w:basedOn w:val="Normal"/>
    <w:semiHidden/>
    <w:rsid w:val="00771ABF"/>
  </w:style>
  <w:style w:type="paragraph" w:customStyle="1" w:styleId="Bulletindent1">
    <w:name w:val="Bullet indent 1"/>
    <w:basedOn w:val="NICEnormal"/>
    <w:link w:val="Bulletindent1Char"/>
    <w:rsid w:val="003D7555"/>
    <w:pPr>
      <w:numPr>
        <w:numId w:val="33"/>
      </w:numPr>
      <w:spacing w:after="0"/>
    </w:pPr>
  </w:style>
  <w:style w:type="character" w:customStyle="1" w:styleId="Bulletindent1Char">
    <w:name w:val="Bullet indent 1 Char"/>
    <w:link w:val="Bulletindent1"/>
    <w:rsid w:val="003D7555"/>
    <w:rPr>
      <w:rFonts w:ascii="Arial" w:hAnsi="Arial"/>
      <w:sz w:val="24"/>
      <w:szCs w:val="24"/>
      <w:lang w:eastAsia="en-US"/>
    </w:rPr>
  </w:style>
  <w:style w:type="paragraph" w:customStyle="1" w:styleId="Bulletindent1last">
    <w:name w:val="Bullet indent 1 last"/>
    <w:basedOn w:val="NICEnormal"/>
    <w:next w:val="NICEnormal"/>
    <w:rsid w:val="003D7555"/>
    <w:pPr>
      <w:numPr>
        <w:numId w:val="34"/>
      </w:numPr>
    </w:pPr>
  </w:style>
  <w:style w:type="paragraph" w:customStyle="1" w:styleId="Bulletindent2">
    <w:name w:val="Bullet indent 2"/>
    <w:basedOn w:val="NICEnormal"/>
    <w:rsid w:val="003D7555"/>
    <w:pPr>
      <w:numPr>
        <w:ilvl w:val="1"/>
        <w:numId w:val="35"/>
      </w:numPr>
      <w:spacing w:after="0"/>
    </w:pPr>
  </w:style>
  <w:style w:type="paragraph" w:customStyle="1" w:styleId="Bulletindent2last">
    <w:name w:val="Bullet indent 2 last"/>
    <w:basedOn w:val="Bulletindent2"/>
    <w:next w:val="NICEnormal"/>
    <w:rsid w:val="003D7555"/>
    <w:pPr>
      <w:numPr>
        <w:numId w:val="37"/>
      </w:numPr>
      <w:spacing w:after="240"/>
    </w:pPr>
  </w:style>
  <w:style w:type="paragraph" w:customStyle="1" w:styleId="Bulletindent3">
    <w:name w:val="Bullet indent 3"/>
    <w:basedOn w:val="NICEnormal"/>
    <w:rsid w:val="003D7555"/>
    <w:pPr>
      <w:numPr>
        <w:ilvl w:val="2"/>
        <w:numId w:val="37"/>
      </w:numPr>
      <w:spacing w:after="0"/>
    </w:pPr>
  </w:style>
  <w:style w:type="paragraph" w:customStyle="1" w:styleId="Bulletleft1">
    <w:name w:val="Bullet left 1"/>
    <w:basedOn w:val="NICEnormal"/>
    <w:qFormat/>
    <w:rsid w:val="003D7555"/>
    <w:pPr>
      <w:numPr>
        <w:numId w:val="38"/>
      </w:numPr>
      <w:spacing w:after="0"/>
    </w:pPr>
  </w:style>
  <w:style w:type="paragraph" w:customStyle="1" w:styleId="Bulletleft1last">
    <w:name w:val="Bullet left 1 last"/>
    <w:basedOn w:val="NICEnormal"/>
    <w:link w:val="Bulletleft1lastChar"/>
    <w:rsid w:val="003D7555"/>
    <w:pPr>
      <w:numPr>
        <w:numId w:val="39"/>
      </w:numPr>
    </w:pPr>
    <w:rPr>
      <w:rFonts w:cs="Arial"/>
    </w:rPr>
  </w:style>
  <w:style w:type="character" w:customStyle="1" w:styleId="Bulletleft1lastChar">
    <w:name w:val="Bullet left 1 last Char"/>
    <w:link w:val="Bulletleft1last"/>
    <w:rsid w:val="003D7555"/>
    <w:rPr>
      <w:rFonts w:ascii="Arial" w:hAnsi="Arial" w:cs="Arial"/>
      <w:sz w:val="24"/>
      <w:szCs w:val="24"/>
      <w:lang w:eastAsia="en-US"/>
    </w:rPr>
  </w:style>
  <w:style w:type="paragraph" w:customStyle="1" w:styleId="Bulletleft2">
    <w:name w:val="Bullet left 2"/>
    <w:basedOn w:val="NICEnormal"/>
    <w:rsid w:val="003D7555"/>
    <w:pPr>
      <w:numPr>
        <w:ilvl w:val="1"/>
        <w:numId w:val="40"/>
      </w:numPr>
      <w:spacing w:after="0"/>
    </w:pPr>
  </w:style>
  <w:style w:type="paragraph" w:customStyle="1" w:styleId="Bulletleft3">
    <w:name w:val="Bullet left 3"/>
    <w:basedOn w:val="NICEnormal"/>
    <w:rsid w:val="003D7555"/>
    <w:pPr>
      <w:numPr>
        <w:ilvl w:val="2"/>
        <w:numId w:val="41"/>
      </w:numPr>
      <w:spacing w:after="0"/>
    </w:pPr>
  </w:style>
  <w:style w:type="paragraph" w:customStyle="1" w:styleId="Documentissuedate">
    <w:name w:val="Document issue date"/>
    <w:basedOn w:val="NICEnormal"/>
    <w:qFormat/>
    <w:rsid w:val="003D7555"/>
    <w:rPr>
      <w:lang w:val="en-US"/>
    </w:rPr>
  </w:style>
  <w:style w:type="character" w:styleId="FootnoteReference">
    <w:name w:val="footnote reference"/>
    <w:rsid w:val="003D7555"/>
    <w:rPr>
      <w:vertAlign w:val="superscript"/>
    </w:rPr>
  </w:style>
  <w:style w:type="paragraph" w:styleId="FootnoteText">
    <w:name w:val="footnote text"/>
    <w:basedOn w:val="Normal"/>
    <w:link w:val="FootnoteTextChar"/>
    <w:rsid w:val="003D7555"/>
    <w:rPr>
      <w:sz w:val="20"/>
      <w:szCs w:val="20"/>
    </w:rPr>
  </w:style>
  <w:style w:type="character" w:customStyle="1" w:styleId="FootnoteTextChar">
    <w:name w:val="Footnote Text Char"/>
    <w:link w:val="FootnoteText"/>
    <w:rsid w:val="003D7555"/>
    <w:rPr>
      <w:lang w:eastAsia="en-US"/>
    </w:rPr>
  </w:style>
  <w:style w:type="paragraph" w:customStyle="1" w:styleId="Guidanceissuedate">
    <w:name w:val="Guidance issue date"/>
    <w:basedOn w:val="NICEnormal"/>
    <w:qFormat/>
    <w:rsid w:val="003D7555"/>
    <w:rPr>
      <w:lang w:val="en-US"/>
    </w:rPr>
  </w:style>
  <w:style w:type="paragraph" w:customStyle="1" w:styleId="NICEnormalindented">
    <w:name w:val="NICE normal indented"/>
    <w:basedOn w:val="NICEnormal"/>
    <w:rsid w:val="003D7555"/>
    <w:pPr>
      <w:tabs>
        <w:tab w:val="left" w:pos="1134"/>
      </w:tabs>
      <w:ind w:left="1134"/>
    </w:pPr>
  </w:style>
  <w:style w:type="character" w:customStyle="1" w:styleId="normaltextrun">
    <w:name w:val="normaltextrun"/>
    <w:basedOn w:val="DefaultParagraphFont"/>
    <w:rsid w:val="003D7555"/>
  </w:style>
  <w:style w:type="paragraph" w:customStyle="1" w:styleId="Numberedlevel2text">
    <w:name w:val="Numbered level 2 text"/>
    <w:basedOn w:val="Normal"/>
    <w:link w:val="Numberedlevel2textChar"/>
    <w:qFormat/>
    <w:rsid w:val="003D7555"/>
    <w:pPr>
      <w:numPr>
        <w:ilvl w:val="1"/>
        <w:numId w:val="43"/>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3D7555"/>
    <w:rPr>
      <w:rFonts w:ascii="Arial" w:hAnsi="Arial"/>
      <w:bCs/>
      <w:iCs/>
      <w:sz w:val="24"/>
      <w:szCs w:val="28"/>
      <w:lang w:val="x-none" w:eastAsia="en-US"/>
    </w:rPr>
  </w:style>
  <w:style w:type="character" w:styleId="PageNumber">
    <w:name w:val="page number"/>
    <w:rsid w:val="003D7555"/>
    <w:rPr>
      <w:rFonts w:ascii="Arial" w:hAnsi="Arial"/>
      <w:sz w:val="24"/>
    </w:rPr>
  </w:style>
  <w:style w:type="paragraph" w:customStyle="1" w:styleId="Panelbullet1">
    <w:name w:val="Panel bullet 1"/>
    <w:basedOn w:val="ListParagraph"/>
    <w:qFormat/>
    <w:rsid w:val="003D7555"/>
    <w:pPr>
      <w:numPr>
        <w:numId w:val="44"/>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3D7555"/>
    <w:rPr>
      <w:color w:val="FFFFFF" w:themeColor="background1"/>
      <w:u w:val="single"/>
    </w:rPr>
  </w:style>
  <w:style w:type="paragraph" w:customStyle="1" w:styleId="Paragraphnonumbers">
    <w:name w:val="Paragraph no numbers"/>
    <w:basedOn w:val="Normal"/>
    <w:uiPriority w:val="99"/>
    <w:qFormat/>
    <w:rsid w:val="003D7555"/>
    <w:pPr>
      <w:spacing w:after="240" w:line="276" w:lineRule="auto"/>
    </w:pPr>
    <w:rPr>
      <w:rFonts w:ascii="Arial" w:hAnsi="Arial"/>
      <w:lang w:eastAsia="en-GB"/>
    </w:rPr>
  </w:style>
  <w:style w:type="paragraph" w:styleId="Quote">
    <w:name w:val="Quote"/>
    <w:basedOn w:val="NICEnormal"/>
    <w:next w:val="NICEnormal"/>
    <w:link w:val="QuoteChar"/>
    <w:uiPriority w:val="29"/>
    <w:qFormat/>
    <w:rsid w:val="003D7555"/>
    <w:pPr>
      <w:spacing w:before="200" w:after="160"/>
      <w:ind w:left="864" w:right="864"/>
      <w:jc w:val="center"/>
    </w:pPr>
    <w:rPr>
      <w:iCs/>
    </w:rPr>
  </w:style>
  <w:style w:type="character" w:customStyle="1" w:styleId="QuoteChar">
    <w:name w:val="Quote Char"/>
    <w:basedOn w:val="DefaultParagraphFont"/>
    <w:link w:val="Quote"/>
    <w:uiPriority w:val="29"/>
    <w:rsid w:val="003D7555"/>
    <w:rPr>
      <w:rFonts w:ascii="Arial" w:hAnsi="Arial"/>
      <w:iCs/>
      <w:sz w:val="24"/>
      <w:szCs w:val="24"/>
      <w:lang w:eastAsia="en-US"/>
    </w:rPr>
  </w:style>
  <w:style w:type="paragraph" w:customStyle="1" w:styleId="Section412paragraphs">
    <w:name w:val="Section 4.1.2 paragraphs"/>
    <w:basedOn w:val="NICEnormal"/>
    <w:rsid w:val="003D7555"/>
    <w:pPr>
      <w:numPr>
        <w:numId w:val="46"/>
      </w:numPr>
    </w:pPr>
  </w:style>
  <w:style w:type="character" w:customStyle="1" w:styleId="ui-provider">
    <w:name w:val="ui-provider"/>
    <w:basedOn w:val="DefaultParagraphFont"/>
    <w:rsid w:val="003D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ice.org.uk/process/pmg36" TargetMode="External"/><Relationship Id="rId18" Type="http://schemas.openxmlformats.org/officeDocument/2006/relationships/hyperlink" Target="https://www.nice.org.uk/process/pmg36"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ice.org.uk/process/pmg36" TargetMode="External"/><Relationship Id="rId2" Type="http://schemas.openxmlformats.org/officeDocument/2006/relationships/numbering" Target="numbering.xml"/><Relationship Id="rId16" Type="http://schemas.openxmlformats.org/officeDocument/2006/relationships/hyperlink" Target="https://www.nice.org.uk/process/pmg36/chapter/economic-evaluation-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ice.org.uk/process/pmg36/chapter/economic-evaluation-2"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process/pmg36/chapter/economic-evaluation-2"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A5EF0EE184221BB11A440B2A509AE"/>
        <w:category>
          <w:name w:val="General"/>
          <w:gallery w:val="placeholder"/>
        </w:category>
        <w:types>
          <w:type w:val="bbPlcHdr"/>
        </w:types>
        <w:behaviors>
          <w:behavior w:val="content"/>
        </w:behaviors>
        <w:guid w:val="{B08C7000-BD77-4974-9F34-AC33596CD7EF}"/>
      </w:docPartPr>
      <w:docPartBody>
        <w:p w:rsidR="00EC279B" w:rsidRDefault="007E0D14" w:rsidP="007E0D14">
          <w:pPr>
            <w:pStyle w:val="FB7A5EF0EE184221BB11A440B2A509AE"/>
          </w:pPr>
          <w:r w:rsidRPr="004C4B42">
            <w:rPr>
              <w:highlight w:val="lightGray"/>
            </w:rPr>
            <w:t>[Insert section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Lora SemiBold">
    <w:panose1 w:val="00000000000000000000"/>
    <w:charset w:val="00"/>
    <w:family w:val="auto"/>
    <w:pitch w:val="variable"/>
    <w:sig w:usb0="A00002FF" w:usb1="5000204B" w:usb2="00000000" w:usb3="00000000" w:csb0="00000097" w:csb1="00000000"/>
  </w:font>
  <w:font w:name="Inter">
    <w:panose1 w:val="02000503000000020004"/>
    <w:charset w:val="00"/>
    <w:family w:val="auto"/>
    <w:pitch w:val="variable"/>
    <w:sig w:usb0="E00002FF" w:usb1="1200A1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B581B"/>
    <w:multiLevelType w:val="multilevel"/>
    <w:tmpl w:val="FFFFFFFF"/>
    <w:lvl w:ilvl="0">
      <w:start w:val="1"/>
      <w:numFmt w:val="decimal"/>
      <w:pStyle w:val="FB7A5EF0EE184221BB11A440B2A509A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BB5390"/>
    <w:multiLevelType w:val="multilevel"/>
    <w:tmpl w:val="0546A9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84808348">
    <w:abstractNumId w:val="1"/>
  </w:num>
  <w:num w:numId="2" w16cid:durableId="107829016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A3"/>
    <w:rsid w:val="0003065F"/>
    <w:rsid w:val="00073E1A"/>
    <w:rsid w:val="000860E4"/>
    <w:rsid w:val="000E5278"/>
    <w:rsid w:val="001160A2"/>
    <w:rsid w:val="001471C1"/>
    <w:rsid w:val="00150EA5"/>
    <w:rsid w:val="00151E34"/>
    <w:rsid w:val="0015223C"/>
    <w:rsid w:val="001537CA"/>
    <w:rsid w:val="001600EC"/>
    <w:rsid w:val="00207F7D"/>
    <w:rsid w:val="00217358"/>
    <w:rsid w:val="002544AD"/>
    <w:rsid w:val="00281FD5"/>
    <w:rsid w:val="00283A7B"/>
    <w:rsid w:val="00284FEE"/>
    <w:rsid w:val="002910D4"/>
    <w:rsid w:val="00293D38"/>
    <w:rsid w:val="002B7CE6"/>
    <w:rsid w:val="0031613F"/>
    <w:rsid w:val="00345374"/>
    <w:rsid w:val="00353481"/>
    <w:rsid w:val="00360D4F"/>
    <w:rsid w:val="003644D8"/>
    <w:rsid w:val="003A3FA1"/>
    <w:rsid w:val="003A5DD0"/>
    <w:rsid w:val="003D498B"/>
    <w:rsid w:val="00407E61"/>
    <w:rsid w:val="004B7AA8"/>
    <w:rsid w:val="004C39D9"/>
    <w:rsid w:val="004D27B7"/>
    <w:rsid w:val="004D4E1F"/>
    <w:rsid w:val="004E1B26"/>
    <w:rsid w:val="00534AFE"/>
    <w:rsid w:val="00535B56"/>
    <w:rsid w:val="005461A7"/>
    <w:rsid w:val="005951B5"/>
    <w:rsid w:val="005B6BA3"/>
    <w:rsid w:val="005E6FC0"/>
    <w:rsid w:val="0061117F"/>
    <w:rsid w:val="00666CF3"/>
    <w:rsid w:val="006B3D34"/>
    <w:rsid w:val="006C2A9F"/>
    <w:rsid w:val="006D08CC"/>
    <w:rsid w:val="006E7B50"/>
    <w:rsid w:val="00730691"/>
    <w:rsid w:val="007332CF"/>
    <w:rsid w:val="00776A8C"/>
    <w:rsid w:val="00794BF8"/>
    <w:rsid w:val="007C446F"/>
    <w:rsid w:val="007C5857"/>
    <w:rsid w:val="007D08F8"/>
    <w:rsid w:val="007E0D14"/>
    <w:rsid w:val="007E5140"/>
    <w:rsid w:val="008058CD"/>
    <w:rsid w:val="00827F9B"/>
    <w:rsid w:val="008523F5"/>
    <w:rsid w:val="0085791B"/>
    <w:rsid w:val="00861611"/>
    <w:rsid w:val="008B1013"/>
    <w:rsid w:val="008B67E7"/>
    <w:rsid w:val="008E1917"/>
    <w:rsid w:val="00913832"/>
    <w:rsid w:val="009765AC"/>
    <w:rsid w:val="00995D23"/>
    <w:rsid w:val="009E39B2"/>
    <w:rsid w:val="009F4FDF"/>
    <w:rsid w:val="00A016DA"/>
    <w:rsid w:val="00A416A5"/>
    <w:rsid w:val="00AA3B78"/>
    <w:rsid w:val="00AE3134"/>
    <w:rsid w:val="00AF1587"/>
    <w:rsid w:val="00B96F73"/>
    <w:rsid w:val="00BB062E"/>
    <w:rsid w:val="00BE5FCB"/>
    <w:rsid w:val="00BF5868"/>
    <w:rsid w:val="00C43EC9"/>
    <w:rsid w:val="00C61714"/>
    <w:rsid w:val="00CC2010"/>
    <w:rsid w:val="00CD4AA5"/>
    <w:rsid w:val="00D75ACD"/>
    <w:rsid w:val="00DA0964"/>
    <w:rsid w:val="00DC6287"/>
    <w:rsid w:val="00DC7922"/>
    <w:rsid w:val="00E03178"/>
    <w:rsid w:val="00E30634"/>
    <w:rsid w:val="00E411BF"/>
    <w:rsid w:val="00E567FC"/>
    <w:rsid w:val="00E73368"/>
    <w:rsid w:val="00E93C06"/>
    <w:rsid w:val="00E9741C"/>
    <w:rsid w:val="00EC279B"/>
    <w:rsid w:val="00ED70A0"/>
    <w:rsid w:val="00EF461D"/>
    <w:rsid w:val="00F53822"/>
    <w:rsid w:val="00F57561"/>
    <w:rsid w:val="00F76B85"/>
    <w:rsid w:val="00F9379E"/>
    <w:rsid w:val="00F977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B946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279B"/>
    <w:pPr>
      <w:keepNext/>
      <w:spacing w:before="240" w:after="120" w:line="360" w:lineRule="auto"/>
      <w:outlineLvl w:val="0"/>
    </w:pPr>
    <w:rPr>
      <w:rFonts w:ascii="Arial" w:eastAsia="Times New Roman" w:hAnsi="Arial" w:cs="Arial"/>
      <w:b/>
      <w:bCs/>
      <w:kern w:val="32"/>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D14"/>
    <w:rPr>
      <w:color w:val="666666"/>
    </w:rPr>
  </w:style>
  <w:style w:type="character" w:customStyle="1" w:styleId="Heading1Char">
    <w:name w:val="Heading 1 Char"/>
    <w:link w:val="Heading1"/>
    <w:rsid w:val="00EC279B"/>
    <w:rPr>
      <w:rFonts w:ascii="Arial" w:eastAsia="Times New Roman" w:hAnsi="Arial" w:cs="Arial"/>
      <w:b/>
      <w:bCs/>
      <w:kern w:val="32"/>
      <w:sz w:val="32"/>
      <w:szCs w:val="32"/>
      <w:lang w:eastAsia="en-US"/>
      <w14:ligatures w14:val="none"/>
    </w:rPr>
  </w:style>
  <w:style w:type="paragraph" w:customStyle="1" w:styleId="FB7A5EF0EE184221BB11A440B2A509AE">
    <w:name w:val="FB7A5EF0EE184221BB11A440B2A509AE"/>
    <w:rsid w:val="007E0D14"/>
    <w:pPr>
      <w:keepNext/>
      <w:numPr>
        <w:numId w:val="2"/>
      </w:numPr>
      <w:tabs>
        <w:tab w:val="num" w:pos="1134"/>
      </w:tabs>
      <w:spacing w:before="240" w:after="120" w:line="360" w:lineRule="auto"/>
      <w:ind w:left="1134" w:hanging="1134"/>
      <w:outlineLvl w:val="0"/>
    </w:pPr>
    <w:rPr>
      <w:rFonts w:ascii="Arial" w:eastAsia="Times New Roman" w:hAnsi="Arial" w:cs="Arial"/>
      <w:b/>
      <w:bCs/>
      <w:kern w:val="32"/>
      <w:sz w:val="3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2606</Words>
  <Characters>16054</Characters>
  <Application>Microsoft Office Word</Application>
  <DocSecurity>0</DocSecurity>
  <Lines>341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2026-07-07T10:00:00Z</dcterms:created>
  <dcterms:modified xsi:type="dcterms:W3CDTF">2026-07-07T10:00:00Z</dcterms:modified>
</cp:coreProperties>
</file>