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3106" w14:textId="74AB3343" w:rsidR="00A56376" w:rsidRDefault="00A56376" w:rsidP="00136206">
      <w:pPr>
        <w:pStyle w:val="Title"/>
      </w:pPr>
    </w:p>
    <w:p w14:paraId="6901BAE7" w14:textId="6C7489E3" w:rsidR="003679EB" w:rsidRPr="003679EB" w:rsidRDefault="003679EB" w:rsidP="003679EB"/>
    <w:p w14:paraId="33F1F616" w14:textId="532DBD27" w:rsidR="00355F2F" w:rsidRPr="00BE5130" w:rsidRDefault="00054F18" w:rsidP="00F07E3D">
      <w:pPr>
        <w:jc w:val="center"/>
        <w:rPr>
          <w:b/>
          <w:bCs/>
          <w:color w:val="FF0000"/>
          <w:sz w:val="72"/>
          <w:szCs w:val="72"/>
        </w:rPr>
      </w:pPr>
      <w:r w:rsidRPr="00BE5130">
        <w:rPr>
          <w:b/>
          <w:bCs/>
          <w:color w:val="FF0000"/>
          <w:sz w:val="72"/>
          <w:szCs w:val="72"/>
        </w:rPr>
        <w:t>DRAFT</w:t>
      </w:r>
    </w:p>
    <w:p w14:paraId="250E308A" w14:textId="77777777" w:rsidR="00754937" w:rsidRPr="003679EB" w:rsidRDefault="00754937" w:rsidP="00754937">
      <w:pPr>
        <w:rPr>
          <w:sz w:val="24"/>
          <w:szCs w:val="24"/>
        </w:rPr>
      </w:pPr>
    </w:p>
    <w:p w14:paraId="0BC69596" w14:textId="77777777" w:rsidR="003679EB" w:rsidRPr="00082F7C" w:rsidRDefault="00826513" w:rsidP="003B2E16">
      <w:pPr>
        <w:pStyle w:val="Title"/>
        <w:jc w:val="center"/>
        <w:rPr>
          <w:rFonts w:ascii="Arial" w:hAnsi="Arial" w:cs="Arial"/>
          <w:b/>
          <w:bCs/>
          <w:caps w:val="0"/>
          <w:sz w:val="96"/>
          <w:szCs w:val="96"/>
        </w:rPr>
      </w:pPr>
      <w:r w:rsidRPr="00082F7C">
        <w:rPr>
          <w:rFonts w:ascii="Arial" w:hAnsi="Arial" w:cs="Arial"/>
          <w:b/>
          <w:bCs/>
          <w:caps w:val="0"/>
          <w:sz w:val="96"/>
          <w:szCs w:val="96"/>
        </w:rPr>
        <w:t>Corporate</w:t>
      </w:r>
      <w:r w:rsidR="00355F2F" w:rsidRPr="00082F7C">
        <w:rPr>
          <w:rFonts w:ascii="Arial" w:hAnsi="Arial" w:cs="Arial"/>
          <w:b/>
          <w:bCs/>
          <w:caps w:val="0"/>
          <w:sz w:val="96"/>
          <w:szCs w:val="96"/>
        </w:rPr>
        <w:t xml:space="preserve"> Business Plan</w:t>
      </w:r>
    </w:p>
    <w:p w14:paraId="3722DFCA" w14:textId="77777777" w:rsidR="003679EB" w:rsidRPr="00082F7C" w:rsidRDefault="003679EB" w:rsidP="003B2E16">
      <w:pPr>
        <w:pStyle w:val="Title"/>
        <w:jc w:val="center"/>
        <w:rPr>
          <w:rFonts w:ascii="Arial" w:hAnsi="Arial" w:cs="Arial"/>
          <w:b/>
          <w:bCs/>
          <w:caps w:val="0"/>
          <w:sz w:val="96"/>
          <w:szCs w:val="96"/>
        </w:rPr>
      </w:pPr>
    </w:p>
    <w:p w14:paraId="21A0E31F" w14:textId="5C655962" w:rsidR="00A56376" w:rsidRPr="00082F7C" w:rsidRDefault="00CD5E11" w:rsidP="003B2E16">
      <w:pPr>
        <w:pStyle w:val="Title"/>
        <w:jc w:val="center"/>
        <w:rPr>
          <w:rFonts w:ascii="Arial" w:hAnsi="Arial" w:cs="Arial"/>
          <w:b/>
          <w:bCs/>
          <w:caps w:val="0"/>
          <w:color w:val="auto"/>
          <w:sz w:val="96"/>
          <w:szCs w:val="96"/>
        </w:rPr>
      </w:pPr>
      <w:r w:rsidRPr="00082F7C">
        <w:rPr>
          <w:rFonts w:ascii="Arial" w:hAnsi="Arial" w:cs="Arial"/>
          <w:b/>
          <w:bCs/>
          <w:caps w:val="0"/>
          <w:color w:val="auto"/>
          <w:sz w:val="96"/>
          <w:szCs w:val="96"/>
        </w:rPr>
        <w:t>2026/27</w:t>
      </w:r>
    </w:p>
    <w:p w14:paraId="356DEF67" w14:textId="77777777" w:rsidR="00A56376" w:rsidRDefault="00A56376" w:rsidP="00A475FB">
      <w:pPr>
        <w:pStyle w:val="Heading1"/>
        <w:numPr>
          <w:ilvl w:val="0"/>
          <w:numId w:val="0"/>
        </w:numPr>
        <w:ind w:left="426"/>
      </w:pPr>
    </w:p>
    <w:p w14:paraId="405EE45B" w14:textId="77777777" w:rsidR="004E691A" w:rsidRPr="004E691A" w:rsidRDefault="004E691A" w:rsidP="004E691A"/>
    <w:p w14:paraId="11DAA57A" w14:textId="53A793EF" w:rsidR="00A56376" w:rsidRDefault="00A56376" w:rsidP="00A56376">
      <w:pPr>
        <w:pStyle w:val="Paragraph"/>
        <w:rPr>
          <w:lang w:eastAsia="en-GB"/>
        </w:rPr>
      </w:pPr>
    </w:p>
    <w:p w14:paraId="5EE31136" w14:textId="77777777" w:rsidR="00A56376" w:rsidRDefault="00A56376">
      <w:r>
        <w:br w:type="page"/>
      </w:r>
    </w:p>
    <w:sdt>
      <w:sdtPr>
        <w:rPr>
          <w:rFonts w:asciiTheme="minorHAnsi" w:eastAsiaTheme="minorEastAsia" w:hAnsiTheme="minorHAnsi" w:cstheme="minorBidi"/>
          <w:caps w:val="0"/>
          <w:color w:val="auto"/>
          <w:spacing w:val="0"/>
          <w:sz w:val="22"/>
          <w:szCs w:val="22"/>
        </w:rPr>
        <w:id w:val="-1781176584"/>
        <w:docPartObj>
          <w:docPartGallery w:val="Table of Contents"/>
          <w:docPartUnique/>
        </w:docPartObj>
      </w:sdtPr>
      <w:sdtEndPr>
        <w:rPr>
          <w:b/>
          <w:bCs/>
        </w:rPr>
      </w:sdtEndPr>
      <w:sdtContent>
        <w:p w14:paraId="5712BBCA" w14:textId="78CC266C" w:rsidR="004B1F7E" w:rsidRPr="00082F7C" w:rsidRDefault="004B1F7E">
          <w:pPr>
            <w:pStyle w:val="TOCHeading"/>
            <w:rPr>
              <w:rFonts w:ascii="Arial" w:hAnsi="Arial" w:cs="Arial"/>
              <w:b/>
              <w:bCs/>
              <w:sz w:val="36"/>
              <w:szCs w:val="36"/>
            </w:rPr>
          </w:pPr>
          <w:r w:rsidRPr="00082F7C">
            <w:rPr>
              <w:rFonts w:ascii="Arial" w:hAnsi="Arial" w:cs="Arial"/>
              <w:b/>
              <w:bCs/>
              <w:sz w:val="36"/>
              <w:szCs w:val="36"/>
            </w:rPr>
            <w:t>Contents</w:t>
          </w:r>
        </w:p>
        <w:p w14:paraId="5A19C954" w14:textId="1EC92FD1" w:rsidR="00494B29" w:rsidRDefault="00D62AD8">
          <w:pPr>
            <w:pStyle w:val="TOC1"/>
            <w:tabs>
              <w:tab w:val="left" w:pos="480"/>
              <w:tab w:val="right" w:leader="dot" w:pos="13948"/>
            </w:tabs>
            <w:rPr>
              <w:rFonts w:asciiTheme="minorHAnsi" w:hAnsiTheme="minorHAnsi"/>
              <w:b w:val="0"/>
              <w:noProof/>
              <w:kern w:val="2"/>
              <w:sz w:val="24"/>
              <w:szCs w:val="24"/>
              <w14:ligatures w14:val="standardContextual"/>
            </w:rPr>
          </w:pPr>
          <w:r>
            <w:fldChar w:fldCharType="begin"/>
          </w:r>
          <w:r>
            <w:instrText xml:space="preserve"> TOC \o "1-1" \h \z \u </w:instrText>
          </w:r>
          <w:r>
            <w:fldChar w:fldCharType="separate"/>
          </w:r>
          <w:hyperlink w:anchor="_Toc229498289" w:history="1">
            <w:r w:rsidR="00494B29" w:rsidRPr="002D4819">
              <w:rPr>
                <w:rStyle w:val="Hyperlink"/>
                <w:noProof/>
              </w:rPr>
              <w:t>1</w:t>
            </w:r>
            <w:r w:rsidR="00494B29">
              <w:rPr>
                <w:rFonts w:asciiTheme="minorHAnsi" w:hAnsiTheme="minorHAnsi"/>
                <w:b w:val="0"/>
                <w:noProof/>
                <w:kern w:val="2"/>
                <w:sz w:val="24"/>
                <w:szCs w:val="24"/>
                <w14:ligatures w14:val="standardContextual"/>
              </w:rPr>
              <w:tab/>
            </w:r>
            <w:r w:rsidR="00494B29" w:rsidRPr="002D4819">
              <w:rPr>
                <w:rStyle w:val="Hyperlink"/>
                <w:noProof/>
              </w:rPr>
              <w:t>Summary</w:t>
            </w:r>
            <w:r w:rsidR="00494B29">
              <w:rPr>
                <w:noProof/>
                <w:webHidden/>
              </w:rPr>
              <w:tab/>
            </w:r>
            <w:r w:rsidR="00494B29">
              <w:rPr>
                <w:noProof/>
                <w:webHidden/>
              </w:rPr>
              <w:fldChar w:fldCharType="begin"/>
            </w:r>
            <w:r w:rsidR="00494B29">
              <w:rPr>
                <w:noProof/>
                <w:webHidden/>
              </w:rPr>
              <w:instrText xml:space="preserve"> PAGEREF _Toc229498289 \h </w:instrText>
            </w:r>
            <w:r w:rsidR="00494B29">
              <w:rPr>
                <w:noProof/>
                <w:webHidden/>
              </w:rPr>
            </w:r>
            <w:r w:rsidR="00494B29">
              <w:rPr>
                <w:noProof/>
                <w:webHidden/>
              </w:rPr>
              <w:fldChar w:fldCharType="separate"/>
            </w:r>
            <w:r w:rsidR="00494B29">
              <w:rPr>
                <w:noProof/>
                <w:webHidden/>
              </w:rPr>
              <w:t>3</w:t>
            </w:r>
            <w:r w:rsidR="00494B29">
              <w:rPr>
                <w:noProof/>
                <w:webHidden/>
              </w:rPr>
              <w:fldChar w:fldCharType="end"/>
            </w:r>
          </w:hyperlink>
        </w:p>
        <w:p w14:paraId="2A4D75A8" w14:textId="49BCFF5B" w:rsidR="00494B29" w:rsidRDefault="00494B29">
          <w:pPr>
            <w:pStyle w:val="TOC1"/>
            <w:tabs>
              <w:tab w:val="left" w:pos="480"/>
              <w:tab w:val="right" w:leader="dot" w:pos="13948"/>
            </w:tabs>
            <w:rPr>
              <w:rFonts w:asciiTheme="minorHAnsi" w:hAnsiTheme="minorHAnsi"/>
              <w:b w:val="0"/>
              <w:noProof/>
              <w:kern w:val="2"/>
              <w:sz w:val="24"/>
              <w:szCs w:val="24"/>
              <w14:ligatures w14:val="standardContextual"/>
            </w:rPr>
          </w:pPr>
          <w:hyperlink w:anchor="_Toc229498290" w:history="1">
            <w:r w:rsidRPr="002D4819">
              <w:rPr>
                <w:rStyle w:val="Hyperlink"/>
                <w:noProof/>
              </w:rPr>
              <w:t>2</w:t>
            </w:r>
            <w:r>
              <w:rPr>
                <w:rFonts w:asciiTheme="minorHAnsi" w:hAnsiTheme="minorHAnsi"/>
                <w:b w:val="0"/>
                <w:noProof/>
                <w:kern w:val="2"/>
                <w:sz w:val="24"/>
                <w:szCs w:val="24"/>
                <w14:ligatures w14:val="standardContextual"/>
              </w:rPr>
              <w:tab/>
            </w:r>
            <w:r w:rsidRPr="002D4819">
              <w:rPr>
                <w:rStyle w:val="Hyperlink"/>
                <w:noProof/>
              </w:rPr>
              <w:t>Introduction</w:t>
            </w:r>
            <w:r>
              <w:rPr>
                <w:noProof/>
                <w:webHidden/>
              </w:rPr>
              <w:tab/>
            </w:r>
            <w:r>
              <w:rPr>
                <w:noProof/>
                <w:webHidden/>
              </w:rPr>
              <w:fldChar w:fldCharType="begin"/>
            </w:r>
            <w:r>
              <w:rPr>
                <w:noProof/>
                <w:webHidden/>
              </w:rPr>
              <w:instrText xml:space="preserve"> PAGEREF _Toc229498290 \h </w:instrText>
            </w:r>
            <w:r>
              <w:rPr>
                <w:noProof/>
                <w:webHidden/>
              </w:rPr>
            </w:r>
            <w:r>
              <w:rPr>
                <w:noProof/>
                <w:webHidden/>
              </w:rPr>
              <w:fldChar w:fldCharType="separate"/>
            </w:r>
            <w:r>
              <w:rPr>
                <w:noProof/>
                <w:webHidden/>
              </w:rPr>
              <w:t>4</w:t>
            </w:r>
            <w:r>
              <w:rPr>
                <w:noProof/>
                <w:webHidden/>
              </w:rPr>
              <w:fldChar w:fldCharType="end"/>
            </w:r>
          </w:hyperlink>
        </w:p>
        <w:p w14:paraId="78A77536" w14:textId="0EA185F7" w:rsidR="00494B29" w:rsidRDefault="00494B29">
          <w:pPr>
            <w:pStyle w:val="TOC1"/>
            <w:tabs>
              <w:tab w:val="left" w:pos="480"/>
              <w:tab w:val="right" w:leader="dot" w:pos="13948"/>
            </w:tabs>
            <w:rPr>
              <w:rFonts w:asciiTheme="minorHAnsi" w:hAnsiTheme="minorHAnsi"/>
              <w:b w:val="0"/>
              <w:noProof/>
              <w:kern w:val="2"/>
              <w:sz w:val="24"/>
              <w:szCs w:val="24"/>
              <w14:ligatures w14:val="standardContextual"/>
            </w:rPr>
          </w:pPr>
          <w:hyperlink w:anchor="_Toc229498291" w:history="1">
            <w:r w:rsidRPr="002D4819">
              <w:rPr>
                <w:rStyle w:val="Hyperlink"/>
                <w:noProof/>
              </w:rPr>
              <w:t>3</w:t>
            </w:r>
            <w:r>
              <w:rPr>
                <w:rFonts w:asciiTheme="minorHAnsi" w:hAnsiTheme="minorHAnsi"/>
                <w:b w:val="0"/>
                <w:noProof/>
                <w:kern w:val="2"/>
                <w:sz w:val="24"/>
                <w:szCs w:val="24"/>
                <w14:ligatures w14:val="standardContextual"/>
              </w:rPr>
              <w:tab/>
            </w:r>
            <w:r w:rsidRPr="002D4819">
              <w:rPr>
                <w:rStyle w:val="Hyperlink"/>
                <w:noProof/>
              </w:rPr>
              <w:t>Key performance indicators</w:t>
            </w:r>
            <w:r>
              <w:rPr>
                <w:noProof/>
                <w:webHidden/>
              </w:rPr>
              <w:tab/>
            </w:r>
            <w:r>
              <w:rPr>
                <w:noProof/>
                <w:webHidden/>
              </w:rPr>
              <w:fldChar w:fldCharType="begin"/>
            </w:r>
            <w:r>
              <w:rPr>
                <w:noProof/>
                <w:webHidden/>
              </w:rPr>
              <w:instrText xml:space="preserve"> PAGEREF _Toc229498291 \h </w:instrText>
            </w:r>
            <w:r>
              <w:rPr>
                <w:noProof/>
                <w:webHidden/>
              </w:rPr>
            </w:r>
            <w:r>
              <w:rPr>
                <w:noProof/>
                <w:webHidden/>
              </w:rPr>
              <w:fldChar w:fldCharType="separate"/>
            </w:r>
            <w:r>
              <w:rPr>
                <w:noProof/>
                <w:webHidden/>
              </w:rPr>
              <w:t>5</w:t>
            </w:r>
            <w:r>
              <w:rPr>
                <w:noProof/>
                <w:webHidden/>
              </w:rPr>
              <w:fldChar w:fldCharType="end"/>
            </w:r>
          </w:hyperlink>
        </w:p>
        <w:p w14:paraId="4B4887E3" w14:textId="566D129D" w:rsidR="00494B29" w:rsidRDefault="00494B29">
          <w:pPr>
            <w:pStyle w:val="TOC1"/>
            <w:tabs>
              <w:tab w:val="left" w:pos="480"/>
              <w:tab w:val="right" w:leader="dot" w:pos="13948"/>
            </w:tabs>
            <w:rPr>
              <w:rFonts w:asciiTheme="minorHAnsi" w:hAnsiTheme="minorHAnsi"/>
              <w:b w:val="0"/>
              <w:noProof/>
              <w:kern w:val="2"/>
              <w:sz w:val="24"/>
              <w:szCs w:val="24"/>
              <w14:ligatures w14:val="standardContextual"/>
            </w:rPr>
          </w:pPr>
          <w:hyperlink w:anchor="_Toc229498292" w:history="1">
            <w:r w:rsidRPr="002D4819">
              <w:rPr>
                <w:rStyle w:val="Hyperlink"/>
                <w:noProof/>
              </w:rPr>
              <w:t>4</w:t>
            </w:r>
            <w:r>
              <w:rPr>
                <w:rFonts w:asciiTheme="minorHAnsi" w:hAnsiTheme="minorHAnsi"/>
                <w:b w:val="0"/>
                <w:noProof/>
                <w:kern w:val="2"/>
                <w:sz w:val="24"/>
                <w:szCs w:val="24"/>
                <w14:ligatures w14:val="standardContextual"/>
              </w:rPr>
              <w:tab/>
            </w:r>
            <w:r w:rsidRPr="002D4819">
              <w:rPr>
                <w:rStyle w:val="Hyperlink"/>
                <w:noProof/>
              </w:rPr>
              <w:t>Projects</w:t>
            </w:r>
            <w:r>
              <w:rPr>
                <w:noProof/>
                <w:webHidden/>
              </w:rPr>
              <w:tab/>
            </w:r>
            <w:r>
              <w:rPr>
                <w:noProof/>
                <w:webHidden/>
              </w:rPr>
              <w:fldChar w:fldCharType="begin"/>
            </w:r>
            <w:r>
              <w:rPr>
                <w:noProof/>
                <w:webHidden/>
              </w:rPr>
              <w:instrText xml:space="preserve"> PAGEREF _Toc229498292 \h </w:instrText>
            </w:r>
            <w:r>
              <w:rPr>
                <w:noProof/>
                <w:webHidden/>
              </w:rPr>
            </w:r>
            <w:r>
              <w:rPr>
                <w:noProof/>
                <w:webHidden/>
              </w:rPr>
              <w:fldChar w:fldCharType="separate"/>
            </w:r>
            <w:r>
              <w:rPr>
                <w:noProof/>
                <w:webHidden/>
              </w:rPr>
              <w:t>8</w:t>
            </w:r>
            <w:r>
              <w:rPr>
                <w:noProof/>
                <w:webHidden/>
              </w:rPr>
              <w:fldChar w:fldCharType="end"/>
            </w:r>
          </w:hyperlink>
        </w:p>
        <w:p w14:paraId="3891DF44" w14:textId="2C61B2C2" w:rsidR="00494B29" w:rsidRDefault="00494B29">
          <w:pPr>
            <w:pStyle w:val="TOC1"/>
            <w:tabs>
              <w:tab w:val="left" w:pos="480"/>
              <w:tab w:val="right" w:leader="dot" w:pos="13948"/>
            </w:tabs>
            <w:rPr>
              <w:rFonts w:asciiTheme="minorHAnsi" w:hAnsiTheme="minorHAnsi"/>
              <w:b w:val="0"/>
              <w:noProof/>
              <w:kern w:val="2"/>
              <w:sz w:val="24"/>
              <w:szCs w:val="24"/>
              <w14:ligatures w14:val="standardContextual"/>
            </w:rPr>
          </w:pPr>
          <w:hyperlink w:anchor="_Toc229498293" w:history="1">
            <w:r w:rsidRPr="002D4819">
              <w:rPr>
                <w:rStyle w:val="Hyperlink"/>
                <w:noProof/>
              </w:rPr>
              <w:t>5</w:t>
            </w:r>
            <w:r>
              <w:rPr>
                <w:rFonts w:asciiTheme="minorHAnsi" w:hAnsiTheme="minorHAnsi"/>
                <w:b w:val="0"/>
                <w:noProof/>
                <w:kern w:val="2"/>
                <w:sz w:val="24"/>
                <w:szCs w:val="24"/>
                <w14:ligatures w14:val="standardContextual"/>
              </w:rPr>
              <w:tab/>
            </w:r>
            <w:r w:rsidRPr="002D4819">
              <w:rPr>
                <w:rStyle w:val="Hyperlink"/>
                <w:noProof/>
              </w:rPr>
              <w:t>Budget</w:t>
            </w:r>
            <w:r>
              <w:rPr>
                <w:noProof/>
                <w:webHidden/>
              </w:rPr>
              <w:tab/>
            </w:r>
            <w:r>
              <w:rPr>
                <w:noProof/>
                <w:webHidden/>
              </w:rPr>
              <w:fldChar w:fldCharType="begin"/>
            </w:r>
            <w:r>
              <w:rPr>
                <w:noProof/>
                <w:webHidden/>
              </w:rPr>
              <w:instrText xml:space="preserve"> PAGEREF _Toc229498293 \h </w:instrText>
            </w:r>
            <w:r>
              <w:rPr>
                <w:noProof/>
                <w:webHidden/>
              </w:rPr>
            </w:r>
            <w:r>
              <w:rPr>
                <w:noProof/>
                <w:webHidden/>
              </w:rPr>
              <w:fldChar w:fldCharType="separate"/>
            </w:r>
            <w:r>
              <w:rPr>
                <w:noProof/>
                <w:webHidden/>
              </w:rPr>
              <w:t>17</w:t>
            </w:r>
            <w:r>
              <w:rPr>
                <w:noProof/>
                <w:webHidden/>
              </w:rPr>
              <w:fldChar w:fldCharType="end"/>
            </w:r>
          </w:hyperlink>
        </w:p>
        <w:p w14:paraId="5717D354" w14:textId="4F2EF856" w:rsidR="004B1F7E" w:rsidRDefault="00D62AD8">
          <w:pPr>
            <w:rPr>
              <w:b/>
              <w:bCs/>
            </w:rPr>
          </w:pPr>
          <w:r>
            <w:rPr>
              <w:rFonts w:ascii="Arial" w:hAnsi="Arial"/>
            </w:rPr>
            <w:fldChar w:fldCharType="end"/>
          </w:r>
        </w:p>
      </w:sdtContent>
    </w:sdt>
    <w:p w14:paraId="34EC3DC8" w14:textId="5CA8E9A2" w:rsidR="00942540" w:rsidRDefault="00942540">
      <w:r>
        <w:br w:type="page"/>
      </w:r>
    </w:p>
    <w:p w14:paraId="7444931C" w14:textId="5DFBE4FC" w:rsidR="00444936" w:rsidRPr="00732264" w:rsidRDefault="00444936" w:rsidP="00A475FB">
      <w:pPr>
        <w:pStyle w:val="Heading1"/>
      </w:pPr>
      <w:bookmarkStart w:id="0" w:name="_Toc229498289"/>
      <w:r w:rsidRPr="00732264">
        <w:lastRenderedPageBreak/>
        <w:t>Summary</w:t>
      </w:r>
      <w:bookmarkEnd w:id="0"/>
    </w:p>
    <w:p w14:paraId="4156F382" w14:textId="77777777" w:rsidR="00075B92" w:rsidRDefault="00075B92" w:rsidP="00075B92">
      <w:pPr>
        <w:pStyle w:val="NormalWeb"/>
        <w:spacing w:line="300" w:lineRule="atLeast"/>
        <w:rPr>
          <w:rFonts w:ascii="Inter" w:hAnsi="Inter" w:cs="Segoe UI"/>
          <w:sz w:val="22"/>
          <w:szCs w:val="22"/>
        </w:rPr>
      </w:pPr>
      <w:r>
        <w:rPr>
          <w:rFonts w:ascii="Inter" w:hAnsi="Inter" w:cs="Segoe UI"/>
          <w:sz w:val="22"/>
          <w:szCs w:val="22"/>
        </w:rPr>
        <w:t>NICE’s core purpose is to help practitioners and commissioners get the best care to people fast, while ensuring value for the taxpayer. We do this by producing better guidance, enabling faster access to evidence-based care and building a stronger organisation.</w:t>
      </w:r>
    </w:p>
    <w:p w14:paraId="3FC8AA61" w14:textId="77777777" w:rsidR="004C3FA1" w:rsidRDefault="00075B92" w:rsidP="004C3FA1">
      <w:pPr>
        <w:pStyle w:val="NormalWeb"/>
        <w:spacing w:line="300" w:lineRule="atLeast"/>
        <w:rPr>
          <w:rFonts w:ascii="Inter" w:hAnsi="Inter" w:cs="Segoe UI"/>
          <w:sz w:val="22"/>
          <w:szCs w:val="22"/>
        </w:rPr>
      </w:pPr>
      <w:r>
        <w:rPr>
          <w:rFonts w:ascii="Inter" w:hAnsi="Inter" w:cs="Segoe UI"/>
          <w:sz w:val="22"/>
          <w:szCs w:val="22"/>
        </w:rPr>
        <w:t>In 2025/26, we</w:t>
      </w:r>
      <w:r w:rsidR="004C3FA1">
        <w:rPr>
          <w:rFonts w:ascii="Inter" w:hAnsi="Inter" w:cs="Segoe UI"/>
          <w:sz w:val="22"/>
          <w:szCs w:val="22"/>
        </w:rPr>
        <w:t xml:space="preserve"> focused our efforts on transforming our organisation so we can respond quickly to the ambitions outlined in the government’s 10 Year Health Plan, the Life Sciences Sector Plan, and the wider environment.</w:t>
      </w:r>
    </w:p>
    <w:p w14:paraId="103D1126" w14:textId="77777777" w:rsidR="004C3FA1" w:rsidRDefault="004C3FA1" w:rsidP="004C3FA1">
      <w:pPr>
        <w:pStyle w:val="NormalWeb"/>
        <w:spacing w:line="300" w:lineRule="atLeast"/>
        <w:rPr>
          <w:rFonts w:ascii="Inter" w:hAnsi="Inter" w:cs="Segoe UI"/>
          <w:sz w:val="22"/>
          <w:szCs w:val="22"/>
        </w:rPr>
      </w:pPr>
      <w:r>
        <w:rPr>
          <w:rFonts w:ascii="Inter" w:hAnsi="Inter" w:cs="Segoe UI"/>
          <w:sz w:val="22"/>
          <w:szCs w:val="22"/>
        </w:rPr>
        <w:t xml:space="preserve">These priorities will continue into 2026/27. </w:t>
      </w:r>
      <w:r w:rsidR="00075B92">
        <w:rPr>
          <w:rFonts w:ascii="Inter" w:hAnsi="Inter" w:cs="Segoe UI"/>
          <w:sz w:val="22"/>
          <w:szCs w:val="22"/>
        </w:rPr>
        <w:t>We will maintain our</w:t>
      </w:r>
      <w:r>
        <w:rPr>
          <w:rFonts w:ascii="Inter" w:hAnsi="Inter" w:cs="Segoe UI"/>
          <w:sz w:val="22"/>
          <w:szCs w:val="22"/>
        </w:rPr>
        <w:t xml:space="preserve"> </w:t>
      </w:r>
      <w:r w:rsidRPr="00B853D7">
        <w:rPr>
          <w:rFonts w:ascii="Inter" w:hAnsi="Inter" w:cs="Segoe UI"/>
          <w:sz w:val="22"/>
          <w:szCs w:val="22"/>
        </w:rPr>
        <w:t xml:space="preserve">focus on ensuring that NICE </w:t>
      </w:r>
      <w:r>
        <w:rPr>
          <w:rFonts w:ascii="Inter" w:hAnsi="Inter" w:cs="Segoe UI"/>
          <w:sz w:val="22"/>
          <w:szCs w:val="22"/>
        </w:rPr>
        <w:t xml:space="preserve">continues to be </w:t>
      </w:r>
      <w:r w:rsidRPr="00B853D7">
        <w:rPr>
          <w:rFonts w:ascii="Inter" w:hAnsi="Inter" w:cs="Segoe UI"/>
          <w:sz w:val="22"/>
          <w:szCs w:val="22"/>
        </w:rPr>
        <w:t xml:space="preserve">relevant, effective and impactful in a health and care system that </w:t>
      </w:r>
      <w:r>
        <w:rPr>
          <w:rFonts w:ascii="Inter" w:hAnsi="Inter" w:cs="Segoe UI"/>
          <w:sz w:val="22"/>
          <w:szCs w:val="22"/>
        </w:rPr>
        <w:t xml:space="preserve">is </w:t>
      </w:r>
      <w:r w:rsidRPr="00B853D7">
        <w:rPr>
          <w:rFonts w:ascii="Inter" w:hAnsi="Inter" w:cs="Segoe UI"/>
          <w:sz w:val="22"/>
          <w:szCs w:val="22"/>
        </w:rPr>
        <w:t>chang</w:t>
      </w:r>
      <w:r>
        <w:rPr>
          <w:rFonts w:ascii="Inter" w:hAnsi="Inter" w:cs="Segoe UI"/>
          <w:sz w:val="22"/>
          <w:szCs w:val="22"/>
        </w:rPr>
        <w:t>ing</w:t>
      </w:r>
      <w:r w:rsidRPr="00B853D7">
        <w:rPr>
          <w:rFonts w:ascii="Inter" w:hAnsi="Inter" w:cs="Segoe UI"/>
          <w:sz w:val="22"/>
          <w:szCs w:val="22"/>
        </w:rPr>
        <w:t xml:space="preserve"> rapidly.</w:t>
      </w:r>
    </w:p>
    <w:p w14:paraId="11C7A457" w14:textId="77777777" w:rsidR="00075B92" w:rsidRDefault="00075B92" w:rsidP="00075B92">
      <w:pPr>
        <w:pStyle w:val="NormalWeb"/>
        <w:spacing w:before="0" w:beforeAutospacing="0" w:after="360" w:afterAutospacing="0" w:line="300" w:lineRule="atLeast"/>
        <w:rPr>
          <w:rFonts w:ascii="Inter" w:hAnsi="Inter" w:cs="Segoe UI"/>
          <w:sz w:val="22"/>
          <w:szCs w:val="22"/>
        </w:rPr>
      </w:pPr>
      <w:r w:rsidRPr="00B853D7">
        <w:rPr>
          <w:rFonts w:ascii="Inter" w:hAnsi="Inter" w:cs="Segoe UI"/>
          <w:sz w:val="22"/>
          <w:szCs w:val="22"/>
        </w:rPr>
        <w:t>Th</w:t>
      </w:r>
      <w:r>
        <w:rPr>
          <w:rFonts w:ascii="Inter" w:hAnsi="Inter" w:cs="Segoe UI"/>
          <w:sz w:val="22"/>
          <w:szCs w:val="22"/>
        </w:rPr>
        <w:t>is Corporate Business Plan summarises the organisation-wide initiatives that will help us to achieve these goals and the key performance indicators that we will use to measure success. These are:</w:t>
      </w:r>
    </w:p>
    <w:p w14:paraId="163ACC51" w14:textId="77777777" w:rsidR="00876D8F" w:rsidRDefault="00876D8F" w:rsidP="001E7783">
      <w:pPr>
        <w:pStyle w:val="NormalWeb"/>
        <w:spacing w:before="0" w:beforeAutospacing="0" w:after="360" w:afterAutospacing="0" w:line="300" w:lineRule="atLeast"/>
        <w:rPr>
          <w:rFonts w:ascii="Inter" w:hAnsi="Inter" w:cs="Segoe UI"/>
          <w:sz w:val="22"/>
          <w:szCs w:val="22"/>
        </w:rPr>
      </w:pPr>
    </w:p>
    <w:tbl>
      <w:tblPr>
        <w:tblStyle w:val="TableGrid"/>
        <w:tblW w:w="0" w:type="auto"/>
        <w:tblLook w:val="04A0" w:firstRow="1" w:lastRow="0" w:firstColumn="1" w:lastColumn="0" w:noHBand="0" w:noVBand="1"/>
      </w:tblPr>
      <w:tblGrid>
        <w:gridCol w:w="2283"/>
        <w:gridCol w:w="2413"/>
        <w:gridCol w:w="2479"/>
        <w:gridCol w:w="2363"/>
        <w:gridCol w:w="2361"/>
        <w:gridCol w:w="2049"/>
      </w:tblGrid>
      <w:tr w:rsidR="00876D8F" w14:paraId="5EE01687" w14:textId="6F08A18F" w:rsidTr="009F45AB">
        <w:trPr>
          <w:trHeight w:val="1189"/>
        </w:trPr>
        <w:tc>
          <w:tcPr>
            <w:tcW w:w="2301" w:type="dxa"/>
            <w:vAlign w:val="center"/>
          </w:tcPr>
          <w:p w14:paraId="3088B3B1" w14:textId="501EBF9B" w:rsidR="00CF4241" w:rsidRPr="00CB42DB" w:rsidRDefault="00CF4241" w:rsidP="00CB42DB">
            <w:pPr>
              <w:pStyle w:val="NormalWeb"/>
              <w:spacing w:line="300" w:lineRule="atLeast"/>
              <w:jc w:val="center"/>
              <w:rPr>
                <w:rFonts w:ascii="Inter" w:hAnsi="Inter" w:cs="Segoe UI"/>
                <w:b/>
                <w:sz w:val="22"/>
                <w:szCs w:val="22"/>
              </w:rPr>
            </w:pPr>
            <w:r w:rsidRPr="00CB42DB">
              <w:rPr>
                <w:rFonts w:ascii="Inter" w:hAnsi="Inter" w:cs="Segoe UI"/>
                <w:b/>
                <w:sz w:val="22"/>
                <w:szCs w:val="22"/>
              </w:rPr>
              <w:t xml:space="preserve">Whole lifecycle </w:t>
            </w:r>
            <w:r w:rsidR="00367D07" w:rsidRPr="00CB42DB">
              <w:rPr>
                <w:rFonts w:ascii="Inter" w:hAnsi="Inter" w:cs="Segoe UI"/>
                <w:b/>
                <w:bCs/>
                <w:sz w:val="22"/>
                <w:szCs w:val="22"/>
              </w:rPr>
              <w:t>approach</w:t>
            </w:r>
          </w:p>
        </w:tc>
        <w:tc>
          <w:tcPr>
            <w:tcW w:w="2425" w:type="dxa"/>
            <w:vAlign w:val="center"/>
          </w:tcPr>
          <w:p w14:paraId="07625529" w14:textId="132F6C5E" w:rsidR="00CF4241" w:rsidRPr="00CB42DB" w:rsidRDefault="001044CC" w:rsidP="00CB42DB">
            <w:pPr>
              <w:pStyle w:val="NormalWeb"/>
              <w:spacing w:line="300" w:lineRule="atLeast"/>
              <w:jc w:val="center"/>
              <w:rPr>
                <w:rFonts w:ascii="Inter" w:hAnsi="Inter" w:cs="Segoe UI"/>
                <w:b/>
                <w:sz w:val="22"/>
                <w:szCs w:val="22"/>
              </w:rPr>
            </w:pPr>
            <w:r w:rsidRPr="00CB42DB">
              <w:rPr>
                <w:rFonts w:ascii="Inter" w:hAnsi="Inter" w:cs="Segoe UI"/>
                <w:b/>
                <w:sz w:val="22"/>
                <w:szCs w:val="22"/>
              </w:rPr>
              <w:t>Planning and scheduling management</w:t>
            </w:r>
          </w:p>
        </w:tc>
        <w:tc>
          <w:tcPr>
            <w:tcW w:w="2489" w:type="dxa"/>
            <w:vAlign w:val="center"/>
          </w:tcPr>
          <w:p w14:paraId="6269C0C9" w14:textId="4C5617D4" w:rsidR="00CF4241" w:rsidRPr="00CB42DB" w:rsidRDefault="001044CC" w:rsidP="00CB42DB">
            <w:pPr>
              <w:pStyle w:val="NormalWeb"/>
              <w:spacing w:line="300" w:lineRule="atLeast"/>
              <w:jc w:val="center"/>
              <w:rPr>
                <w:rFonts w:ascii="Inter" w:hAnsi="Inter" w:cs="Segoe UI"/>
                <w:b/>
                <w:sz w:val="22"/>
                <w:szCs w:val="22"/>
              </w:rPr>
            </w:pPr>
            <w:r w:rsidRPr="00CB42DB">
              <w:rPr>
                <w:rFonts w:ascii="Inter" w:hAnsi="Inter" w:cs="Segoe UI"/>
                <w:b/>
                <w:sz w:val="22"/>
                <w:szCs w:val="22"/>
              </w:rPr>
              <w:t>Knowledge transformation</w:t>
            </w:r>
          </w:p>
        </w:tc>
        <w:tc>
          <w:tcPr>
            <w:tcW w:w="2377" w:type="dxa"/>
            <w:vAlign w:val="center"/>
          </w:tcPr>
          <w:p w14:paraId="0E15D662" w14:textId="5911BE2F" w:rsidR="00CF4241" w:rsidRPr="00CB42DB" w:rsidRDefault="001044CC" w:rsidP="00CB42DB">
            <w:pPr>
              <w:pStyle w:val="NormalWeb"/>
              <w:spacing w:line="300" w:lineRule="atLeast"/>
              <w:jc w:val="center"/>
              <w:rPr>
                <w:rFonts w:ascii="Inter" w:hAnsi="Inter" w:cs="Segoe UI"/>
                <w:b/>
                <w:sz w:val="22"/>
                <w:szCs w:val="22"/>
              </w:rPr>
            </w:pPr>
            <w:r w:rsidRPr="00CB42DB">
              <w:rPr>
                <w:rFonts w:ascii="Inter" w:hAnsi="Inter" w:cs="Segoe UI"/>
                <w:b/>
                <w:bCs/>
                <w:sz w:val="22"/>
                <w:szCs w:val="22"/>
              </w:rPr>
              <w:t>A</w:t>
            </w:r>
            <w:r w:rsidR="00367D07">
              <w:rPr>
                <w:rFonts w:ascii="Inter" w:hAnsi="Inter" w:cs="Segoe UI"/>
                <w:b/>
                <w:bCs/>
                <w:sz w:val="22"/>
                <w:szCs w:val="22"/>
              </w:rPr>
              <w:t xml:space="preserve">rtificial intelligence and </w:t>
            </w:r>
            <w:r w:rsidRPr="00CB42DB">
              <w:rPr>
                <w:rFonts w:ascii="Inter" w:hAnsi="Inter" w:cs="Segoe UI"/>
                <w:b/>
                <w:bCs/>
                <w:sz w:val="22"/>
                <w:szCs w:val="22"/>
              </w:rPr>
              <w:t>data</w:t>
            </w:r>
          </w:p>
        </w:tc>
        <w:tc>
          <w:tcPr>
            <w:tcW w:w="2375" w:type="dxa"/>
            <w:vAlign w:val="center"/>
          </w:tcPr>
          <w:p w14:paraId="76CE2EA3" w14:textId="596C3D95" w:rsidR="00CF4241" w:rsidRPr="00CB42DB" w:rsidRDefault="001044CC" w:rsidP="00CB42DB">
            <w:pPr>
              <w:pStyle w:val="NormalWeb"/>
              <w:spacing w:line="300" w:lineRule="atLeast"/>
              <w:jc w:val="center"/>
              <w:rPr>
                <w:rFonts w:ascii="Inter" w:hAnsi="Inter" w:cs="Segoe UI"/>
                <w:b/>
                <w:sz w:val="22"/>
                <w:szCs w:val="22"/>
              </w:rPr>
            </w:pPr>
            <w:r w:rsidRPr="00CB42DB">
              <w:rPr>
                <w:rFonts w:ascii="Inter" w:hAnsi="Inter" w:cs="Segoe UI"/>
                <w:b/>
                <w:sz w:val="22"/>
                <w:szCs w:val="22"/>
              </w:rPr>
              <w:t xml:space="preserve">National HealthTech Access </w:t>
            </w:r>
            <w:r w:rsidR="00876D8F">
              <w:rPr>
                <w:rFonts w:ascii="Inter" w:hAnsi="Inter" w:cs="Segoe UI"/>
                <w:b/>
                <w:sz w:val="22"/>
                <w:szCs w:val="22"/>
              </w:rPr>
              <w:t>p</w:t>
            </w:r>
            <w:r w:rsidRPr="00CB42DB">
              <w:rPr>
                <w:rFonts w:ascii="Inter" w:hAnsi="Inter" w:cs="Segoe UI"/>
                <w:b/>
                <w:sz w:val="22"/>
                <w:szCs w:val="22"/>
              </w:rPr>
              <w:t>rogramme</w:t>
            </w:r>
          </w:p>
        </w:tc>
        <w:tc>
          <w:tcPr>
            <w:tcW w:w="1981" w:type="dxa"/>
            <w:vAlign w:val="center"/>
          </w:tcPr>
          <w:p w14:paraId="7F9D27E0" w14:textId="3188EE0E" w:rsidR="004D2403" w:rsidRDefault="00A546B1" w:rsidP="009F45AB">
            <w:pPr>
              <w:pStyle w:val="NormalWeb"/>
              <w:spacing w:line="300" w:lineRule="atLeast"/>
              <w:jc w:val="center"/>
              <w:rPr>
                <w:rFonts w:ascii="Inter" w:hAnsi="Inter" w:cs="Segoe UI"/>
                <w:b/>
                <w:sz w:val="22"/>
                <w:szCs w:val="22"/>
              </w:rPr>
            </w:pPr>
            <w:r w:rsidRPr="00CB42DB">
              <w:rPr>
                <w:rFonts w:ascii="Inter" w:hAnsi="Inter" w:cs="Segoe UI"/>
                <w:b/>
                <w:sz w:val="22"/>
                <w:szCs w:val="22"/>
              </w:rPr>
              <w:t>MHRA aligned pathway</w:t>
            </w:r>
          </w:p>
        </w:tc>
      </w:tr>
      <w:tr w:rsidR="00876D8F" w14:paraId="4D89961C" w14:textId="510E45AF" w:rsidTr="009F45AB">
        <w:trPr>
          <w:trHeight w:val="1121"/>
        </w:trPr>
        <w:tc>
          <w:tcPr>
            <w:tcW w:w="2301" w:type="dxa"/>
            <w:vAlign w:val="center"/>
          </w:tcPr>
          <w:p w14:paraId="55CD27DC" w14:textId="6D216507" w:rsidR="00CF4241" w:rsidRPr="00CB42DB" w:rsidRDefault="00CF4241" w:rsidP="00CB42DB">
            <w:pPr>
              <w:pStyle w:val="NormalWeb"/>
              <w:spacing w:line="300" w:lineRule="atLeast"/>
              <w:jc w:val="center"/>
              <w:rPr>
                <w:rFonts w:ascii="Inter" w:hAnsi="Inter" w:cs="Segoe UI"/>
                <w:b/>
                <w:sz w:val="22"/>
                <w:szCs w:val="22"/>
              </w:rPr>
            </w:pPr>
          </w:p>
        </w:tc>
        <w:tc>
          <w:tcPr>
            <w:tcW w:w="2425" w:type="dxa"/>
            <w:vAlign w:val="center"/>
          </w:tcPr>
          <w:p w14:paraId="3A7F1590" w14:textId="2752208A" w:rsidR="00CF4241" w:rsidRPr="00CB42DB" w:rsidRDefault="00CB42DB" w:rsidP="00CB42DB">
            <w:pPr>
              <w:pStyle w:val="NormalWeb"/>
              <w:spacing w:line="300" w:lineRule="atLeast"/>
              <w:jc w:val="center"/>
              <w:rPr>
                <w:rFonts w:ascii="Inter" w:hAnsi="Inter" w:cs="Segoe UI"/>
                <w:b/>
                <w:sz w:val="22"/>
                <w:szCs w:val="22"/>
              </w:rPr>
            </w:pPr>
            <w:r w:rsidRPr="00CB42DB">
              <w:rPr>
                <w:rFonts w:ascii="Inter" w:hAnsi="Inter" w:cs="Segoe UI"/>
                <w:b/>
                <w:bCs/>
                <w:sz w:val="22"/>
                <w:szCs w:val="22"/>
              </w:rPr>
              <w:t>Common commercial approach</w:t>
            </w:r>
          </w:p>
        </w:tc>
        <w:tc>
          <w:tcPr>
            <w:tcW w:w="2489" w:type="dxa"/>
            <w:vAlign w:val="center"/>
          </w:tcPr>
          <w:p w14:paraId="386B0BB5" w14:textId="07CB2D19" w:rsidR="00CF4241" w:rsidRPr="00CB42DB" w:rsidRDefault="0056771E" w:rsidP="00CB42DB">
            <w:pPr>
              <w:pStyle w:val="NormalWeb"/>
              <w:spacing w:line="300" w:lineRule="atLeast"/>
              <w:jc w:val="center"/>
              <w:rPr>
                <w:rFonts w:ascii="Inter" w:hAnsi="Inter" w:cs="Segoe UI"/>
                <w:b/>
                <w:sz w:val="22"/>
                <w:szCs w:val="22"/>
              </w:rPr>
            </w:pPr>
            <w:r>
              <w:rPr>
                <w:rFonts w:ascii="Inter" w:hAnsi="Inter" w:cs="Segoe UI"/>
                <w:b/>
                <w:bCs/>
                <w:sz w:val="22"/>
                <w:szCs w:val="22"/>
              </w:rPr>
              <w:t>NICE</w:t>
            </w:r>
            <w:r w:rsidR="00CB42DB" w:rsidRPr="00CB42DB">
              <w:rPr>
                <w:rFonts w:ascii="Inter" w:hAnsi="Inter" w:cs="Segoe UI"/>
                <w:b/>
                <w:bCs/>
                <w:sz w:val="22"/>
                <w:szCs w:val="22"/>
              </w:rPr>
              <w:t xml:space="preserve"> methods manual</w:t>
            </w:r>
          </w:p>
        </w:tc>
        <w:tc>
          <w:tcPr>
            <w:tcW w:w="2377" w:type="dxa"/>
            <w:vAlign w:val="center"/>
          </w:tcPr>
          <w:p w14:paraId="7DACE2C9" w14:textId="222B622D" w:rsidR="00CF4241" w:rsidRPr="00CB42DB" w:rsidRDefault="00CB42DB" w:rsidP="00CB42DB">
            <w:pPr>
              <w:pStyle w:val="NormalWeb"/>
              <w:spacing w:line="300" w:lineRule="atLeast"/>
              <w:jc w:val="center"/>
              <w:rPr>
                <w:rFonts w:ascii="Inter" w:hAnsi="Inter" w:cs="Segoe UI"/>
                <w:b/>
                <w:sz w:val="22"/>
                <w:szCs w:val="22"/>
              </w:rPr>
            </w:pPr>
            <w:r w:rsidRPr="00CB42DB">
              <w:rPr>
                <w:rFonts w:ascii="Inter" w:hAnsi="Inter" w:cs="Segoe UI"/>
                <w:b/>
                <w:bCs/>
                <w:sz w:val="22"/>
                <w:szCs w:val="22"/>
              </w:rPr>
              <w:t>Quality and safety</w:t>
            </w:r>
          </w:p>
        </w:tc>
        <w:tc>
          <w:tcPr>
            <w:tcW w:w="2375" w:type="dxa"/>
            <w:vAlign w:val="center"/>
          </w:tcPr>
          <w:p w14:paraId="6C853686" w14:textId="11340232" w:rsidR="00CF4241" w:rsidRPr="00CB42DB" w:rsidRDefault="00A546B1" w:rsidP="00CB42DB">
            <w:pPr>
              <w:pStyle w:val="NormalWeb"/>
              <w:spacing w:line="300" w:lineRule="atLeast"/>
              <w:jc w:val="center"/>
              <w:rPr>
                <w:rFonts w:ascii="Inter" w:hAnsi="Inter" w:cs="Segoe UI"/>
                <w:b/>
                <w:sz w:val="22"/>
                <w:szCs w:val="22"/>
              </w:rPr>
            </w:pPr>
            <w:r>
              <w:rPr>
                <w:rFonts w:ascii="Inter" w:hAnsi="Inter" w:cs="Segoe UI"/>
                <w:b/>
                <w:bCs/>
                <w:sz w:val="22"/>
                <w:szCs w:val="22"/>
              </w:rPr>
              <w:t xml:space="preserve">Future ready </w:t>
            </w:r>
            <w:r w:rsidR="00876D8F">
              <w:rPr>
                <w:rFonts w:ascii="Inter" w:hAnsi="Inter" w:cs="Segoe UI"/>
                <w:b/>
                <w:bCs/>
                <w:sz w:val="22"/>
                <w:szCs w:val="22"/>
              </w:rPr>
              <w:t>l</w:t>
            </w:r>
            <w:r w:rsidR="007B351C">
              <w:rPr>
                <w:rFonts w:ascii="Inter" w:hAnsi="Inter" w:cs="Segoe UI"/>
                <w:b/>
                <w:bCs/>
                <w:sz w:val="22"/>
                <w:szCs w:val="22"/>
              </w:rPr>
              <w:t>eadership</w:t>
            </w:r>
            <w:r w:rsidR="007B351C" w:rsidRPr="00CB42DB">
              <w:rPr>
                <w:rFonts w:ascii="Inter" w:hAnsi="Inter" w:cs="Segoe UI"/>
                <w:b/>
                <w:bCs/>
                <w:sz w:val="22"/>
                <w:szCs w:val="22"/>
              </w:rPr>
              <w:t xml:space="preserve"> </w:t>
            </w:r>
            <w:r w:rsidR="00CB42DB" w:rsidRPr="00CB42DB">
              <w:rPr>
                <w:rFonts w:ascii="Inter" w:hAnsi="Inter" w:cs="Segoe UI"/>
                <w:b/>
                <w:bCs/>
                <w:sz w:val="22"/>
                <w:szCs w:val="22"/>
              </w:rPr>
              <w:t>and culture</w:t>
            </w:r>
            <w:r w:rsidR="00876D8F">
              <w:rPr>
                <w:rFonts w:ascii="Inter" w:hAnsi="Inter" w:cs="Segoe UI"/>
                <w:b/>
                <w:bCs/>
                <w:sz w:val="22"/>
                <w:szCs w:val="22"/>
              </w:rPr>
              <w:t xml:space="preserve"> programme</w:t>
            </w:r>
          </w:p>
        </w:tc>
        <w:tc>
          <w:tcPr>
            <w:tcW w:w="1981" w:type="dxa"/>
            <w:vAlign w:val="center"/>
          </w:tcPr>
          <w:p w14:paraId="46E6C775" w14:textId="6655B865" w:rsidR="004D2403" w:rsidRPr="004D2403" w:rsidRDefault="00A546B1" w:rsidP="009F45AB">
            <w:pPr>
              <w:pStyle w:val="NormalWeb"/>
              <w:spacing w:line="300" w:lineRule="atLeast"/>
              <w:jc w:val="center"/>
              <w:rPr>
                <w:rFonts w:ascii="Inter" w:hAnsi="Inter" w:cs="Segoe UI"/>
                <w:b/>
                <w:sz w:val="22"/>
                <w:szCs w:val="22"/>
              </w:rPr>
            </w:pPr>
            <w:r>
              <w:rPr>
                <w:rFonts w:ascii="Inter" w:hAnsi="Inter" w:cs="Segoe UI"/>
                <w:b/>
                <w:sz w:val="22"/>
                <w:szCs w:val="22"/>
              </w:rPr>
              <w:t>Communications</w:t>
            </w:r>
          </w:p>
        </w:tc>
      </w:tr>
    </w:tbl>
    <w:p w14:paraId="13E2F285" w14:textId="77777777" w:rsidR="006F14FA" w:rsidRDefault="006F14FA" w:rsidP="004C3FA1">
      <w:pPr>
        <w:pStyle w:val="NormalWeb"/>
        <w:spacing w:line="300" w:lineRule="atLeast"/>
        <w:rPr>
          <w:rFonts w:ascii="Inter" w:hAnsi="Inter" w:cs="Segoe UI"/>
          <w:sz w:val="22"/>
          <w:szCs w:val="22"/>
        </w:rPr>
      </w:pPr>
    </w:p>
    <w:p w14:paraId="0CBEFDD7" w14:textId="77777777" w:rsidR="00EF7E68" w:rsidRPr="00A43C28" w:rsidRDefault="00A43C28" w:rsidP="00A475FB">
      <w:pPr>
        <w:pStyle w:val="Heading1"/>
      </w:pPr>
      <w:bookmarkStart w:id="1" w:name="_Toc228950910"/>
      <w:bookmarkStart w:id="2" w:name="_Toc229498290"/>
      <w:r>
        <w:lastRenderedPageBreak/>
        <w:t>Introduction</w:t>
      </w:r>
      <w:bookmarkEnd w:id="1"/>
      <w:bookmarkEnd w:id="2"/>
    </w:p>
    <w:p w14:paraId="161CDC74" w14:textId="63575740" w:rsidR="00116843" w:rsidRPr="00AE4FB8" w:rsidRDefault="00116843" w:rsidP="00116843">
      <w:pPr>
        <w:spacing w:after="240"/>
      </w:pPr>
      <w:r w:rsidRPr="00AE4FB8">
        <w:t xml:space="preserve">2025/26 </w:t>
      </w:r>
      <w:r w:rsidR="00B66138">
        <w:t>was</w:t>
      </w:r>
      <w:r w:rsidRPr="00AE4FB8">
        <w:t xml:space="preserve"> a successful year for NICE.</w:t>
      </w:r>
      <w:r>
        <w:t xml:space="preserve"> </w:t>
      </w:r>
      <w:r w:rsidRPr="00AE4FB8">
        <w:t xml:space="preserve">This Corporate Business Plan sets out the </w:t>
      </w:r>
      <w:r>
        <w:t xml:space="preserve">organisation-wide </w:t>
      </w:r>
      <w:r w:rsidRPr="00AE4FB8">
        <w:t>projects and initiatives we will deliver in 2026/27</w:t>
      </w:r>
      <w:r>
        <w:t xml:space="preserve"> and how we will measure success</w:t>
      </w:r>
      <w:r w:rsidRPr="00AE4FB8">
        <w:t xml:space="preserve">. The plan is </w:t>
      </w:r>
      <w:r>
        <w:t>foundational and will enable us to continue to deliver and improve our core business of creating better guidance that enables faster access to evidence-based care.</w:t>
      </w:r>
    </w:p>
    <w:p w14:paraId="6C41FC38" w14:textId="5174CA07" w:rsidR="00116843" w:rsidRPr="00AE4FB8" w:rsidRDefault="00116843" w:rsidP="00116843">
      <w:pPr>
        <w:spacing w:after="240"/>
      </w:pPr>
      <w:r w:rsidRPr="00AE4FB8">
        <w:t xml:space="preserve">Since being appointed Chief Executive in December 2025, Jonathan Benger has been engaged in a listening exercise with NICE staff, health and care partners, industry and other stakeholders to understand opportunities for further development and improvement. This listening </w:t>
      </w:r>
      <w:r>
        <w:t xml:space="preserve">exercise </w:t>
      </w:r>
      <w:r w:rsidRPr="00AE4FB8">
        <w:t xml:space="preserve">will </w:t>
      </w:r>
      <w:r>
        <w:t>shape</w:t>
      </w:r>
      <w:r w:rsidRPr="00AE4FB8">
        <w:t xml:space="preserve"> NICE’s </w:t>
      </w:r>
      <w:r>
        <w:t xml:space="preserve">strategy from September onwards. This </w:t>
      </w:r>
      <w:r w:rsidRPr="00AE4FB8">
        <w:t xml:space="preserve">further development will build </w:t>
      </w:r>
      <w:r w:rsidR="006D3CB5">
        <w:t>up</w:t>
      </w:r>
      <w:r w:rsidRPr="00AE4FB8">
        <w:t>on</w:t>
      </w:r>
      <w:r>
        <w:t xml:space="preserve">, </w:t>
      </w:r>
      <w:r w:rsidRPr="00AE4FB8">
        <w:t>not replace</w:t>
      </w:r>
      <w:r w:rsidR="006D3CB5">
        <w:t>,</w:t>
      </w:r>
      <w:r>
        <w:t xml:space="preserve"> </w:t>
      </w:r>
      <w:r w:rsidRPr="00AE4FB8">
        <w:t>the work already underway.</w:t>
      </w:r>
    </w:p>
    <w:p w14:paraId="4D85BA8B" w14:textId="28E018B3" w:rsidR="00AE4FB8" w:rsidRPr="00AE4FB8" w:rsidRDefault="00AE4FB8" w:rsidP="009F230A">
      <w:pPr>
        <w:spacing w:after="240"/>
      </w:pPr>
      <w:r w:rsidRPr="00AE4FB8">
        <w:t>NICE continues to operate in an ever</w:t>
      </w:r>
      <w:r w:rsidRPr="00AE4FB8">
        <w:noBreakHyphen/>
        <w:t>changing environment. We see rapid developments in medicines and health technologies, changes in approaches to value assessment, shifts in international trade, and a growing need to maintain the UK’s attractiveness for inward investment and innovation.</w:t>
      </w:r>
    </w:p>
    <w:p w14:paraId="1E524236" w14:textId="38206085" w:rsidR="00AE4FB8" w:rsidRPr="00AE4FB8" w:rsidRDefault="00AE4FB8" w:rsidP="009F230A">
      <w:pPr>
        <w:spacing w:after="240"/>
      </w:pPr>
      <w:r w:rsidRPr="00AE4FB8">
        <w:t xml:space="preserve">NICE must remain responsive to these shifts while staying true to its core purpose. </w:t>
      </w:r>
      <w:r w:rsidR="00116843" w:rsidRPr="00AE4FB8">
        <w:t>That purpose remains unchanged: to improv</w:t>
      </w:r>
      <w:r w:rsidR="00116843">
        <w:t xml:space="preserve">e </w:t>
      </w:r>
      <w:r w:rsidR="00116843" w:rsidRPr="00AE4FB8">
        <w:t>outcomes for patients and the public</w:t>
      </w:r>
      <w:r w:rsidR="00116843">
        <w:t xml:space="preserve"> by</w:t>
      </w:r>
      <w:r w:rsidR="00116843">
        <w:rPr>
          <w:rFonts w:ascii="Inter" w:hAnsi="Inter" w:cs="Segoe UI"/>
        </w:rPr>
        <w:t xml:space="preserve"> helping practitioners and commissioners get the best care to people fast, while ensuring value for the taxpayer</w:t>
      </w:r>
      <w:r w:rsidR="00116843" w:rsidRPr="00AE4FB8">
        <w:t>.</w:t>
      </w:r>
      <w:r w:rsidRPr="00AE4FB8">
        <w:t xml:space="preserve"> This plan sets out how we will continue to do exactly that, while laying the groundwork for the unified vision that lies ahead.</w:t>
      </w:r>
    </w:p>
    <w:p w14:paraId="664619FD" w14:textId="77777777" w:rsidR="007F6206" w:rsidRPr="00A318ED" w:rsidRDefault="007F6206" w:rsidP="00A318ED"/>
    <w:p w14:paraId="28A08298" w14:textId="5A215DD2" w:rsidR="00073E62" w:rsidRDefault="004E691A" w:rsidP="00AA7F41">
      <w:pPr>
        <w:jc w:val="center"/>
      </w:pPr>
      <w:r>
        <w:br w:type="page"/>
      </w:r>
    </w:p>
    <w:p w14:paraId="2E0E2FFB" w14:textId="180F3E41" w:rsidR="00073E62" w:rsidRDefault="00073E62" w:rsidP="00A475FB">
      <w:pPr>
        <w:pStyle w:val="Heading1"/>
      </w:pPr>
      <w:bookmarkStart w:id="3" w:name="_Toc229498291"/>
      <w:r>
        <w:lastRenderedPageBreak/>
        <w:t>Key performance indicators</w:t>
      </w:r>
      <w:bookmarkEnd w:id="3"/>
    </w:p>
    <w:p w14:paraId="65DE944B" w14:textId="77777777" w:rsidR="00917487" w:rsidRPr="00C47C76" w:rsidRDefault="00917487" w:rsidP="00917487">
      <w:r>
        <w:t xml:space="preserve">The tables below set our key performance indicators (KPIs) for 2026/27. These KPIs allow us to measure performance against our strategic aims. </w:t>
      </w:r>
    </w:p>
    <w:p w14:paraId="2D4BD507" w14:textId="77777777" w:rsidR="00917487" w:rsidRDefault="00917487" w:rsidP="004F53E3">
      <w:pPr>
        <w:pStyle w:val="Heading2"/>
      </w:pPr>
    </w:p>
    <w:p w14:paraId="554C3640" w14:textId="3047718C" w:rsidR="007A75E4" w:rsidRPr="007A75E4" w:rsidRDefault="00981FB7" w:rsidP="004F53E3">
      <w:pPr>
        <w:pStyle w:val="Heading2"/>
      </w:pPr>
      <w:r>
        <w:t>Better guidance</w:t>
      </w:r>
    </w:p>
    <w:tbl>
      <w:tblPr>
        <w:tblStyle w:val="TableGrid"/>
        <w:tblW w:w="14454" w:type="dxa"/>
        <w:tblLook w:val="04A0" w:firstRow="1" w:lastRow="0" w:firstColumn="1" w:lastColumn="0" w:noHBand="0" w:noVBand="1"/>
      </w:tblPr>
      <w:tblGrid>
        <w:gridCol w:w="10427"/>
        <w:gridCol w:w="2045"/>
        <w:gridCol w:w="1982"/>
      </w:tblGrid>
      <w:tr w:rsidR="00073E62" w14:paraId="73A53751" w14:textId="77777777" w:rsidTr="00EC4967">
        <w:trPr>
          <w:tblHeader/>
        </w:trPr>
        <w:tc>
          <w:tcPr>
            <w:tcW w:w="10427" w:type="dxa"/>
            <w:shd w:val="clear" w:color="auto" w:fill="00436C" w:themeFill="accent2"/>
            <w:vAlign w:val="center"/>
          </w:tcPr>
          <w:p w14:paraId="7585FFF6" w14:textId="77777777" w:rsidR="00073E62" w:rsidRPr="00F11DD9" w:rsidRDefault="00073E62">
            <w:pPr>
              <w:pStyle w:val="Paragraph"/>
              <w:spacing w:before="120" w:after="120" w:line="240" w:lineRule="auto"/>
              <w:rPr>
                <w:rFonts w:asciiTheme="minorHAnsi" w:hAnsiTheme="minorHAnsi"/>
                <w:b/>
                <w:color w:val="FFFFFF" w:themeColor="background1"/>
                <w:lang w:eastAsia="en-GB"/>
              </w:rPr>
            </w:pPr>
            <w:r w:rsidRPr="00F11DD9">
              <w:rPr>
                <w:rFonts w:asciiTheme="minorHAnsi" w:hAnsiTheme="minorHAnsi"/>
                <w:b/>
                <w:color w:val="FFFFFF" w:themeColor="background1"/>
                <w:lang w:eastAsia="en-GB"/>
              </w:rPr>
              <w:t>Metric</w:t>
            </w:r>
          </w:p>
        </w:tc>
        <w:tc>
          <w:tcPr>
            <w:tcW w:w="2045" w:type="dxa"/>
            <w:shd w:val="clear" w:color="auto" w:fill="00436C" w:themeFill="accent2"/>
            <w:vAlign w:val="center"/>
          </w:tcPr>
          <w:p w14:paraId="30B98777" w14:textId="261EF97B" w:rsidR="00073E62" w:rsidRPr="00F11DD9" w:rsidRDefault="00073E62">
            <w:pPr>
              <w:pStyle w:val="Paragraph"/>
              <w:spacing w:before="120" w:after="120" w:line="240" w:lineRule="auto"/>
              <w:jc w:val="center"/>
              <w:rPr>
                <w:rFonts w:asciiTheme="minorHAnsi" w:hAnsiTheme="minorHAnsi"/>
                <w:b/>
                <w:color w:val="FFFFFF" w:themeColor="background1"/>
                <w:lang w:eastAsia="en-GB"/>
              </w:rPr>
            </w:pPr>
            <w:r w:rsidRPr="00F11DD9">
              <w:rPr>
                <w:rFonts w:asciiTheme="minorHAnsi" w:hAnsiTheme="minorHAnsi"/>
                <w:b/>
                <w:color w:val="FFFFFF" w:themeColor="background1"/>
                <w:lang w:eastAsia="en-GB"/>
              </w:rPr>
              <w:t>2026/27 target</w:t>
            </w:r>
          </w:p>
        </w:tc>
        <w:tc>
          <w:tcPr>
            <w:tcW w:w="1982" w:type="dxa"/>
            <w:shd w:val="clear" w:color="auto" w:fill="00436C" w:themeFill="accent2"/>
            <w:vAlign w:val="center"/>
          </w:tcPr>
          <w:p w14:paraId="588EA6E3" w14:textId="605824BF" w:rsidR="00073E62" w:rsidRPr="00F11DD9" w:rsidRDefault="00073E62">
            <w:pPr>
              <w:pStyle w:val="Paragraph"/>
              <w:spacing w:before="120" w:after="120" w:line="240" w:lineRule="auto"/>
              <w:jc w:val="center"/>
              <w:rPr>
                <w:rFonts w:asciiTheme="minorHAnsi" w:hAnsiTheme="minorHAnsi"/>
                <w:b/>
                <w:color w:val="FFFFFF" w:themeColor="background1"/>
                <w:lang w:eastAsia="en-GB"/>
              </w:rPr>
            </w:pPr>
            <w:r w:rsidRPr="00F11DD9">
              <w:rPr>
                <w:rFonts w:asciiTheme="minorHAnsi" w:hAnsiTheme="minorHAnsi"/>
                <w:b/>
                <w:color w:val="FFFFFF" w:themeColor="background1"/>
                <w:lang w:eastAsia="en-GB"/>
              </w:rPr>
              <w:t xml:space="preserve">25/26 </w:t>
            </w:r>
            <w:r w:rsidR="00036995" w:rsidRPr="00F11DD9">
              <w:rPr>
                <w:rFonts w:asciiTheme="minorHAnsi" w:hAnsiTheme="minorHAnsi"/>
                <w:b/>
                <w:color w:val="FFFFFF" w:themeColor="background1"/>
                <w:lang w:eastAsia="en-GB"/>
              </w:rPr>
              <w:t>YTD</w:t>
            </w:r>
            <w:r w:rsidR="0F564CF3" w:rsidRPr="00F11DD9">
              <w:rPr>
                <w:rFonts w:asciiTheme="minorHAnsi" w:hAnsiTheme="minorHAnsi"/>
                <w:b/>
                <w:color w:val="FFFFFF" w:themeColor="background1"/>
                <w:lang w:eastAsia="en-GB"/>
              </w:rPr>
              <w:t>.</w:t>
            </w:r>
            <w:r w:rsidR="00036995" w:rsidRPr="00F11DD9">
              <w:rPr>
                <w:rFonts w:asciiTheme="minorHAnsi" w:hAnsiTheme="minorHAnsi"/>
                <w:b/>
                <w:color w:val="FFFFFF" w:themeColor="background1"/>
                <w:lang w:eastAsia="en-GB"/>
              </w:rPr>
              <w:t xml:space="preserve"> </w:t>
            </w:r>
            <w:r w:rsidRPr="00F11DD9">
              <w:rPr>
                <w:rFonts w:asciiTheme="minorHAnsi" w:hAnsiTheme="minorHAnsi"/>
                <w:b/>
                <w:color w:val="FFFFFF" w:themeColor="background1"/>
                <w:lang w:eastAsia="en-GB"/>
              </w:rPr>
              <w:t>performance</w:t>
            </w:r>
          </w:p>
        </w:tc>
      </w:tr>
      <w:tr w:rsidR="002334E8" w14:paraId="3C62F183" w14:textId="77777777" w:rsidTr="00793852">
        <w:trPr>
          <w:trHeight w:val="77"/>
        </w:trPr>
        <w:tc>
          <w:tcPr>
            <w:tcW w:w="10427" w:type="dxa"/>
            <w:vAlign w:val="center"/>
          </w:tcPr>
          <w:p w14:paraId="24480B00" w14:textId="4592BD71" w:rsidR="002334E8" w:rsidRPr="00F11DD9" w:rsidRDefault="0037682F" w:rsidP="002334E8">
            <w:pPr>
              <w:pStyle w:val="Paragraph"/>
              <w:spacing w:before="120" w:after="120" w:line="240" w:lineRule="auto"/>
              <w:rPr>
                <w:rFonts w:asciiTheme="minorHAnsi" w:hAnsiTheme="minorHAnsi"/>
                <w:lang w:eastAsia="en-GB"/>
              </w:rPr>
            </w:pPr>
            <w:r>
              <w:rPr>
                <w:rFonts w:ascii="Inter" w:hAnsi="Inter"/>
                <w:color w:val="000000"/>
              </w:rPr>
              <w:t>Percentage of primary users selecting NICE guidance as their product of choice</w:t>
            </w:r>
          </w:p>
        </w:tc>
        <w:tc>
          <w:tcPr>
            <w:tcW w:w="2045" w:type="dxa"/>
          </w:tcPr>
          <w:p w14:paraId="7ADABA1D" w14:textId="37CA24C5" w:rsidR="002334E8" w:rsidRPr="00F11DD9" w:rsidRDefault="0037682F" w:rsidP="002334E8">
            <w:pPr>
              <w:pStyle w:val="Paragraph"/>
              <w:spacing w:before="120" w:after="120" w:line="240" w:lineRule="auto"/>
              <w:jc w:val="center"/>
              <w:rPr>
                <w:rFonts w:asciiTheme="minorHAnsi" w:hAnsiTheme="minorHAnsi"/>
                <w:lang w:eastAsia="en-GB"/>
              </w:rPr>
            </w:pPr>
            <w:r>
              <w:rPr>
                <w:rFonts w:asciiTheme="minorHAnsi" w:hAnsiTheme="minorHAnsi" w:cs="Arial"/>
                <w:color w:val="000000" w:themeColor="text1"/>
              </w:rPr>
              <w:t>6</w:t>
            </w:r>
            <w:r w:rsidR="000F56EB">
              <w:rPr>
                <w:rFonts w:asciiTheme="minorHAnsi" w:hAnsiTheme="minorHAnsi" w:cs="Arial"/>
                <w:color w:val="000000" w:themeColor="text1"/>
              </w:rPr>
              <w:t>0</w:t>
            </w:r>
            <w:r>
              <w:rPr>
                <w:rFonts w:asciiTheme="minorHAnsi" w:hAnsiTheme="minorHAnsi" w:cs="Arial"/>
                <w:color w:val="000000" w:themeColor="text1"/>
              </w:rPr>
              <w:t>%</w:t>
            </w:r>
          </w:p>
        </w:tc>
        <w:tc>
          <w:tcPr>
            <w:tcW w:w="1982" w:type="dxa"/>
          </w:tcPr>
          <w:p w14:paraId="3422F6CD" w14:textId="39A3AA75" w:rsidR="002334E8" w:rsidRPr="00F11DD9" w:rsidRDefault="00EC4967" w:rsidP="002334E8">
            <w:pPr>
              <w:pStyle w:val="Paragraph"/>
              <w:spacing w:before="120" w:after="120" w:line="240" w:lineRule="auto"/>
              <w:jc w:val="center"/>
              <w:rPr>
                <w:rFonts w:asciiTheme="minorHAnsi" w:hAnsiTheme="minorHAnsi"/>
                <w:lang w:eastAsia="en-GB"/>
              </w:rPr>
            </w:pPr>
            <w:r>
              <w:rPr>
                <w:rFonts w:asciiTheme="minorHAnsi" w:hAnsiTheme="minorHAnsi" w:cs="Arial"/>
                <w:color w:val="000000"/>
                <w:kern w:val="24"/>
                <w:sz w:val="21"/>
                <w:szCs w:val="21"/>
              </w:rPr>
              <w:t>56%</w:t>
            </w:r>
          </w:p>
        </w:tc>
      </w:tr>
      <w:tr w:rsidR="002334E8" w14:paraId="57D825EA" w14:textId="77777777" w:rsidTr="00793852">
        <w:trPr>
          <w:trHeight w:val="77"/>
        </w:trPr>
        <w:tc>
          <w:tcPr>
            <w:tcW w:w="10427" w:type="dxa"/>
            <w:vAlign w:val="center"/>
          </w:tcPr>
          <w:p w14:paraId="3AD7FCAA" w14:textId="1B8D882B" w:rsidR="002334E8" w:rsidRPr="00F11DD9" w:rsidRDefault="0037682F" w:rsidP="002334E8">
            <w:pPr>
              <w:pStyle w:val="Paragraph"/>
              <w:spacing w:before="120" w:after="120" w:line="240" w:lineRule="auto"/>
              <w:rPr>
                <w:rFonts w:asciiTheme="minorHAnsi" w:hAnsiTheme="minorHAnsi"/>
                <w:lang w:eastAsia="en-GB"/>
              </w:rPr>
            </w:pPr>
            <w:r>
              <w:rPr>
                <w:rFonts w:ascii="Inter" w:hAnsi="Inter"/>
                <w:color w:val="000000"/>
              </w:rPr>
              <w:t xml:space="preserve">Proportion of primary users who report that guidance is relevant </w:t>
            </w:r>
          </w:p>
        </w:tc>
        <w:tc>
          <w:tcPr>
            <w:tcW w:w="2045" w:type="dxa"/>
          </w:tcPr>
          <w:p w14:paraId="0B04E9F1" w14:textId="6088C61D" w:rsidR="002334E8" w:rsidRPr="00F11DD9" w:rsidRDefault="0037682F" w:rsidP="002334E8">
            <w:pPr>
              <w:pStyle w:val="Paragraph"/>
              <w:spacing w:before="120" w:after="120" w:line="240" w:lineRule="auto"/>
              <w:jc w:val="center"/>
              <w:rPr>
                <w:rFonts w:asciiTheme="minorHAnsi" w:hAnsiTheme="minorHAnsi"/>
                <w:lang w:eastAsia="en-GB"/>
              </w:rPr>
            </w:pPr>
            <w:r>
              <w:rPr>
                <w:rFonts w:asciiTheme="minorHAnsi" w:hAnsiTheme="minorHAnsi"/>
                <w:lang w:eastAsia="en-GB"/>
              </w:rPr>
              <w:t>85%</w:t>
            </w:r>
          </w:p>
        </w:tc>
        <w:tc>
          <w:tcPr>
            <w:tcW w:w="1982" w:type="dxa"/>
          </w:tcPr>
          <w:p w14:paraId="568F7068" w14:textId="4E982F9D" w:rsidR="002334E8" w:rsidRPr="00F11DD9" w:rsidRDefault="00EC4967" w:rsidP="002334E8">
            <w:pPr>
              <w:pStyle w:val="Paragraph"/>
              <w:spacing w:before="120" w:after="120" w:line="240" w:lineRule="auto"/>
              <w:jc w:val="center"/>
              <w:rPr>
                <w:rFonts w:asciiTheme="minorHAnsi" w:hAnsiTheme="minorHAnsi"/>
                <w:lang w:eastAsia="en-GB"/>
              </w:rPr>
            </w:pPr>
            <w:r>
              <w:rPr>
                <w:rFonts w:asciiTheme="minorHAnsi" w:hAnsiTheme="minorHAnsi" w:cs="Arial"/>
                <w:color w:val="000000" w:themeColor="text1"/>
                <w:kern w:val="24"/>
                <w:sz w:val="21"/>
                <w:szCs w:val="21"/>
                <w:lang w:val="en-US"/>
              </w:rPr>
              <w:t>83%</w:t>
            </w:r>
          </w:p>
        </w:tc>
      </w:tr>
      <w:tr w:rsidR="002334E8" w14:paraId="24A5C381" w14:textId="77777777" w:rsidTr="00793852">
        <w:trPr>
          <w:trHeight w:val="77"/>
        </w:trPr>
        <w:tc>
          <w:tcPr>
            <w:tcW w:w="10427" w:type="dxa"/>
            <w:vAlign w:val="center"/>
          </w:tcPr>
          <w:p w14:paraId="1A335D93" w14:textId="3F677586" w:rsidR="002334E8" w:rsidRPr="00F11DD9" w:rsidRDefault="0037682F" w:rsidP="002334E8">
            <w:pPr>
              <w:pStyle w:val="Paragraph"/>
              <w:spacing w:before="120" w:after="120" w:line="240" w:lineRule="auto"/>
              <w:rPr>
                <w:rFonts w:asciiTheme="minorHAnsi" w:hAnsiTheme="minorHAnsi"/>
                <w:lang w:eastAsia="en-GB"/>
              </w:rPr>
            </w:pPr>
            <w:r>
              <w:rPr>
                <w:rFonts w:ascii="Inter" w:hAnsi="Inter"/>
                <w:color w:val="000000"/>
              </w:rPr>
              <w:t>Proportion of our primary users who report that NICE guidance is usable</w:t>
            </w:r>
          </w:p>
        </w:tc>
        <w:tc>
          <w:tcPr>
            <w:tcW w:w="2045" w:type="dxa"/>
          </w:tcPr>
          <w:p w14:paraId="3F998288" w14:textId="2BDD9AEF" w:rsidR="002334E8" w:rsidRPr="00F11DD9" w:rsidRDefault="007D2C07" w:rsidP="002334E8">
            <w:pPr>
              <w:pStyle w:val="Paragraph"/>
              <w:spacing w:before="120" w:after="120" w:line="240" w:lineRule="auto"/>
              <w:jc w:val="center"/>
              <w:rPr>
                <w:rFonts w:asciiTheme="minorHAnsi" w:hAnsiTheme="minorHAnsi"/>
                <w:lang w:eastAsia="en-GB"/>
              </w:rPr>
            </w:pPr>
            <w:r>
              <w:rPr>
                <w:rFonts w:asciiTheme="minorHAnsi" w:hAnsiTheme="minorHAnsi"/>
                <w:lang w:eastAsia="en-GB"/>
              </w:rPr>
              <w:t>85%</w:t>
            </w:r>
          </w:p>
        </w:tc>
        <w:tc>
          <w:tcPr>
            <w:tcW w:w="1982" w:type="dxa"/>
          </w:tcPr>
          <w:p w14:paraId="7F3162BC" w14:textId="4CC80158" w:rsidR="002334E8" w:rsidRPr="00F11DD9" w:rsidRDefault="00EC4967" w:rsidP="002334E8">
            <w:pPr>
              <w:pStyle w:val="Paragraph"/>
              <w:spacing w:before="120" w:after="120" w:line="240" w:lineRule="auto"/>
              <w:jc w:val="center"/>
              <w:rPr>
                <w:rFonts w:asciiTheme="minorHAnsi" w:hAnsiTheme="minorHAnsi"/>
                <w:lang w:eastAsia="en-GB"/>
              </w:rPr>
            </w:pPr>
            <w:r>
              <w:rPr>
                <w:rFonts w:asciiTheme="minorHAnsi" w:hAnsiTheme="minorHAnsi" w:cs="Arial"/>
                <w:color w:val="000000" w:themeColor="text1"/>
                <w:kern w:val="24"/>
                <w:sz w:val="21"/>
                <w:szCs w:val="21"/>
                <w:lang w:val="en-US"/>
              </w:rPr>
              <w:t>82%</w:t>
            </w:r>
          </w:p>
        </w:tc>
      </w:tr>
      <w:tr w:rsidR="002334E8" w14:paraId="48B386A4" w14:textId="77777777" w:rsidTr="00793852">
        <w:trPr>
          <w:trHeight w:val="77"/>
        </w:trPr>
        <w:tc>
          <w:tcPr>
            <w:tcW w:w="10427" w:type="dxa"/>
            <w:vAlign w:val="center"/>
          </w:tcPr>
          <w:p w14:paraId="0649F36C" w14:textId="2FE86383" w:rsidR="002334E8" w:rsidRPr="00F11DD9" w:rsidRDefault="0037682F" w:rsidP="002334E8">
            <w:pPr>
              <w:pStyle w:val="Paragraph"/>
              <w:spacing w:before="120" w:after="120" w:line="240" w:lineRule="auto"/>
              <w:rPr>
                <w:rFonts w:asciiTheme="minorHAnsi" w:hAnsiTheme="minorHAnsi"/>
                <w:lang w:eastAsia="en-GB"/>
              </w:rPr>
            </w:pPr>
            <w:r>
              <w:rPr>
                <w:rFonts w:ascii="Inter" w:hAnsi="Inter"/>
                <w:color w:val="000000"/>
              </w:rPr>
              <w:t>Proportion of primary users who report that NICE guidance has a demonstrable impact on health and care</w:t>
            </w:r>
          </w:p>
        </w:tc>
        <w:tc>
          <w:tcPr>
            <w:tcW w:w="2045" w:type="dxa"/>
          </w:tcPr>
          <w:p w14:paraId="5E0C3B9E" w14:textId="15F47EE9" w:rsidR="002334E8" w:rsidRPr="00F11DD9" w:rsidRDefault="007D2C07" w:rsidP="002334E8">
            <w:pPr>
              <w:pStyle w:val="Paragraph"/>
              <w:spacing w:before="120" w:after="120" w:line="240" w:lineRule="auto"/>
              <w:jc w:val="center"/>
              <w:rPr>
                <w:rFonts w:asciiTheme="minorHAnsi" w:hAnsiTheme="minorHAnsi"/>
                <w:lang w:eastAsia="en-GB"/>
              </w:rPr>
            </w:pPr>
            <w:r>
              <w:rPr>
                <w:rFonts w:asciiTheme="minorHAnsi" w:hAnsiTheme="minorHAnsi"/>
                <w:lang w:eastAsia="en-GB"/>
              </w:rPr>
              <w:t>85%</w:t>
            </w:r>
          </w:p>
        </w:tc>
        <w:tc>
          <w:tcPr>
            <w:tcW w:w="1982" w:type="dxa"/>
          </w:tcPr>
          <w:p w14:paraId="1657FDE2" w14:textId="528AE536" w:rsidR="002334E8" w:rsidRPr="00F11DD9" w:rsidRDefault="00EC4967" w:rsidP="002334E8">
            <w:pPr>
              <w:pStyle w:val="Paragraph"/>
              <w:spacing w:before="120" w:after="120" w:line="240" w:lineRule="auto"/>
              <w:jc w:val="center"/>
              <w:rPr>
                <w:rFonts w:asciiTheme="minorHAnsi" w:hAnsiTheme="minorHAnsi"/>
                <w:lang w:eastAsia="en-GB"/>
              </w:rPr>
            </w:pPr>
            <w:r>
              <w:rPr>
                <w:rFonts w:asciiTheme="minorHAnsi" w:hAnsiTheme="minorHAnsi" w:cs="Arial"/>
                <w:color w:val="000000"/>
                <w:kern w:val="24"/>
                <w:sz w:val="21"/>
                <w:szCs w:val="21"/>
              </w:rPr>
              <w:t>80%</w:t>
            </w:r>
          </w:p>
        </w:tc>
      </w:tr>
      <w:tr w:rsidR="0030258C" w14:paraId="58D45FEF" w14:textId="77777777" w:rsidTr="00793852">
        <w:trPr>
          <w:trHeight w:val="77"/>
        </w:trPr>
        <w:tc>
          <w:tcPr>
            <w:tcW w:w="10427" w:type="dxa"/>
            <w:vAlign w:val="center"/>
          </w:tcPr>
          <w:p w14:paraId="2A411C9E" w14:textId="35882CB9" w:rsidR="0030258C" w:rsidRPr="00F11DD9" w:rsidRDefault="0037682F" w:rsidP="0030258C">
            <w:pPr>
              <w:pStyle w:val="Paragraph"/>
              <w:spacing w:before="120" w:after="120" w:line="240" w:lineRule="auto"/>
              <w:rPr>
                <w:rFonts w:asciiTheme="minorHAnsi" w:hAnsiTheme="minorHAnsi"/>
                <w:lang w:eastAsia="en-GB"/>
              </w:rPr>
            </w:pPr>
            <w:r>
              <w:rPr>
                <w:rFonts w:ascii="Inter" w:hAnsi="Inter"/>
                <w:color w:val="000000"/>
              </w:rPr>
              <w:t>Number of CfG outputs requiring post publication correction (rolling total through year)</w:t>
            </w:r>
          </w:p>
        </w:tc>
        <w:tc>
          <w:tcPr>
            <w:tcW w:w="2045" w:type="dxa"/>
          </w:tcPr>
          <w:p w14:paraId="1EF3A77A" w14:textId="7C0F6449" w:rsidR="0030258C" w:rsidRPr="00F11DD9" w:rsidRDefault="00556E27" w:rsidP="0030258C">
            <w:pPr>
              <w:pStyle w:val="Paragraph"/>
              <w:spacing w:before="120" w:after="120" w:line="240" w:lineRule="auto"/>
              <w:jc w:val="center"/>
              <w:rPr>
                <w:rFonts w:asciiTheme="minorHAnsi" w:hAnsiTheme="minorHAnsi"/>
                <w:lang w:eastAsia="en-GB"/>
              </w:rPr>
            </w:pPr>
            <w:r>
              <w:rPr>
                <w:rFonts w:asciiTheme="minorHAnsi" w:hAnsiTheme="minorHAnsi"/>
                <w:lang w:eastAsia="en-GB"/>
              </w:rPr>
              <w:t>3</w:t>
            </w:r>
            <w:r w:rsidR="002A4A4D">
              <w:rPr>
                <w:rFonts w:asciiTheme="minorHAnsi" w:hAnsiTheme="minorHAnsi"/>
                <w:lang w:eastAsia="en-GB"/>
              </w:rPr>
              <w:t xml:space="preserve"> or less</w:t>
            </w:r>
          </w:p>
        </w:tc>
        <w:tc>
          <w:tcPr>
            <w:tcW w:w="1982" w:type="dxa"/>
          </w:tcPr>
          <w:p w14:paraId="046CB124" w14:textId="62D972F8" w:rsidR="0030258C" w:rsidRPr="00F11DD9" w:rsidRDefault="00EC4967" w:rsidP="0030258C">
            <w:pPr>
              <w:pStyle w:val="Paragraph"/>
              <w:spacing w:before="120" w:after="120" w:line="240" w:lineRule="auto"/>
              <w:jc w:val="center"/>
              <w:rPr>
                <w:rFonts w:asciiTheme="minorHAnsi" w:hAnsiTheme="minorHAnsi"/>
                <w:lang w:eastAsia="en-GB"/>
              </w:rPr>
            </w:pPr>
            <w:r>
              <w:rPr>
                <w:rFonts w:asciiTheme="minorHAnsi" w:hAnsiTheme="minorHAnsi" w:cs="Arial"/>
                <w:color w:val="000000"/>
                <w:kern w:val="24"/>
                <w:sz w:val="21"/>
                <w:szCs w:val="21"/>
              </w:rPr>
              <w:t>3</w:t>
            </w:r>
          </w:p>
        </w:tc>
      </w:tr>
    </w:tbl>
    <w:p w14:paraId="3FE80D73" w14:textId="77777777" w:rsidR="00073E62" w:rsidRDefault="00073E62" w:rsidP="00073E62">
      <w:pPr>
        <w:pStyle w:val="Paragraph"/>
        <w:rPr>
          <w:lang w:eastAsia="en-GB"/>
        </w:rPr>
      </w:pPr>
    </w:p>
    <w:p w14:paraId="674D76E2" w14:textId="4B1C84EF" w:rsidR="002334E8" w:rsidRPr="007A75E4" w:rsidRDefault="00981FB7" w:rsidP="004F53E3">
      <w:pPr>
        <w:pStyle w:val="Heading2"/>
      </w:pPr>
      <w:r>
        <w:lastRenderedPageBreak/>
        <w:t>Faster access</w:t>
      </w:r>
    </w:p>
    <w:tbl>
      <w:tblPr>
        <w:tblStyle w:val="TableGrid"/>
        <w:tblW w:w="14454" w:type="dxa"/>
        <w:tblLook w:val="04A0" w:firstRow="1" w:lastRow="0" w:firstColumn="1" w:lastColumn="0" w:noHBand="0" w:noVBand="1"/>
      </w:tblPr>
      <w:tblGrid>
        <w:gridCol w:w="10485"/>
        <w:gridCol w:w="1984"/>
        <w:gridCol w:w="1985"/>
      </w:tblGrid>
      <w:tr w:rsidR="002334E8" w14:paraId="4363BCAE" w14:textId="77777777" w:rsidTr="00D948FE">
        <w:trPr>
          <w:tblHeader/>
        </w:trPr>
        <w:tc>
          <w:tcPr>
            <w:tcW w:w="10485" w:type="dxa"/>
            <w:shd w:val="clear" w:color="auto" w:fill="00436C" w:themeFill="accent2"/>
            <w:vAlign w:val="center"/>
          </w:tcPr>
          <w:p w14:paraId="21D6A00F" w14:textId="77777777" w:rsidR="002334E8" w:rsidRPr="00F11DD9" w:rsidRDefault="002334E8">
            <w:pPr>
              <w:pStyle w:val="Paragraph"/>
              <w:spacing w:before="120" w:after="120" w:line="240" w:lineRule="auto"/>
              <w:rPr>
                <w:rFonts w:asciiTheme="minorHAnsi" w:hAnsiTheme="minorHAnsi"/>
                <w:b/>
                <w:color w:val="FFFFFF" w:themeColor="background1"/>
                <w:lang w:eastAsia="en-GB"/>
              </w:rPr>
            </w:pPr>
            <w:r w:rsidRPr="00F11DD9">
              <w:rPr>
                <w:rFonts w:asciiTheme="minorHAnsi" w:hAnsiTheme="minorHAnsi"/>
                <w:b/>
                <w:color w:val="FFFFFF" w:themeColor="background1"/>
                <w:lang w:eastAsia="en-GB"/>
              </w:rPr>
              <w:t>Metric</w:t>
            </w:r>
          </w:p>
        </w:tc>
        <w:tc>
          <w:tcPr>
            <w:tcW w:w="1984" w:type="dxa"/>
            <w:shd w:val="clear" w:color="auto" w:fill="00436C" w:themeFill="accent2"/>
            <w:vAlign w:val="center"/>
          </w:tcPr>
          <w:p w14:paraId="41C71EC4" w14:textId="77777777" w:rsidR="002334E8" w:rsidRPr="00F11DD9" w:rsidRDefault="002334E8">
            <w:pPr>
              <w:pStyle w:val="Paragraph"/>
              <w:spacing w:before="120" w:after="120" w:line="240" w:lineRule="auto"/>
              <w:jc w:val="center"/>
              <w:rPr>
                <w:rFonts w:asciiTheme="minorHAnsi" w:hAnsiTheme="minorHAnsi"/>
                <w:b/>
                <w:color w:val="FFFFFF" w:themeColor="background1"/>
                <w:lang w:eastAsia="en-GB"/>
              </w:rPr>
            </w:pPr>
            <w:r w:rsidRPr="00F11DD9">
              <w:rPr>
                <w:rFonts w:asciiTheme="minorHAnsi" w:hAnsiTheme="minorHAnsi"/>
                <w:b/>
                <w:color w:val="FFFFFF" w:themeColor="background1"/>
                <w:lang w:eastAsia="en-GB"/>
              </w:rPr>
              <w:t>2026/27 target</w:t>
            </w:r>
          </w:p>
        </w:tc>
        <w:tc>
          <w:tcPr>
            <w:tcW w:w="1985" w:type="dxa"/>
            <w:shd w:val="clear" w:color="auto" w:fill="00436C" w:themeFill="accent2"/>
            <w:vAlign w:val="center"/>
          </w:tcPr>
          <w:p w14:paraId="0EF40B57" w14:textId="77777777" w:rsidR="002334E8" w:rsidRPr="00F11DD9" w:rsidRDefault="002334E8">
            <w:pPr>
              <w:pStyle w:val="Paragraph"/>
              <w:spacing w:before="120" w:after="120" w:line="240" w:lineRule="auto"/>
              <w:jc w:val="center"/>
              <w:rPr>
                <w:rFonts w:asciiTheme="minorHAnsi" w:hAnsiTheme="minorHAnsi"/>
                <w:b/>
                <w:color w:val="FFFFFF" w:themeColor="background1"/>
                <w:lang w:eastAsia="en-GB"/>
              </w:rPr>
            </w:pPr>
            <w:r w:rsidRPr="00F11DD9">
              <w:rPr>
                <w:rFonts w:asciiTheme="minorHAnsi" w:hAnsiTheme="minorHAnsi"/>
                <w:b/>
                <w:color w:val="FFFFFF" w:themeColor="background1"/>
                <w:lang w:eastAsia="en-GB"/>
              </w:rPr>
              <w:t>25/26 performance</w:t>
            </w:r>
          </w:p>
        </w:tc>
      </w:tr>
      <w:tr w:rsidR="0064050C" w14:paraId="7F9409CA" w14:textId="77777777" w:rsidTr="000B5C73">
        <w:trPr>
          <w:trHeight w:val="554"/>
        </w:trPr>
        <w:tc>
          <w:tcPr>
            <w:tcW w:w="10485" w:type="dxa"/>
            <w:vAlign w:val="center"/>
          </w:tcPr>
          <w:p w14:paraId="644A4244" w14:textId="1C9CD7CE" w:rsidR="0064050C" w:rsidRPr="00F11DD9" w:rsidRDefault="000A7359" w:rsidP="0064050C">
            <w:pPr>
              <w:pStyle w:val="Paragraph"/>
              <w:spacing w:before="120" w:after="120" w:line="240" w:lineRule="auto"/>
              <w:rPr>
                <w:rFonts w:asciiTheme="minorHAnsi" w:hAnsiTheme="minorHAnsi"/>
                <w:lang w:eastAsia="en-GB"/>
              </w:rPr>
            </w:pPr>
            <w:r>
              <w:rPr>
                <w:rFonts w:ascii="Inter" w:hAnsi="Inter"/>
                <w:color w:val="000000"/>
              </w:rPr>
              <w:t>Proportion of final guidance published within 240 working days of Invitation to Participate</w:t>
            </w:r>
            <w:r w:rsidR="009A695F">
              <w:rPr>
                <w:rFonts w:ascii="Inter" w:hAnsi="Inter"/>
                <w:color w:val="000000"/>
              </w:rPr>
              <w:t xml:space="preserve"> (ITP)</w:t>
            </w:r>
          </w:p>
        </w:tc>
        <w:tc>
          <w:tcPr>
            <w:tcW w:w="1984" w:type="dxa"/>
          </w:tcPr>
          <w:p w14:paraId="0FDD097E" w14:textId="481F4784" w:rsidR="0064050C" w:rsidRPr="00F11DD9" w:rsidRDefault="000A7359" w:rsidP="0064050C">
            <w:pPr>
              <w:pStyle w:val="Paragraph"/>
              <w:spacing w:before="120" w:after="120" w:line="240" w:lineRule="auto"/>
              <w:jc w:val="center"/>
              <w:rPr>
                <w:rFonts w:asciiTheme="minorHAnsi" w:hAnsiTheme="minorHAnsi"/>
                <w:lang w:eastAsia="en-GB"/>
              </w:rPr>
            </w:pPr>
            <w:r>
              <w:rPr>
                <w:rFonts w:asciiTheme="minorHAnsi" w:hAnsiTheme="minorHAnsi"/>
                <w:lang w:eastAsia="en-GB"/>
              </w:rPr>
              <w:t>60</w:t>
            </w:r>
            <w:r w:rsidR="00363F2A" w:rsidRPr="00F11DD9">
              <w:rPr>
                <w:rFonts w:asciiTheme="minorHAnsi" w:hAnsiTheme="minorHAnsi"/>
                <w:lang w:eastAsia="en-GB"/>
              </w:rPr>
              <w:t>%</w:t>
            </w:r>
          </w:p>
        </w:tc>
        <w:tc>
          <w:tcPr>
            <w:tcW w:w="1985" w:type="dxa"/>
          </w:tcPr>
          <w:p w14:paraId="2DC1D1A2" w14:textId="5BF251FB" w:rsidR="0064050C" w:rsidRPr="00F11DD9" w:rsidRDefault="00B96B72" w:rsidP="0064050C">
            <w:pPr>
              <w:pStyle w:val="Paragraph"/>
              <w:spacing w:before="120" w:after="120" w:line="240" w:lineRule="auto"/>
              <w:jc w:val="center"/>
              <w:rPr>
                <w:rFonts w:asciiTheme="minorHAnsi" w:hAnsiTheme="minorHAnsi"/>
                <w:lang w:eastAsia="en-GB"/>
              </w:rPr>
            </w:pPr>
            <w:r>
              <w:rPr>
                <w:rFonts w:asciiTheme="minorHAnsi" w:hAnsiTheme="minorHAnsi" w:cs="Arial"/>
                <w:color w:val="000000"/>
                <w:kern w:val="24"/>
                <w:sz w:val="21"/>
                <w:szCs w:val="21"/>
              </w:rPr>
              <w:t>100</w:t>
            </w:r>
            <w:r w:rsidR="0064050C" w:rsidRPr="00F11DD9">
              <w:rPr>
                <w:rFonts w:asciiTheme="minorHAnsi" w:hAnsiTheme="minorHAnsi" w:cs="Arial"/>
                <w:color w:val="000000"/>
                <w:kern w:val="24"/>
                <w:sz w:val="21"/>
                <w:szCs w:val="21"/>
              </w:rPr>
              <w:t>%</w:t>
            </w:r>
            <w:r w:rsidR="009A695F">
              <w:rPr>
                <w:rStyle w:val="FootnoteReference"/>
                <w:rFonts w:asciiTheme="minorHAnsi" w:hAnsiTheme="minorHAnsi" w:cs="Arial"/>
                <w:color w:val="000000"/>
                <w:kern w:val="24"/>
                <w:sz w:val="21"/>
                <w:szCs w:val="21"/>
              </w:rPr>
              <w:footnoteReference w:id="1"/>
            </w:r>
          </w:p>
        </w:tc>
      </w:tr>
      <w:tr w:rsidR="0064050C" w14:paraId="3FE48EE2" w14:textId="77777777" w:rsidTr="000B5C73">
        <w:trPr>
          <w:trHeight w:val="554"/>
        </w:trPr>
        <w:tc>
          <w:tcPr>
            <w:tcW w:w="10485" w:type="dxa"/>
            <w:vAlign w:val="center"/>
          </w:tcPr>
          <w:p w14:paraId="6131384A" w14:textId="45F96414" w:rsidR="0064050C" w:rsidRPr="00F11DD9" w:rsidRDefault="000A7359" w:rsidP="0064050C">
            <w:pPr>
              <w:pStyle w:val="Paragraph"/>
              <w:spacing w:before="120" w:after="120" w:line="240" w:lineRule="auto"/>
              <w:rPr>
                <w:rFonts w:asciiTheme="minorHAnsi" w:hAnsiTheme="minorHAnsi"/>
                <w:color w:val="000000" w:themeColor="text1"/>
                <w:kern w:val="24"/>
                <w:sz w:val="21"/>
                <w:szCs w:val="21"/>
              </w:rPr>
            </w:pPr>
            <w:r>
              <w:rPr>
                <w:rFonts w:ascii="Inter" w:hAnsi="Inter"/>
                <w:color w:val="000000"/>
              </w:rPr>
              <w:t>Mean time between marketing authorisation and NICE recommendation</w:t>
            </w:r>
          </w:p>
        </w:tc>
        <w:tc>
          <w:tcPr>
            <w:tcW w:w="1984" w:type="dxa"/>
          </w:tcPr>
          <w:p w14:paraId="3849511D" w14:textId="6D036D04" w:rsidR="0064050C" w:rsidRPr="00F11DD9" w:rsidRDefault="00FB6654" w:rsidP="0064050C">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367</w:t>
            </w:r>
          </w:p>
        </w:tc>
        <w:tc>
          <w:tcPr>
            <w:tcW w:w="1985" w:type="dxa"/>
          </w:tcPr>
          <w:p w14:paraId="6FB9A464" w14:textId="7FA225DF" w:rsidR="0064050C" w:rsidRPr="00F11DD9" w:rsidRDefault="00D80905" w:rsidP="0064050C">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367</w:t>
            </w:r>
          </w:p>
        </w:tc>
      </w:tr>
      <w:tr w:rsidR="000A7359" w14:paraId="67F25416" w14:textId="77777777" w:rsidTr="000B5C73">
        <w:trPr>
          <w:trHeight w:val="554"/>
        </w:trPr>
        <w:tc>
          <w:tcPr>
            <w:tcW w:w="10485" w:type="dxa"/>
            <w:vAlign w:val="center"/>
          </w:tcPr>
          <w:p w14:paraId="34C2572C" w14:textId="23C44558" w:rsidR="000A7359" w:rsidRPr="00F11DD9" w:rsidRDefault="000A7359" w:rsidP="000A7359">
            <w:pPr>
              <w:pStyle w:val="Paragraph"/>
              <w:spacing w:before="120" w:after="120" w:line="240" w:lineRule="auto"/>
              <w:rPr>
                <w:rFonts w:asciiTheme="minorHAnsi" w:hAnsiTheme="minorHAnsi" w:cs="Arial"/>
                <w:color w:val="000000"/>
                <w:kern w:val="24"/>
                <w:sz w:val="21"/>
                <w:szCs w:val="21"/>
              </w:rPr>
            </w:pPr>
            <w:r>
              <w:rPr>
                <w:rFonts w:ascii="Inter" w:hAnsi="Inter"/>
                <w:color w:val="000000"/>
              </w:rPr>
              <w:t>Median time between marketing authorisation and NICE recommendation</w:t>
            </w:r>
          </w:p>
        </w:tc>
        <w:tc>
          <w:tcPr>
            <w:tcW w:w="1984" w:type="dxa"/>
          </w:tcPr>
          <w:p w14:paraId="1E970C73" w14:textId="777A1D71" w:rsidR="000A7359" w:rsidRPr="00F11DD9" w:rsidRDefault="00FB6654" w:rsidP="000A73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232</w:t>
            </w:r>
          </w:p>
        </w:tc>
        <w:tc>
          <w:tcPr>
            <w:tcW w:w="1985" w:type="dxa"/>
          </w:tcPr>
          <w:p w14:paraId="23C56CF9" w14:textId="7522C4AD" w:rsidR="000A7359" w:rsidRPr="00F11DD9" w:rsidRDefault="00093ECE" w:rsidP="000A73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232</w:t>
            </w:r>
          </w:p>
        </w:tc>
      </w:tr>
      <w:tr w:rsidR="000A7359" w14:paraId="446CD587" w14:textId="77777777" w:rsidTr="000B5C73">
        <w:trPr>
          <w:trHeight w:val="554"/>
        </w:trPr>
        <w:tc>
          <w:tcPr>
            <w:tcW w:w="10485" w:type="dxa"/>
            <w:vAlign w:val="center"/>
          </w:tcPr>
          <w:p w14:paraId="24880E2D" w14:textId="3BA5193C" w:rsidR="000A7359" w:rsidRPr="00F11DD9" w:rsidRDefault="000A7359" w:rsidP="000A7359">
            <w:pPr>
              <w:pStyle w:val="Paragraph"/>
              <w:spacing w:before="120" w:after="120" w:line="240" w:lineRule="auto"/>
              <w:rPr>
                <w:rFonts w:asciiTheme="minorHAnsi" w:hAnsiTheme="minorHAnsi" w:cs="Arial"/>
                <w:color w:val="000000"/>
                <w:kern w:val="24"/>
                <w:sz w:val="21"/>
                <w:szCs w:val="21"/>
              </w:rPr>
            </w:pPr>
            <w:r>
              <w:rPr>
                <w:rFonts w:ascii="Inter" w:hAnsi="Inter"/>
                <w:color w:val="000000"/>
              </w:rPr>
              <w:t>Median number of working days taken for healthtech guidance production, from guidance initiation through to guidance publication</w:t>
            </w:r>
          </w:p>
        </w:tc>
        <w:tc>
          <w:tcPr>
            <w:tcW w:w="1984" w:type="dxa"/>
          </w:tcPr>
          <w:p w14:paraId="1294A80C" w14:textId="22C85CE8" w:rsidR="000A7359" w:rsidRPr="00F11DD9" w:rsidRDefault="00A82C82" w:rsidP="000A73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212</w:t>
            </w:r>
          </w:p>
        </w:tc>
        <w:tc>
          <w:tcPr>
            <w:tcW w:w="1985" w:type="dxa"/>
          </w:tcPr>
          <w:p w14:paraId="6BFF83B6" w14:textId="44DE1F54" w:rsidR="000A7359" w:rsidRPr="00F11DD9" w:rsidRDefault="00093ECE" w:rsidP="000A73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225</w:t>
            </w:r>
          </w:p>
        </w:tc>
      </w:tr>
      <w:tr w:rsidR="000A7359" w14:paraId="1971E4CB" w14:textId="77777777" w:rsidTr="000B5C73">
        <w:trPr>
          <w:trHeight w:val="554"/>
        </w:trPr>
        <w:tc>
          <w:tcPr>
            <w:tcW w:w="10485" w:type="dxa"/>
            <w:vAlign w:val="center"/>
          </w:tcPr>
          <w:p w14:paraId="24CDE38B" w14:textId="47C5EB96" w:rsidR="000A7359" w:rsidRPr="00F11DD9" w:rsidRDefault="000A7359" w:rsidP="000A7359">
            <w:pPr>
              <w:pStyle w:val="Paragraph"/>
              <w:spacing w:before="120" w:after="120" w:line="240" w:lineRule="auto"/>
              <w:rPr>
                <w:rFonts w:asciiTheme="minorHAnsi" w:hAnsiTheme="minorHAnsi" w:cs="Arial"/>
                <w:color w:val="000000"/>
                <w:kern w:val="24"/>
                <w:sz w:val="21"/>
                <w:szCs w:val="21"/>
              </w:rPr>
            </w:pPr>
            <w:r>
              <w:rPr>
                <w:rFonts w:ascii="Inter" w:hAnsi="Inter"/>
                <w:color w:val="000000"/>
              </w:rPr>
              <w:t>Proportion of small guideline updates published within 154 working days of development starting</w:t>
            </w:r>
          </w:p>
        </w:tc>
        <w:tc>
          <w:tcPr>
            <w:tcW w:w="1984" w:type="dxa"/>
          </w:tcPr>
          <w:p w14:paraId="099F0BB7" w14:textId="0F84C732" w:rsidR="000A7359" w:rsidRPr="00F11DD9" w:rsidRDefault="00B96B72" w:rsidP="000A73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70%</w:t>
            </w:r>
          </w:p>
        </w:tc>
        <w:tc>
          <w:tcPr>
            <w:tcW w:w="1985" w:type="dxa"/>
          </w:tcPr>
          <w:p w14:paraId="35911225" w14:textId="48AD7173" w:rsidR="000A7359" w:rsidRPr="00F11DD9" w:rsidRDefault="0047119C" w:rsidP="000A73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100%</w:t>
            </w:r>
          </w:p>
        </w:tc>
      </w:tr>
      <w:tr w:rsidR="000A7359" w14:paraId="228B9EE7" w14:textId="77777777" w:rsidTr="000B5C73">
        <w:trPr>
          <w:trHeight w:val="554"/>
        </w:trPr>
        <w:tc>
          <w:tcPr>
            <w:tcW w:w="10485" w:type="dxa"/>
            <w:vAlign w:val="center"/>
          </w:tcPr>
          <w:p w14:paraId="1B66CA47" w14:textId="0EEBBCB3" w:rsidR="000A7359" w:rsidRPr="00F11DD9" w:rsidRDefault="000A7359" w:rsidP="000A7359">
            <w:pPr>
              <w:pStyle w:val="Paragraph"/>
              <w:spacing w:before="120" w:after="120" w:line="240" w:lineRule="auto"/>
              <w:rPr>
                <w:rFonts w:asciiTheme="minorHAnsi" w:hAnsiTheme="minorHAnsi" w:cs="Arial"/>
                <w:color w:val="000000"/>
                <w:kern w:val="24"/>
                <w:sz w:val="21"/>
                <w:szCs w:val="21"/>
              </w:rPr>
            </w:pPr>
            <w:r>
              <w:rPr>
                <w:rFonts w:ascii="Inter" w:hAnsi="Inter"/>
                <w:color w:val="000000"/>
              </w:rPr>
              <w:t>Proportion of medium guideline topics published within 286 working days of development starting</w:t>
            </w:r>
          </w:p>
        </w:tc>
        <w:tc>
          <w:tcPr>
            <w:tcW w:w="1984" w:type="dxa"/>
          </w:tcPr>
          <w:p w14:paraId="516AC5B5" w14:textId="33FBE625" w:rsidR="000A7359" w:rsidRPr="00F11DD9" w:rsidRDefault="00B96B72" w:rsidP="000A73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60%</w:t>
            </w:r>
          </w:p>
        </w:tc>
        <w:tc>
          <w:tcPr>
            <w:tcW w:w="1985" w:type="dxa"/>
          </w:tcPr>
          <w:p w14:paraId="082F8846" w14:textId="694B4C69" w:rsidR="000A7359" w:rsidRPr="00F11DD9" w:rsidRDefault="00093ECE" w:rsidP="000A73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n/a</w:t>
            </w:r>
          </w:p>
        </w:tc>
      </w:tr>
      <w:tr w:rsidR="000A7359" w14:paraId="389393C9" w14:textId="77777777" w:rsidTr="000B5C73">
        <w:trPr>
          <w:trHeight w:val="554"/>
        </w:trPr>
        <w:tc>
          <w:tcPr>
            <w:tcW w:w="10485" w:type="dxa"/>
            <w:vAlign w:val="center"/>
          </w:tcPr>
          <w:p w14:paraId="452A253A" w14:textId="04B2E564" w:rsidR="000A7359" w:rsidRPr="00F11DD9" w:rsidRDefault="000A7359" w:rsidP="000A7359">
            <w:pPr>
              <w:pStyle w:val="Paragraph"/>
              <w:spacing w:before="120" w:after="120" w:line="240" w:lineRule="auto"/>
              <w:rPr>
                <w:rFonts w:asciiTheme="minorHAnsi" w:hAnsiTheme="minorHAnsi" w:cs="Arial"/>
                <w:color w:val="000000"/>
                <w:kern w:val="24"/>
                <w:sz w:val="21"/>
                <w:szCs w:val="21"/>
              </w:rPr>
            </w:pPr>
            <w:r>
              <w:rPr>
                <w:rFonts w:ascii="Inter" w:hAnsi="Inter"/>
                <w:color w:val="000000"/>
              </w:rPr>
              <w:t xml:space="preserve">Proportion of new guidelines or large guideline updates published within 396 working days of development starting </w:t>
            </w:r>
          </w:p>
        </w:tc>
        <w:tc>
          <w:tcPr>
            <w:tcW w:w="1984" w:type="dxa"/>
          </w:tcPr>
          <w:p w14:paraId="7CE306FF" w14:textId="6D6963F4" w:rsidR="000A7359" w:rsidRPr="00F11DD9" w:rsidRDefault="00B96B72" w:rsidP="000A73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50%</w:t>
            </w:r>
          </w:p>
        </w:tc>
        <w:tc>
          <w:tcPr>
            <w:tcW w:w="1985" w:type="dxa"/>
          </w:tcPr>
          <w:p w14:paraId="2C90582D" w14:textId="302E14E0" w:rsidR="000A7359" w:rsidRPr="00F11DD9" w:rsidRDefault="00093ECE" w:rsidP="000A73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n/a</w:t>
            </w:r>
          </w:p>
        </w:tc>
      </w:tr>
    </w:tbl>
    <w:p w14:paraId="288DD48B" w14:textId="77777777" w:rsidR="0064050C" w:rsidRDefault="0064050C" w:rsidP="00825107"/>
    <w:p w14:paraId="6BFE050E" w14:textId="3B709AAC" w:rsidR="00981FB7" w:rsidRDefault="00981FB7" w:rsidP="00825107">
      <w:r>
        <w:br/>
      </w:r>
    </w:p>
    <w:p w14:paraId="56E4A4B6" w14:textId="3EC7EF5D" w:rsidR="00CE0F0C" w:rsidRPr="007A75E4" w:rsidRDefault="00981FB7" w:rsidP="004F53E3">
      <w:pPr>
        <w:pStyle w:val="Heading2"/>
      </w:pPr>
      <w:r>
        <w:lastRenderedPageBreak/>
        <w:t>Stronger NICE</w:t>
      </w:r>
    </w:p>
    <w:tbl>
      <w:tblPr>
        <w:tblStyle w:val="TableGrid"/>
        <w:tblW w:w="14596" w:type="dxa"/>
        <w:tblLayout w:type="fixed"/>
        <w:tblLook w:val="04A0" w:firstRow="1" w:lastRow="0" w:firstColumn="1" w:lastColumn="0" w:noHBand="0" w:noVBand="1"/>
      </w:tblPr>
      <w:tblGrid>
        <w:gridCol w:w="10485"/>
        <w:gridCol w:w="2055"/>
        <w:gridCol w:w="2056"/>
      </w:tblGrid>
      <w:tr w:rsidR="00CE0F0C" w14:paraId="21F6918B" w14:textId="77777777" w:rsidTr="00E66FB5">
        <w:trPr>
          <w:tblHeader/>
        </w:trPr>
        <w:tc>
          <w:tcPr>
            <w:tcW w:w="10485" w:type="dxa"/>
            <w:shd w:val="clear" w:color="auto" w:fill="00436C" w:themeFill="accent2"/>
            <w:vAlign w:val="center"/>
          </w:tcPr>
          <w:p w14:paraId="1C8FBDA0" w14:textId="77777777" w:rsidR="00CE0F0C" w:rsidRPr="00E66FB5" w:rsidRDefault="00CE0F0C">
            <w:pPr>
              <w:pStyle w:val="Paragraph"/>
              <w:spacing w:before="120" w:after="120" w:line="240" w:lineRule="auto"/>
              <w:rPr>
                <w:rFonts w:asciiTheme="minorHAnsi" w:hAnsiTheme="minorHAnsi"/>
                <w:b/>
                <w:color w:val="FFFFFF" w:themeColor="background1"/>
                <w:lang w:eastAsia="en-GB"/>
              </w:rPr>
            </w:pPr>
            <w:r w:rsidRPr="00E66FB5">
              <w:rPr>
                <w:rFonts w:asciiTheme="minorHAnsi" w:hAnsiTheme="minorHAnsi"/>
                <w:b/>
                <w:color w:val="FFFFFF" w:themeColor="background1"/>
                <w:lang w:eastAsia="en-GB"/>
              </w:rPr>
              <w:t>Metric</w:t>
            </w:r>
          </w:p>
        </w:tc>
        <w:tc>
          <w:tcPr>
            <w:tcW w:w="2055" w:type="dxa"/>
            <w:shd w:val="clear" w:color="auto" w:fill="00436C" w:themeFill="accent2"/>
            <w:vAlign w:val="center"/>
          </w:tcPr>
          <w:p w14:paraId="516A5EFE" w14:textId="77777777" w:rsidR="00CE0F0C" w:rsidRPr="00E66FB5" w:rsidRDefault="00CE0F0C">
            <w:pPr>
              <w:pStyle w:val="Paragraph"/>
              <w:spacing w:before="120" w:after="120" w:line="240" w:lineRule="auto"/>
              <w:jc w:val="center"/>
              <w:rPr>
                <w:rFonts w:asciiTheme="minorHAnsi" w:hAnsiTheme="minorHAnsi"/>
                <w:b/>
                <w:color w:val="FFFFFF" w:themeColor="background1"/>
                <w:lang w:eastAsia="en-GB"/>
              </w:rPr>
            </w:pPr>
            <w:r w:rsidRPr="00E66FB5">
              <w:rPr>
                <w:rFonts w:asciiTheme="minorHAnsi" w:hAnsiTheme="minorHAnsi"/>
                <w:b/>
                <w:color w:val="FFFFFF" w:themeColor="background1"/>
                <w:lang w:eastAsia="en-GB"/>
              </w:rPr>
              <w:t>2026/27 target</w:t>
            </w:r>
          </w:p>
        </w:tc>
        <w:tc>
          <w:tcPr>
            <w:tcW w:w="2056" w:type="dxa"/>
            <w:shd w:val="clear" w:color="auto" w:fill="00436C" w:themeFill="accent2"/>
            <w:vAlign w:val="center"/>
          </w:tcPr>
          <w:p w14:paraId="78CB1521" w14:textId="77777777" w:rsidR="00CE0F0C" w:rsidRPr="00E66FB5" w:rsidRDefault="00CE0F0C">
            <w:pPr>
              <w:pStyle w:val="Paragraph"/>
              <w:spacing w:before="120" w:after="120" w:line="240" w:lineRule="auto"/>
              <w:jc w:val="center"/>
              <w:rPr>
                <w:rFonts w:asciiTheme="minorHAnsi" w:hAnsiTheme="minorHAnsi"/>
                <w:b/>
                <w:color w:val="FFFFFF" w:themeColor="background1"/>
                <w:lang w:eastAsia="en-GB"/>
              </w:rPr>
            </w:pPr>
            <w:r w:rsidRPr="00E66FB5">
              <w:rPr>
                <w:rFonts w:asciiTheme="minorHAnsi" w:hAnsiTheme="minorHAnsi"/>
                <w:b/>
                <w:color w:val="FFFFFF" w:themeColor="background1"/>
                <w:lang w:eastAsia="en-GB"/>
              </w:rPr>
              <w:t>25/26 performance</w:t>
            </w:r>
          </w:p>
        </w:tc>
      </w:tr>
      <w:tr w:rsidR="00967764" w14:paraId="17F4FECA" w14:textId="77777777" w:rsidTr="00657D21">
        <w:trPr>
          <w:trHeight w:val="554"/>
        </w:trPr>
        <w:tc>
          <w:tcPr>
            <w:tcW w:w="10485" w:type="dxa"/>
            <w:vAlign w:val="center"/>
          </w:tcPr>
          <w:p w14:paraId="0B3A5365" w14:textId="2F6DE527" w:rsidR="00967764" w:rsidRPr="00E66FB5" w:rsidRDefault="00A56C59" w:rsidP="00967764">
            <w:pPr>
              <w:pStyle w:val="Paragraph"/>
              <w:spacing w:before="120" w:after="120" w:line="240" w:lineRule="auto"/>
              <w:rPr>
                <w:rFonts w:asciiTheme="minorHAnsi" w:hAnsiTheme="minorHAnsi" w:cs="Arial"/>
                <w:color w:val="000000"/>
                <w:kern w:val="24"/>
                <w:sz w:val="21"/>
                <w:szCs w:val="21"/>
              </w:rPr>
            </w:pPr>
            <w:r>
              <w:rPr>
                <w:rFonts w:ascii="Inter" w:hAnsi="Inter"/>
                <w:color w:val="000000"/>
              </w:rPr>
              <w:t>Full-year financial deficit / surplus</w:t>
            </w:r>
          </w:p>
        </w:tc>
        <w:tc>
          <w:tcPr>
            <w:tcW w:w="2055" w:type="dxa"/>
            <w:vAlign w:val="center"/>
          </w:tcPr>
          <w:p w14:paraId="579E119F" w14:textId="15280A9E" w:rsidR="00967764" w:rsidRPr="00E66FB5" w:rsidRDefault="00967764" w:rsidP="00967764">
            <w:pPr>
              <w:pStyle w:val="Paragraph"/>
              <w:spacing w:before="120" w:after="120" w:line="240" w:lineRule="auto"/>
              <w:jc w:val="center"/>
              <w:rPr>
                <w:rFonts w:asciiTheme="minorHAnsi" w:hAnsiTheme="minorHAnsi"/>
                <w:lang w:eastAsia="en-GB"/>
              </w:rPr>
            </w:pPr>
            <w:r w:rsidRPr="00E66FB5">
              <w:rPr>
                <w:rFonts w:asciiTheme="minorHAnsi" w:hAnsiTheme="minorHAnsi"/>
                <w:lang w:eastAsia="en-GB"/>
              </w:rPr>
              <w:t>Surplus &lt; £1m, no deficit</w:t>
            </w:r>
          </w:p>
        </w:tc>
        <w:tc>
          <w:tcPr>
            <w:tcW w:w="2056" w:type="dxa"/>
            <w:vAlign w:val="center"/>
          </w:tcPr>
          <w:p w14:paraId="6616E8FC" w14:textId="3028D6B5" w:rsidR="00967764" w:rsidRPr="00E66FB5" w:rsidRDefault="006A6384" w:rsidP="00967764">
            <w:pPr>
              <w:pStyle w:val="Paragraph"/>
              <w:spacing w:before="120" w:after="120" w:line="240" w:lineRule="auto"/>
              <w:jc w:val="center"/>
              <w:rPr>
                <w:rFonts w:asciiTheme="minorHAnsi" w:hAnsiTheme="minorHAnsi" w:cs="Arial"/>
                <w:color w:val="000000" w:themeColor="text1"/>
                <w:sz w:val="21"/>
                <w:szCs w:val="21"/>
                <w:lang w:eastAsia="en-GB"/>
              </w:rPr>
            </w:pPr>
            <w:r w:rsidRPr="006D4C09">
              <w:rPr>
                <w:rFonts w:asciiTheme="minorHAnsi" w:hAnsiTheme="minorHAnsi" w:cs="Arial"/>
                <w:color w:val="000000"/>
                <w:kern w:val="24"/>
                <w:sz w:val="21"/>
                <w:szCs w:val="21"/>
              </w:rPr>
              <w:t>£0.32m</w:t>
            </w:r>
            <w:r w:rsidR="00967764" w:rsidRPr="006D4C09">
              <w:rPr>
                <w:rFonts w:asciiTheme="minorHAnsi" w:hAnsiTheme="minorHAnsi" w:cs="Arial"/>
                <w:color w:val="000000"/>
                <w:kern w:val="24"/>
                <w:sz w:val="21"/>
                <w:szCs w:val="21"/>
              </w:rPr>
              <w:t xml:space="preserve"> surplus</w:t>
            </w:r>
          </w:p>
        </w:tc>
      </w:tr>
      <w:tr w:rsidR="00967764" w14:paraId="1B689016" w14:textId="77777777" w:rsidTr="00657D21">
        <w:trPr>
          <w:trHeight w:val="554"/>
        </w:trPr>
        <w:tc>
          <w:tcPr>
            <w:tcW w:w="10485" w:type="dxa"/>
            <w:vAlign w:val="center"/>
          </w:tcPr>
          <w:p w14:paraId="70D4BEFA" w14:textId="7B711419" w:rsidR="00967764" w:rsidRPr="00974E9B" w:rsidRDefault="00A56C59" w:rsidP="00967764">
            <w:pPr>
              <w:pStyle w:val="Paragraph"/>
              <w:spacing w:before="120" w:after="120" w:line="240" w:lineRule="auto"/>
              <w:rPr>
                <w:rFonts w:asciiTheme="minorHAnsi" w:hAnsiTheme="minorHAnsi" w:cs="Arial"/>
                <w:color w:val="000000"/>
                <w:kern w:val="24"/>
                <w:sz w:val="21"/>
                <w:szCs w:val="21"/>
              </w:rPr>
            </w:pPr>
            <w:r>
              <w:rPr>
                <w:rFonts w:ascii="Inter" w:hAnsi="Inter"/>
                <w:color w:val="000000"/>
              </w:rPr>
              <w:t>Proportion of staff who report that ‘I understand NICE’s values and what it means to live them’</w:t>
            </w:r>
          </w:p>
        </w:tc>
        <w:tc>
          <w:tcPr>
            <w:tcW w:w="2055" w:type="dxa"/>
            <w:vAlign w:val="center"/>
          </w:tcPr>
          <w:p w14:paraId="2CAF8005" w14:textId="5ECA3BDF" w:rsidR="00967764" w:rsidRPr="006863BF" w:rsidRDefault="00663701" w:rsidP="00967764">
            <w:pPr>
              <w:pStyle w:val="Paragraph"/>
              <w:spacing w:before="120" w:after="120" w:line="240" w:lineRule="auto"/>
              <w:jc w:val="center"/>
              <w:rPr>
                <w:rFonts w:asciiTheme="minorHAnsi" w:hAnsiTheme="minorHAnsi" w:cs="Arial"/>
                <w:color w:val="000000"/>
                <w:kern w:val="24"/>
                <w:sz w:val="21"/>
                <w:szCs w:val="21"/>
              </w:rPr>
            </w:pPr>
            <w:r w:rsidRPr="006863BF">
              <w:rPr>
                <w:rFonts w:asciiTheme="minorHAnsi" w:hAnsiTheme="minorHAnsi" w:cs="Arial"/>
                <w:color w:val="000000"/>
                <w:kern w:val="24"/>
                <w:sz w:val="21"/>
                <w:szCs w:val="21"/>
              </w:rPr>
              <w:t>7</w:t>
            </w:r>
            <w:r w:rsidR="005114AC">
              <w:rPr>
                <w:rFonts w:asciiTheme="minorHAnsi" w:hAnsiTheme="minorHAnsi" w:cs="Arial"/>
                <w:color w:val="000000"/>
                <w:kern w:val="24"/>
                <w:sz w:val="21"/>
                <w:szCs w:val="21"/>
              </w:rPr>
              <w:t>9</w:t>
            </w:r>
            <w:r w:rsidRPr="006863BF">
              <w:rPr>
                <w:rFonts w:asciiTheme="minorHAnsi" w:hAnsiTheme="minorHAnsi" w:cs="Arial"/>
                <w:color w:val="000000"/>
                <w:kern w:val="24"/>
                <w:sz w:val="21"/>
                <w:szCs w:val="21"/>
              </w:rPr>
              <w:t>%</w:t>
            </w:r>
          </w:p>
        </w:tc>
        <w:tc>
          <w:tcPr>
            <w:tcW w:w="2056" w:type="dxa"/>
            <w:vAlign w:val="center"/>
          </w:tcPr>
          <w:p w14:paraId="63CF1BC0" w14:textId="2E2F60B2" w:rsidR="00967764" w:rsidRPr="006863BF" w:rsidRDefault="00663701" w:rsidP="00967764">
            <w:pPr>
              <w:pStyle w:val="Paragraph"/>
              <w:spacing w:before="120" w:after="120" w:line="240" w:lineRule="auto"/>
              <w:jc w:val="center"/>
              <w:rPr>
                <w:rFonts w:asciiTheme="minorHAnsi" w:hAnsiTheme="minorHAnsi" w:cs="Arial"/>
                <w:color w:val="000000"/>
                <w:kern w:val="24"/>
                <w:sz w:val="21"/>
                <w:szCs w:val="21"/>
              </w:rPr>
            </w:pPr>
            <w:r w:rsidRPr="006863BF">
              <w:rPr>
                <w:rFonts w:asciiTheme="minorHAnsi" w:hAnsiTheme="minorHAnsi" w:cs="Arial"/>
                <w:color w:val="000000"/>
                <w:kern w:val="24"/>
                <w:sz w:val="21"/>
                <w:szCs w:val="21"/>
              </w:rPr>
              <w:t>77%</w:t>
            </w:r>
          </w:p>
        </w:tc>
      </w:tr>
      <w:tr w:rsidR="00967764" w14:paraId="343FB865" w14:textId="77777777" w:rsidTr="00657D21">
        <w:trPr>
          <w:trHeight w:val="680"/>
        </w:trPr>
        <w:tc>
          <w:tcPr>
            <w:tcW w:w="10485" w:type="dxa"/>
            <w:vAlign w:val="center"/>
          </w:tcPr>
          <w:p w14:paraId="73CADAD2" w14:textId="670098A5" w:rsidR="00967764" w:rsidRPr="006863BF" w:rsidRDefault="00A56C59" w:rsidP="00967764">
            <w:pPr>
              <w:pStyle w:val="Paragraph"/>
              <w:spacing w:before="120" w:after="120" w:line="240" w:lineRule="auto"/>
              <w:rPr>
                <w:rFonts w:asciiTheme="minorHAnsi" w:hAnsiTheme="minorHAnsi" w:cs="Arial"/>
                <w:color w:val="000000"/>
                <w:kern w:val="24"/>
                <w:sz w:val="21"/>
                <w:szCs w:val="21"/>
              </w:rPr>
            </w:pPr>
            <w:r>
              <w:rPr>
                <w:rFonts w:ascii="Inter" w:hAnsi="Inter"/>
                <w:color w:val="000000"/>
              </w:rPr>
              <w:t>Confidentiality Breaches (HealthTech)</w:t>
            </w:r>
          </w:p>
        </w:tc>
        <w:tc>
          <w:tcPr>
            <w:tcW w:w="2055" w:type="dxa"/>
            <w:vAlign w:val="center"/>
          </w:tcPr>
          <w:p w14:paraId="4839ACBD" w14:textId="33DD89F6" w:rsidR="00967764" w:rsidRPr="006863BF" w:rsidRDefault="00A321D7" w:rsidP="00967764">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3</w:t>
            </w:r>
            <w:r w:rsidR="00CD6844">
              <w:rPr>
                <w:rFonts w:asciiTheme="minorHAnsi" w:hAnsiTheme="minorHAnsi" w:cs="Arial"/>
                <w:color w:val="000000"/>
                <w:kern w:val="24"/>
                <w:sz w:val="21"/>
                <w:szCs w:val="21"/>
              </w:rPr>
              <w:t xml:space="preserve"> or less</w:t>
            </w:r>
          </w:p>
        </w:tc>
        <w:tc>
          <w:tcPr>
            <w:tcW w:w="2056" w:type="dxa"/>
            <w:vAlign w:val="center"/>
          </w:tcPr>
          <w:p w14:paraId="67A4B1A3" w14:textId="690FB96D" w:rsidR="00967764" w:rsidRPr="006863BF" w:rsidRDefault="005742AC" w:rsidP="00967764">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1</w:t>
            </w:r>
          </w:p>
        </w:tc>
      </w:tr>
      <w:tr w:rsidR="00A56C59" w14:paraId="55CDF288" w14:textId="77777777" w:rsidTr="00657D21">
        <w:trPr>
          <w:trHeight w:val="680"/>
        </w:trPr>
        <w:tc>
          <w:tcPr>
            <w:tcW w:w="10485" w:type="dxa"/>
            <w:vAlign w:val="center"/>
          </w:tcPr>
          <w:p w14:paraId="263DB7DF" w14:textId="170DF24C" w:rsidR="00A56C59" w:rsidRPr="006863BF" w:rsidRDefault="00A56C59" w:rsidP="00A56C59">
            <w:pPr>
              <w:pStyle w:val="Paragraph"/>
              <w:spacing w:before="120" w:after="120" w:line="240" w:lineRule="auto"/>
              <w:rPr>
                <w:rFonts w:asciiTheme="minorHAnsi" w:hAnsiTheme="minorHAnsi" w:cs="Arial"/>
                <w:color w:val="000000"/>
                <w:kern w:val="24"/>
                <w:sz w:val="21"/>
                <w:szCs w:val="21"/>
              </w:rPr>
            </w:pPr>
            <w:r>
              <w:rPr>
                <w:rFonts w:ascii="Inter" w:hAnsi="Inter"/>
                <w:color w:val="000000"/>
              </w:rPr>
              <w:t>Confidentiality Breaches (Medicines)</w:t>
            </w:r>
          </w:p>
        </w:tc>
        <w:tc>
          <w:tcPr>
            <w:tcW w:w="2055" w:type="dxa"/>
            <w:vAlign w:val="center"/>
          </w:tcPr>
          <w:p w14:paraId="28C3B3DD" w14:textId="209999A4" w:rsidR="00A56C59" w:rsidRPr="006863BF" w:rsidRDefault="001075DB" w:rsidP="00A56C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8</w:t>
            </w:r>
            <w:r w:rsidR="00CD6844">
              <w:rPr>
                <w:rFonts w:asciiTheme="minorHAnsi" w:hAnsiTheme="minorHAnsi" w:cs="Arial"/>
                <w:color w:val="000000"/>
                <w:kern w:val="24"/>
                <w:sz w:val="21"/>
                <w:szCs w:val="21"/>
              </w:rPr>
              <w:t xml:space="preserve"> or less</w:t>
            </w:r>
          </w:p>
        </w:tc>
        <w:tc>
          <w:tcPr>
            <w:tcW w:w="2056" w:type="dxa"/>
            <w:vAlign w:val="center"/>
          </w:tcPr>
          <w:p w14:paraId="76D7F48E" w14:textId="41AB2EF8" w:rsidR="00A56C59" w:rsidRPr="006863BF" w:rsidRDefault="00AE690F" w:rsidP="00A56C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8</w:t>
            </w:r>
          </w:p>
        </w:tc>
      </w:tr>
      <w:tr w:rsidR="00A56C59" w14:paraId="24E211C8" w14:textId="77777777" w:rsidTr="00657D21">
        <w:trPr>
          <w:trHeight w:val="680"/>
        </w:trPr>
        <w:tc>
          <w:tcPr>
            <w:tcW w:w="10485" w:type="dxa"/>
            <w:vAlign w:val="center"/>
          </w:tcPr>
          <w:p w14:paraId="632DCCD0" w14:textId="0D14FFAA" w:rsidR="00A56C59" w:rsidRPr="006863BF" w:rsidRDefault="00A56C59" w:rsidP="00A56C59">
            <w:pPr>
              <w:pStyle w:val="Paragraph"/>
              <w:spacing w:before="120" w:after="120" w:line="240" w:lineRule="auto"/>
              <w:rPr>
                <w:rFonts w:asciiTheme="minorHAnsi" w:hAnsiTheme="minorHAnsi" w:cs="Arial"/>
                <w:color w:val="000000"/>
                <w:kern w:val="24"/>
                <w:sz w:val="21"/>
                <w:szCs w:val="21"/>
              </w:rPr>
            </w:pPr>
            <w:r>
              <w:rPr>
                <w:rFonts w:ascii="Inter" w:hAnsi="Inter"/>
                <w:color w:val="000000"/>
              </w:rPr>
              <w:t xml:space="preserve">Cyber Resilience and preparedness score (incorporating cyber posture, business continuity &amp; disaster recovery and sentiment). </w:t>
            </w:r>
          </w:p>
        </w:tc>
        <w:tc>
          <w:tcPr>
            <w:tcW w:w="2055" w:type="dxa"/>
            <w:vAlign w:val="center"/>
          </w:tcPr>
          <w:p w14:paraId="6F172DC3" w14:textId="016D9705" w:rsidR="00A56C59" w:rsidRPr="006863BF" w:rsidRDefault="00A56C59" w:rsidP="00A56C59">
            <w:pPr>
              <w:pStyle w:val="Paragraph"/>
              <w:spacing w:before="120" w:after="120" w:line="240" w:lineRule="auto"/>
              <w:jc w:val="center"/>
              <w:rPr>
                <w:rFonts w:asciiTheme="minorHAnsi" w:hAnsiTheme="minorHAnsi" w:cs="Arial"/>
                <w:color w:val="000000"/>
                <w:kern w:val="24"/>
                <w:sz w:val="21"/>
                <w:szCs w:val="21"/>
              </w:rPr>
            </w:pPr>
            <w:r w:rsidRPr="006863BF">
              <w:rPr>
                <w:rFonts w:asciiTheme="minorHAnsi" w:hAnsiTheme="minorHAnsi" w:cs="Arial"/>
                <w:color w:val="000000"/>
                <w:kern w:val="24"/>
                <w:sz w:val="21"/>
                <w:szCs w:val="21"/>
              </w:rPr>
              <w:t>Green</w:t>
            </w:r>
          </w:p>
        </w:tc>
        <w:tc>
          <w:tcPr>
            <w:tcW w:w="2056" w:type="dxa"/>
            <w:vAlign w:val="center"/>
          </w:tcPr>
          <w:p w14:paraId="674388C0" w14:textId="64474B38" w:rsidR="00A56C59" w:rsidRPr="006863BF" w:rsidRDefault="00A56C59" w:rsidP="00A56C59">
            <w:pPr>
              <w:pStyle w:val="Paragraph"/>
              <w:spacing w:before="120" w:after="120" w:line="240" w:lineRule="auto"/>
              <w:jc w:val="center"/>
              <w:rPr>
                <w:rFonts w:asciiTheme="minorHAnsi" w:hAnsiTheme="minorHAnsi" w:cs="Arial"/>
                <w:color w:val="000000"/>
                <w:kern w:val="24"/>
                <w:sz w:val="21"/>
                <w:szCs w:val="21"/>
              </w:rPr>
            </w:pPr>
            <w:r w:rsidRPr="006863BF">
              <w:rPr>
                <w:rFonts w:asciiTheme="minorHAnsi" w:hAnsiTheme="minorHAnsi" w:cs="Arial"/>
                <w:color w:val="000000"/>
                <w:kern w:val="24"/>
                <w:sz w:val="21"/>
                <w:szCs w:val="21"/>
              </w:rPr>
              <w:t>Green</w:t>
            </w:r>
          </w:p>
        </w:tc>
      </w:tr>
      <w:tr w:rsidR="00A56C59" w14:paraId="7A8AC6E8" w14:textId="77777777" w:rsidTr="00657D21">
        <w:trPr>
          <w:trHeight w:val="680"/>
        </w:trPr>
        <w:tc>
          <w:tcPr>
            <w:tcW w:w="10485" w:type="dxa"/>
            <w:vAlign w:val="center"/>
          </w:tcPr>
          <w:p w14:paraId="73F3B5FC" w14:textId="79A0DD1E" w:rsidR="00A56C59" w:rsidRPr="006863BF" w:rsidRDefault="00A56C59" w:rsidP="00A56C59">
            <w:pPr>
              <w:pStyle w:val="Paragraph"/>
              <w:spacing w:before="120" w:after="120" w:line="240" w:lineRule="auto"/>
              <w:rPr>
                <w:rFonts w:asciiTheme="minorHAnsi" w:hAnsiTheme="minorHAnsi" w:cs="Arial"/>
                <w:color w:val="000000"/>
                <w:kern w:val="24"/>
                <w:sz w:val="21"/>
                <w:szCs w:val="21"/>
              </w:rPr>
            </w:pPr>
            <w:r>
              <w:rPr>
                <w:rFonts w:ascii="Inter" w:hAnsi="Inter"/>
                <w:color w:val="000000"/>
              </w:rPr>
              <w:t>Proportion of primary users who have favourable view of NICE</w:t>
            </w:r>
          </w:p>
        </w:tc>
        <w:tc>
          <w:tcPr>
            <w:tcW w:w="2055" w:type="dxa"/>
            <w:vAlign w:val="center"/>
          </w:tcPr>
          <w:p w14:paraId="67996E14" w14:textId="193240C0" w:rsidR="00A56C59" w:rsidRPr="006863BF" w:rsidRDefault="00E13109" w:rsidP="00A56C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76%</w:t>
            </w:r>
          </w:p>
        </w:tc>
        <w:tc>
          <w:tcPr>
            <w:tcW w:w="2056" w:type="dxa"/>
            <w:vAlign w:val="center"/>
          </w:tcPr>
          <w:p w14:paraId="0420D4A7" w14:textId="33BE9F73" w:rsidR="00A56C59" w:rsidRPr="006863BF" w:rsidRDefault="00E13109" w:rsidP="00A56C59">
            <w:pPr>
              <w:pStyle w:val="Paragraph"/>
              <w:spacing w:before="120" w:after="120" w:line="240" w:lineRule="auto"/>
              <w:jc w:val="center"/>
              <w:rPr>
                <w:rFonts w:asciiTheme="minorHAnsi" w:hAnsiTheme="minorHAnsi" w:cs="Arial"/>
                <w:color w:val="000000"/>
                <w:kern w:val="24"/>
                <w:sz w:val="21"/>
                <w:szCs w:val="21"/>
              </w:rPr>
            </w:pPr>
            <w:r>
              <w:rPr>
                <w:rFonts w:asciiTheme="minorHAnsi" w:hAnsiTheme="minorHAnsi" w:cs="Arial"/>
                <w:color w:val="000000"/>
                <w:kern w:val="24"/>
                <w:sz w:val="21"/>
                <w:szCs w:val="21"/>
              </w:rPr>
              <w:t>75%</w:t>
            </w:r>
          </w:p>
        </w:tc>
      </w:tr>
    </w:tbl>
    <w:p w14:paraId="53E3E342" w14:textId="77777777" w:rsidR="00B20D65" w:rsidRDefault="00B20D65" w:rsidP="00B20D65"/>
    <w:p w14:paraId="3C8D8EE0" w14:textId="3612F90A" w:rsidR="006F4A23" w:rsidRDefault="006F4A23">
      <w:r>
        <w:br w:type="page"/>
      </w:r>
    </w:p>
    <w:p w14:paraId="2BE8BA3E" w14:textId="3CAB441F" w:rsidR="00C85C40" w:rsidRDefault="00D061C3" w:rsidP="00A475FB">
      <w:pPr>
        <w:pStyle w:val="Heading1"/>
      </w:pPr>
      <w:bookmarkStart w:id="4" w:name="_Toc229498292"/>
      <w:r>
        <w:lastRenderedPageBreak/>
        <w:t>Projects</w:t>
      </w:r>
      <w:bookmarkEnd w:id="4"/>
    </w:p>
    <w:p w14:paraId="58E352A3" w14:textId="2295C032" w:rsidR="0002756E" w:rsidRDefault="000271E4" w:rsidP="004F53E3">
      <w:pPr>
        <w:pStyle w:val="Heading2"/>
      </w:pPr>
      <w:r>
        <w:t>Whole lifecycle approach</w:t>
      </w:r>
    </w:p>
    <w:tbl>
      <w:tblPr>
        <w:tblStyle w:val="TableGrid"/>
        <w:tblW w:w="14454" w:type="dxa"/>
        <w:tblLook w:val="04A0" w:firstRow="1" w:lastRow="0" w:firstColumn="1" w:lastColumn="0" w:noHBand="0" w:noVBand="1"/>
      </w:tblPr>
      <w:tblGrid>
        <w:gridCol w:w="4673"/>
        <w:gridCol w:w="9781"/>
      </w:tblGrid>
      <w:tr w:rsidR="00B20D65" w:rsidRPr="00CD5E11" w14:paraId="27577F3E" w14:textId="77777777" w:rsidTr="00B74740">
        <w:tc>
          <w:tcPr>
            <w:tcW w:w="4673" w:type="dxa"/>
            <w:shd w:val="clear" w:color="auto" w:fill="00436C" w:themeFill="accent2"/>
          </w:tcPr>
          <w:p w14:paraId="0C2665E3" w14:textId="412F5B86" w:rsidR="00B20D65" w:rsidRPr="00CD5E11" w:rsidRDefault="006A6711" w:rsidP="00A13389">
            <w:pPr>
              <w:spacing w:before="120" w:after="120"/>
              <w:rPr>
                <w:b/>
                <w:bCs/>
              </w:rPr>
            </w:pPr>
            <w:r>
              <w:rPr>
                <w:b/>
                <w:bCs/>
              </w:rPr>
              <w:t>Overview</w:t>
            </w:r>
          </w:p>
        </w:tc>
        <w:tc>
          <w:tcPr>
            <w:tcW w:w="9781" w:type="dxa"/>
            <w:shd w:val="clear" w:color="auto" w:fill="00436C" w:themeFill="accent2"/>
          </w:tcPr>
          <w:p w14:paraId="381F644C" w14:textId="717B28A7" w:rsidR="00B20D65" w:rsidRPr="00CD5E11" w:rsidRDefault="00B20D65" w:rsidP="00A13389">
            <w:pPr>
              <w:spacing w:before="120" w:after="120"/>
              <w:rPr>
                <w:b/>
                <w:bCs/>
              </w:rPr>
            </w:pPr>
            <w:r w:rsidRPr="00CD5E11">
              <w:rPr>
                <w:b/>
                <w:bCs/>
              </w:rPr>
              <w:t>Objectives</w:t>
            </w:r>
          </w:p>
        </w:tc>
      </w:tr>
      <w:tr w:rsidR="00B20D65" w14:paraId="77E0B0D5" w14:textId="77777777" w:rsidTr="00B74740">
        <w:tc>
          <w:tcPr>
            <w:tcW w:w="4673" w:type="dxa"/>
          </w:tcPr>
          <w:p w14:paraId="62B939E0" w14:textId="77777777" w:rsidR="00B20D65" w:rsidRDefault="00B20D65" w:rsidP="00A13389">
            <w:pPr>
              <w:spacing w:before="120" w:after="120"/>
            </w:pPr>
            <w:r w:rsidRPr="00440376">
              <w:t xml:space="preserve">NICE is evolving towards a whole lifecycle approach </w:t>
            </w:r>
            <w:r>
              <w:t xml:space="preserve">(WLA) </w:t>
            </w:r>
            <w:r w:rsidRPr="00440376">
              <w:t>to guidance production to ensure it continues to provide the NHS with useful and usable guidance.</w:t>
            </w:r>
          </w:p>
        </w:tc>
        <w:tc>
          <w:tcPr>
            <w:tcW w:w="9781" w:type="dxa"/>
          </w:tcPr>
          <w:p w14:paraId="0C564D1F" w14:textId="6AC6CBD6" w:rsidR="00BA1877" w:rsidRDefault="00B20D65" w:rsidP="00BA1877">
            <w:pPr>
              <w:tabs>
                <w:tab w:val="num" w:pos="720"/>
              </w:tabs>
              <w:spacing w:before="120" w:after="120"/>
            </w:pPr>
            <w:r>
              <w:t xml:space="preserve">In 2026/27, </w:t>
            </w:r>
            <w:r w:rsidR="00BA1877">
              <w:t>t</w:t>
            </w:r>
            <w:r w:rsidR="00BA1877" w:rsidRPr="00440376">
              <w:t xml:space="preserve">he project has </w:t>
            </w:r>
            <w:r w:rsidR="00D263BF">
              <w:t>t</w:t>
            </w:r>
            <w:r w:rsidR="00BA1877">
              <w:t>wo</w:t>
            </w:r>
            <w:r w:rsidR="00BA1877" w:rsidRPr="00440376">
              <w:t xml:space="preserve"> objectives:</w:t>
            </w:r>
          </w:p>
          <w:p w14:paraId="79E073C0" w14:textId="49DCC2CB" w:rsidR="00BA1877" w:rsidRPr="00BA1877" w:rsidRDefault="00BA1877" w:rsidP="00BA1877">
            <w:pPr>
              <w:pStyle w:val="ListParagraph"/>
              <w:numPr>
                <w:ilvl w:val="0"/>
                <w:numId w:val="27"/>
              </w:numPr>
              <w:tabs>
                <w:tab w:val="num" w:pos="288"/>
              </w:tabs>
              <w:spacing w:before="120" w:after="120"/>
              <w:ind w:hanging="716"/>
            </w:pPr>
            <w:r w:rsidRPr="00BA1877">
              <w:t xml:space="preserve">Improving how NICE keeps guidance </w:t>
            </w:r>
            <w:proofErr w:type="gramStart"/>
            <w:r w:rsidRPr="00BA1877">
              <w:t>up-to-date</w:t>
            </w:r>
            <w:proofErr w:type="gramEnd"/>
          </w:p>
          <w:p w14:paraId="07D2C2B9" w14:textId="52AA3817" w:rsidR="00BA1877" w:rsidRPr="00BA1877" w:rsidRDefault="00BA1877" w:rsidP="00BA1877">
            <w:pPr>
              <w:pStyle w:val="ListParagraph"/>
              <w:numPr>
                <w:ilvl w:val="0"/>
                <w:numId w:val="27"/>
              </w:numPr>
              <w:tabs>
                <w:tab w:val="num" w:pos="288"/>
              </w:tabs>
              <w:spacing w:before="120" w:after="120"/>
              <w:ind w:hanging="716"/>
            </w:pPr>
            <w:r w:rsidRPr="00BA1877">
              <w:t>bringing guidance together.</w:t>
            </w:r>
          </w:p>
          <w:p w14:paraId="7568ADEB" w14:textId="77777777" w:rsidR="00B20D65" w:rsidRDefault="00B20D65" w:rsidP="00A13389">
            <w:pPr>
              <w:tabs>
                <w:tab w:val="num" w:pos="720"/>
              </w:tabs>
              <w:spacing w:before="240" w:after="240"/>
            </w:pPr>
            <w:r w:rsidRPr="00440376">
              <w:t>By the end of 2026/2027, the project aims to have embedded a whole lifecycle approach to guidance production in 50% of all guidance production across NICE.</w:t>
            </w:r>
          </w:p>
          <w:p w14:paraId="4BE4FE71" w14:textId="5ED6E24A" w:rsidR="00D263BF" w:rsidRPr="00440376" w:rsidRDefault="00D263BF" w:rsidP="00D263BF">
            <w:pPr>
              <w:tabs>
                <w:tab w:val="num" w:pos="720"/>
              </w:tabs>
              <w:spacing w:before="120" w:after="120"/>
            </w:pPr>
            <w:r>
              <w:t xml:space="preserve">These objectives will be delivered </w:t>
            </w:r>
            <w:r w:rsidR="00933944">
              <w:t>through the</w:t>
            </w:r>
            <w:r w:rsidRPr="00440376">
              <w:t xml:space="preserve"> following workstreams: 1) Managing NICE's guidance portfolio, 2) Developing the WLA guidance model, 3) Methods to support WLA, 4) Incorporation of TAs in clinical guidelines, and 5) Off-patent medicines. </w:t>
            </w:r>
          </w:p>
          <w:p w14:paraId="6E596E13" w14:textId="426FAAB9" w:rsidR="00D263BF" w:rsidRDefault="00D263BF" w:rsidP="00A13389">
            <w:pPr>
              <w:tabs>
                <w:tab w:val="num" w:pos="720"/>
              </w:tabs>
              <w:spacing w:before="240" w:after="240"/>
            </w:pPr>
            <w:r w:rsidRPr="00440376">
              <w:t>The project is taking a test-and-learn approach to develop the approaches required to achieve the project's objectives. The test cases are run in NICE's guidance-producing programmes and other core functions to ensure any changes to NICE's operations to deliver the whole lifecycle approach are evidence-based and able to deliver their intended objectives.</w:t>
            </w:r>
          </w:p>
        </w:tc>
      </w:tr>
    </w:tbl>
    <w:p w14:paraId="71383A27" w14:textId="77777777" w:rsidR="00B20D65" w:rsidRDefault="00B20D65" w:rsidP="00B20D65"/>
    <w:p w14:paraId="3B2B9FF2" w14:textId="77777777" w:rsidR="00933944" w:rsidRDefault="00933944" w:rsidP="00B20D65"/>
    <w:p w14:paraId="78A349F5" w14:textId="77777777" w:rsidR="00336063" w:rsidRDefault="00336063" w:rsidP="004F53E3">
      <w:pPr>
        <w:pStyle w:val="Heading2"/>
      </w:pPr>
      <w:r w:rsidRPr="00336063">
        <w:lastRenderedPageBreak/>
        <w:t>Planning and Scheduling Management</w:t>
      </w:r>
    </w:p>
    <w:tbl>
      <w:tblPr>
        <w:tblStyle w:val="TableGrid"/>
        <w:tblW w:w="14454" w:type="dxa"/>
        <w:tblLook w:val="04A0" w:firstRow="1" w:lastRow="0" w:firstColumn="1" w:lastColumn="0" w:noHBand="0" w:noVBand="1"/>
      </w:tblPr>
      <w:tblGrid>
        <w:gridCol w:w="4673"/>
        <w:gridCol w:w="9781"/>
      </w:tblGrid>
      <w:tr w:rsidR="00B20D65" w:rsidRPr="00CD5E11" w14:paraId="53914027" w14:textId="77777777" w:rsidTr="00B74740">
        <w:tc>
          <w:tcPr>
            <w:tcW w:w="4673" w:type="dxa"/>
            <w:shd w:val="clear" w:color="auto" w:fill="00436C" w:themeFill="accent2"/>
          </w:tcPr>
          <w:p w14:paraId="0CF336F5" w14:textId="3A86188C" w:rsidR="00B20D65" w:rsidRPr="00CD5E11" w:rsidRDefault="001E0670" w:rsidP="00A13389">
            <w:pPr>
              <w:spacing w:before="120" w:after="120"/>
              <w:rPr>
                <w:b/>
                <w:bCs/>
              </w:rPr>
            </w:pPr>
            <w:r>
              <w:rPr>
                <w:b/>
                <w:bCs/>
              </w:rPr>
              <w:t>Overview</w:t>
            </w:r>
          </w:p>
        </w:tc>
        <w:tc>
          <w:tcPr>
            <w:tcW w:w="9781" w:type="dxa"/>
            <w:shd w:val="clear" w:color="auto" w:fill="00436C" w:themeFill="accent2"/>
          </w:tcPr>
          <w:p w14:paraId="698FFAB1" w14:textId="56B10349" w:rsidR="00B20D65" w:rsidRPr="00CD5E11" w:rsidRDefault="00B20D65" w:rsidP="00A13389">
            <w:pPr>
              <w:spacing w:before="120" w:after="120"/>
              <w:rPr>
                <w:b/>
                <w:bCs/>
              </w:rPr>
            </w:pPr>
            <w:r w:rsidRPr="00CD5E11">
              <w:rPr>
                <w:b/>
                <w:bCs/>
              </w:rPr>
              <w:t>Objectives</w:t>
            </w:r>
          </w:p>
        </w:tc>
      </w:tr>
      <w:tr w:rsidR="00B20D65" w14:paraId="729A8AA4" w14:textId="77777777" w:rsidTr="00B74740">
        <w:tc>
          <w:tcPr>
            <w:tcW w:w="4673" w:type="dxa"/>
          </w:tcPr>
          <w:p w14:paraId="0656E892" w14:textId="0F1F6118" w:rsidR="00B20D65" w:rsidRDefault="004002F4" w:rsidP="00A13389">
            <w:pPr>
              <w:spacing w:before="120" w:after="120"/>
            </w:pPr>
            <w:r w:rsidRPr="004002F4">
              <w:t xml:space="preserve">The project </w:t>
            </w:r>
            <w:r w:rsidR="004F3B1A">
              <w:t xml:space="preserve">will </w:t>
            </w:r>
            <w:r w:rsidRPr="004002F4">
              <w:t>modernise planning and scheduling, strengthen digital maturity, streamline processes, and enable better integration of data and technology. It will create coherent, organisation</w:t>
            </w:r>
            <w:r w:rsidRPr="004002F4">
              <w:noBreakHyphen/>
              <w:t>wide approaches that support effective decision</w:t>
            </w:r>
            <w:r w:rsidRPr="004002F4">
              <w:noBreakHyphen/>
              <w:t>making and lay the foundation for a future unified planning and resourcing platform.</w:t>
            </w:r>
          </w:p>
        </w:tc>
        <w:tc>
          <w:tcPr>
            <w:tcW w:w="9781" w:type="dxa"/>
          </w:tcPr>
          <w:p w14:paraId="7AC0F474" w14:textId="0C959C19" w:rsidR="00BA1877" w:rsidRDefault="0032697D" w:rsidP="00BA1877">
            <w:pPr>
              <w:tabs>
                <w:tab w:val="num" w:pos="720"/>
              </w:tabs>
              <w:spacing w:before="120" w:after="120"/>
            </w:pPr>
            <w:r>
              <w:t>By March 20</w:t>
            </w:r>
            <w:r w:rsidR="00BA1877">
              <w:t>27, t</w:t>
            </w:r>
            <w:r w:rsidR="00BA1877" w:rsidRPr="00440376">
              <w:t>he project</w:t>
            </w:r>
            <w:r w:rsidR="00E103E7">
              <w:t xml:space="preserve"> will aim to</w:t>
            </w:r>
            <w:r>
              <w:t xml:space="preserve"> </w:t>
            </w:r>
            <w:r w:rsidRPr="0032697D">
              <w:t>deliver a service-based programme that</w:t>
            </w:r>
            <w:r w:rsidR="00933944">
              <w:t xml:space="preserve"> will:</w:t>
            </w:r>
          </w:p>
          <w:p w14:paraId="215C7741" w14:textId="77777777" w:rsidR="00933944" w:rsidRDefault="00BA1877" w:rsidP="00933944">
            <w:pPr>
              <w:pStyle w:val="ListParagraph"/>
              <w:numPr>
                <w:ilvl w:val="0"/>
                <w:numId w:val="27"/>
              </w:numPr>
              <w:tabs>
                <w:tab w:val="num" w:pos="288"/>
              </w:tabs>
              <w:spacing w:before="120" w:after="120"/>
              <w:ind w:left="290" w:hanging="284"/>
              <w:contextualSpacing w:val="0"/>
            </w:pPr>
            <w:r w:rsidRPr="00BA1877">
              <w:t xml:space="preserve">Embed new ways of working through adoption of the organisation and contacts tool, driving improvement and innovation in stakeholder management. </w:t>
            </w:r>
          </w:p>
          <w:p w14:paraId="0FD9332C" w14:textId="77777777" w:rsidR="00933944" w:rsidRDefault="00BA1877" w:rsidP="00933944">
            <w:pPr>
              <w:pStyle w:val="ListParagraph"/>
              <w:numPr>
                <w:ilvl w:val="0"/>
                <w:numId w:val="27"/>
              </w:numPr>
              <w:tabs>
                <w:tab w:val="num" w:pos="288"/>
              </w:tabs>
              <w:spacing w:before="120" w:after="120"/>
              <w:ind w:left="290" w:hanging="284"/>
              <w:contextualSpacing w:val="0"/>
            </w:pPr>
            <w:r w:rsidRPr="00BA1877">
              <w:t xml:space="preserve">Migrate timeline information to, and support business adoption of, the new interim planning tool that meets agreed user needs. </w:t>
            </w:r>
          </w:p>
          <w:p w14:paraId="20E21BFF" w14:textId="77777777" w:rsidR="00933944" w:rsidRDefault="00BA1877" w:rsidP="00933944">
            <w:pPr>
              <w:pStyle w:val="ListParagraph"/>
              <w:numPr>
                <w:ilvl w:val="0"/>
                <w:numId w:val="27"/>
              </w:numPr>
              <w:tabs>
                <w:tab w:val="num" w:pos="288"/>
              </w:tabs>
              <w:spacing w:before="120" w:after="120"/>
              <w:ind w:left="290" w:hanging="284"/>
              <w:contextualSpacing w:val="0"/>
            </w:pPr>
            <w:r w:rsidRPr="00BA1877">
              <w:t xml:space="preserve">Decommission legacy planning tools, ensuring proper data handling, archiving and system dismantling. </w:t>
            </w:r>
          </w:p>
          <w:p w14:paraId="4D228C91" w14:textId="77777777" w:rsidR="00933944" w:rsidRDefault="00BA1877" w:rsidP="00933944">
            <w:pPr>
              <w:pStyle w:val="ListParagraph"/>
              <w:numPr>
                <w:ilvl w:val="0"/>
                <w:numId w:val="27"/>
              </w:numPr>
              <w:tabs>
                <w:tab w:val="num" w:pos="288"/>
              </w:tabs>
              <w:spacing w:before="120" w:after="120"/>
              <w:ind w:left="290" w:hanging="284"/>
              <w:contextualSpacing w:val="0"/>
            </w:pPr>
            <w:r w:rsidRPr="00BA1877">
              <w:t xml:space="preserve">Optimise, digitise and align priority guidance processes to support corporate strategic aims and deliver efficiencies. </w:t>
            </w:r>
          </w:p>
          <w:p w14:paraId="24BC943E" w14:textId="3FCBBD1A" w:rsidR="00933944" w:rsidRDefault="00BA1877" w:rsidP="00933944">
            <w:pPr>
              <w:pStyle w:val="ListParagraph"/>
              <w:numPr>
                <w:ilvl w:val="0"/>
                <w:numId w:val="27"/>
              </w:numPr>
              <w:tabs>
                <w:tab w:val="num" w:pos="288"/>
              </w:tabs>
              <w:spacing w:before="120" w:after="120"/>
              <w:ind w:left="290" w:hanging="284"/>
              <w:contextualSpacing w:val="0"/>
            </w:pPr>
            <w:r w:rsidRPr="00BA1877">
              <w:t>Improve data quality in phased stages to enable better decision</w:t>
            </w:r>
            <w:r w:rsidRPr="00BA1877">
              <w:noBreakHyphen/>
              <w:t>making, automation and reporting, aligned with the data strateg</w:t>
            </w:r>
            <w:r w:rsidR="005A6AB2">
              <w:t>ic roadmap.</w:t>
            </w:r>
            <w:r w:rsidRPr="00BA1877">
              <w:t xml:space="preserve"> </w:t>
            </w:r>
          </w:p>
          <w:p w14:paraId="76C4AFD6" w14:textId="06227374" w:rsidR="00B20D65" w:rsidRDefault="00BA1877" w:rsidP="00933944">
            <w:pPr>
              <w:pStyle w:val="ListParagraph"/>
              <w:numPr>
                <w:ilvl w:val="0"/>
                <w:numId w:val="27"/>
              </w:numPr>
              <w:tabs>
                <w:tab w:val="num" w:pos="288"/>
              </w:tabs>
              <w:spacing w:before="120" w:after="120"/>
              <w:ind w:left="290" w:hanging="284"/>
              <w:contextualSpacing w:val="0"/>
            </w:pPr>
            <w:r w:rsidRPr="00BA1877">
              <w:t>Use insights from new systems to shape long</w:t>
            </w:r>
            <w:r w:rsidRPr="00BA1877">
              <w:noBreakHyphen/>
              <w:t>term requirements for the future</w:t>
            </w:r>
            <w:r w:rsidR="00BD69FE">
              <w:t xml:space="preserve"> enterprise resource planning (</w:t>
            </w:r>
            <w:r w:rsidRPr="00BA1877">
              <w:t>ERP</w:t>
            </w:r>
            <w:r w:rsidR="00BD69FE">
              <w:t>)</w:t>
            </w:r>
            <w:r w:rsidRPr="00BA1877">
              <w:t xml:space="preserve"> </w:t>
            </w:r>
            <w:r w:rsidR="00BD69FE">
              <w:t xml:space="preserve">solution </w:t>
            </w:r>
            <w:r w:rsidRPr="00BA1877">
              <w:t>and define how planning, scheduling</w:t>
            </w:r>
            <w:r w:rsidR="005A6AB2">
              <w:t>, guidance production</w:t>
            </w:r>
            <w:r w:rsidRPr="00BA1877">
              <w:t xml:space="preserve"> and content creation will integrate.</w:t>
            </w:r>
          </w:p>
        </w:tc>
      </w:tr>
    </w:tbl>
    <w:p w14:paraId="6F63C1AC" w14:textId="77777777" w:rsidR="00B20D65" w:rsidRDefault="00B20D65" w:rsidP="00B20D65"/>
    <w:p w14:paraId="34C38F2F" w14:textId="77777777" w:rsidR="00B20D65" w:rsidRDefault="00B20D65" w:rsidP="00B20D65"/>
    <w:p w14:paraId="782826DF" w14:textId="77777777" w:rsidR="00095D77" w:rsidRPr="00B20D65" w:rsidRDefault="00095D77" w:rsidP="00B20D65"/>
    <w:p w14:paraId="4B5ACDFD" w14:textId="77777777" w:rsidR="00336063" w:rsidRPr="00336063" w:rsidRDefault="00336063" w:rsidP="004F53E3">
      <w:pPr>
        <w:pStyle w:val="Heading2"/>
      </w:pPr>
      <w:r w:rsidRPr="00336063">
        <w:lastRenderedPageBreak/>
        <w:t>Knowledge Transformation</w:t>
      </w:r>
    </w:p>
    <w:p w14:paraId="4420B60B" w14:textId="77777777" w:rsidR="00336063" w:rsidRDefault="00336063" w:rsidP="00C24E8D">
      <w:pPr>
        <w:tabs>
          <w:tab w:val="num" w:pos="720"/>
        </w:tabs>
        <w:spacing w:before="240" w:after="240"/>
      </w:pPr>
      <w:r w:rsidRPr="00336063">
        <w:t xml:space="preserve">This multi-year programme has two areas of focus in 26/27 </w:t>
      </w:r>
    </w:p>
    <w:tbl>
      <w:tblPr>
        <w:tblStyle w:val="TableGrid"/>
        <w:tblW w:w="14454" w:type="dxa"/>
        <w:tblLook w:val="04A0" w:firstRow="1" w:lastRow="0" w:firstColumn="1" w:lastColumn="0" w:noHBand="0" w:noVBand="1"/>
      </w:tblPr>
      <w:tblGrid>
        <w:gridCol w:w="4673"/>
        <w:gridCol w:w="9781"/>
      </w:tblGrid>
      <w:tr w:rsidR="00B20D65" w:rsidRPr="00CD5E11" w14:paraId="67537F73" w14:textId="77777777" w:rsidTr="00B74740">
        <w:tc>
          <w:tcPr>
            <w:tcW w:w="4673" w:type="dxa"/>
            <w:shd w:val="clear" w:color="auto" w:fill="00436C" w:themeFill="accent2"/>
          </w:tcPr>
          <w:p w14:paraId="700DAEFC" w14:textId="63736C63" w:rsidR="00B20D65" w:rsidRPr="00CD5E11" w:rsidRDefault="006A6711" w:rsidP="00A13389">
            <w:pPr>
              <w:spacing w:before="120" w:after="120"/>
              <w:rPr>
                <w:b/>
                <w:bCs/>
              </w:rPr>
            </w:pPr>
            <w:r>
              <w:rPr>
                <w:b/>
                <w:bCs/>
              </w:rPr>
              <w:t>Overview</w:t>
            </w:r>
          </w:p>
        </w:tc>
        <w:tc>
          <w:tcPr>
            <w:tcW w:w="9781" w:type="dxa"/>
            <w:shd w:val="clear" w:color="auto" w:fill="00436C" w:themeFill="accent2"/>
          </w:tcPr>
          <w:p w14:paraId="57FEDC3A" w14:textId="05E23482" w:rsidR="00B20D65" w:rsidRPr="00CD5E11" w:rsidRDefault="00B20D65" w:rsidP="00A13389">
            <w:pPr>
              <w:spacing w:before="120" w:after="120"/>
              <w:rPr>
                <w:b/>
                <w:bCs/>
              </w:rPr>
            </w:pPr>
            <w:r w:rsidRPr="00CD5E11">
              <w:rPr>
                <w:b/>
                <w:bCs/>
              </w:rPr>
              <w:t>Objectives</w:t>
            </w:r>
          </w:p>
        </w:tc>
      </w:tr>
      <w:tr w:rsidR="00B20D65" w14:paraId="75BB4D43" w14:textId="77777777" w:rsidTr="00B74740">
        <w:tc>
          <w:tcPr>
            <w:tcW w:w="4673" w:type="dxa"/>
          </w:tcPr>
          <w:p w14:paraId="094D4B94" w14:textId="1872A38F" w:rsidR="00B20D65" w:rsidRDefault="00FE1A18" w:rsidP="00A13389">
            <w:pPr>
              <w:spacing w:before="120" w:after="120"/>
            </w:pPr>
            <w:r w:rsidRPr="00FE1A18">
              <w:t>The project will transform NICE’s knowledge products by replacing inconsistent structures and outdated technology with structured, machine</w:t>
            </w:r>
            <w:r w:rsidRPr="00FE1A18">
              <w:noBreakHyphen/>
              <w:t>readable content and modern tools. This will make guidance easier to find, use and trust, and enable syndication into partner systems, including electronic health records.</w:t>
            </w:r>
          </w:p>
        </w:tc>
        <w:tc>
          <w:tcPr>
            <w:tcW w:w="9781" w:type="dxa"/>
          </w:tcPr>
          <w:p w14:paraId="5F2F5852" w14:textId="37277E5B" w:rsidR="004061E2" w:rsidRDefault="004061E2" w:rsidP="004061E2">
            <w:pPr>
              <w:tabs>
                <w:tab w:val="num" w:pos="720"/>
              </w:tabs>
              <w:spacing w:before="120" w:after="120"/>
            </w:pPr>
            <w:r>
              <w:t>By March 2027, t</w:t>
            </w:r>
            <w:r w:rsidRPr="00440376">
              <w:t>he project</w:t>
            </w:r>
            <w:r>
              <w:t xml:space="preserve"> will aim to:</w:t>
            </w:r>
          </w:p>
          <w:p w14:paraId="2C7CE39F" w14:textId="6D3218A7" w:rsidR="004061E2" w:rsidRPr="004061E2" w:rsidRDefault="001E2152" w:rsidP="004061E2">
            <w:pPr>
              <w:pStyle w:val="ListParagraph"/>
              <w:numPr>
                <w:ilvl w:val="0"/>
                <w:numId w:val="27"/>
              </w:numPr>
              <w:tabs>
                <w:tab w:val="num" w:pos="288"/>
              </w:tabs>
              <w:spacing w:before="120" w:after="120"/>
              <w:ind w:left="290" w:hanging="284"/>
              <w:contextualSpacing w:val="0"/>
            </w:pPr>
            <w:r>
              <w:t>C</w:t>
            </w:r>
            <w:r w:rsidRPr="001E2152">
              <w:t xml:space="preserve">omplete </w:t>
            </w:r>
            <w:r w:rsidR="006215B5">
              <w:t>P</w:t>
            </w:r>
            <w:r w:rsidRPr="001E2152">
              <w:t xml:space="preserve">hase 1 foundational work for the knowledge platform, </w:t>
            </w:r>
            <w:r w:rsidR="004061E2" w:rsidRPr="004061E2">
              <w:t xml:space="preserve">including the semantic data model and componentised content management system with API, search and authoring capabilities. </w:t>
            </w:r>
          </w:p>
          <w:p w14:paraId="4E351AC9" w14:textId="14CB3008" w:rsidR="004061E2" w:rsidRPr="004061E2" w:rsidRDefault="004061E2" w:rsidP="004061E2">
            <w:pPr>
              <w:pStyle w:val="ListParagraph"/>
              <w:numPr>
                <w:ilvl w:val="0"/>
                <w:numId w:val="27"/>
              </w:numPr>
              <w:tabs>
                <w:tab w:val="num" w:pos="288"/>
              </w:tabs>
              <w:spacing w:before="120" w:after="120"/>
              <w:ind w:left="290" w:hanging="284"/>
              <w:contextualSpacing w:val="0"/>
            </w:pPr>
            <w:r w:rsidRPr="004061E2">
              <w:t xml:space="preserve">Define and deliver Phase 2 priorities through a proof of concept and subsequent procurement, building on the minimum viable product </w:t>
            </w:r>
            <w:r w:rsidR="00FF0381">
              <w:t xml:space="preserve">delivered in Phase 1 </w:t>
            </w:r>
            <w:r w:rsidRPr="004061E2">
              <w:t xml:space="preserve">and advancing the DDAT strategy. </w:t>
            </w:r>
          </w:p>
          <w:p w14:paraId="66516A8F" w14:textId="52EAB003" w:rsidR="004061E2" w:rsidRPr="004061E2" w:rsidRDefault="004061E2" w:rsidP="004061E2">
            <w:pPr>
              <w:pStyle w:val="ListParagraph"/>
              <w:numPr>
                <w:ilvl w:val="0"/>
                <w:numId w:val="27"/>
              </w:numPr>
              <w:tabs>
                <w:tab w:val="num" w:pos="288"/>
              </w:tabs>
              <w:spacing w:before="120" w:after="120"/>
              <w:ind w:left="290" w:hanging="284"/>
              <w:contextualSpacing w:val="0"/>
            </w:pPr>
            <w:r w:rsidRPr="004061E2">
              <w:t xml:space="preserve">Implement a structured approach to all new guidance content to ensure consistency, navigability and efficient reuse. </w:t>
            </w:r>
          </w:p>
          <w:p w14:paraId="5C71CC1C" w14:textId="7C2B82C2" w:rsidR="004061E2" w:rsidRPr="004061E2" w:rsidRDefault="004061E2" w:rsidP="004061E2">
            <w:pPr>
              <w:pStyle w:val="ListParagraph"/>
              <w:numPr>
                <w:ilvl w:val="0"/>
                <w:numId w:val="27"/>
              </w:numPr>
              <w:tabs>
                <w:tab w:val="num" w:pos="288"/>
              </w:tabs>
              <w:spacing w:before="120" w:after="120"/>
              <w:ind w:left="290" w:hanging="284"/>
              <w:contextualSpacing w:val="0"/>
            </w:pPr>
            <w:r w:rsidRPr="004061E2">
              <w:t>Lead organisation</w:t>
            </w:r>
            <w:r w:rsidRPr="004061E2">
              <w:noBreakHyphen/>
              <w:t>wide business change to ensure successful adoption of the Knowledge Platform, realisation of benefits set out in the 2026 business case, and development of a sustainable operating model for creating, curating and managing guidance</w:t>
            </w:r>
            <w:r w:rsidR="0050576D">
              <w:t xml:space="preserve"> content</w:t>
            </w:r>
            <w:r w:rsidRPr="004061E2">
              <w:t xml:space="preserve">. </w:t>
            </w:r>
          </w:p>
          <w:p w14:paraId="75591659" w14:textId="20E2803A" w:rsidR="00B20D65" w:rsidRDefault="004061E2" w:rsidP="004061E2">
            <w:pPr>
              <w:pStyle w:val="ListParagraph"/>
              <w:numPr>
                <w:ilvl w:val="0"/>
                <w:numId w:val="27"/>
              </w:numPr>
              <w:tabs>
                <w:tab w:val="num" w:pos="288"/>
              </w:tabs>
              <w:spacing w:before="120" w:after="120"/>
              <w:ind w:left="290" w:hanging="284"/>
              <w:contextualSpacing w:val="0"/>
            </w:pPr>
            <w:r w:rsidRPr="004061E2">
              <w:t>Identify, prioritise and operationalise opportunities for syndication and third</w:t>
            </w:r>
            <w:r w:rsidRPr="004061E2">
              <w:noBreakHyphen/>
              <w:t>party reuse enabled by the new syndication API.</w:t>
            </w:r>
          </w:p>
        </w:tc>
      </w:tr>
    </w:tbl>
    <w:p w14:paraId="4D645D8A" w14:textId="77777777" w:rsidR="00EA5C2D" w:rsidRDefault="00EA5C2D" w:rsidP="00C24E8D">
      <w:pPr>
        <w:tabs>
          <w:tab w:val="num" w:pos="720"/>
        </w:tabs>
        <w:spacing w:before="240" w:after="240"/>
      </w:pPr>
    </w:p>
    <w:p w14:paraId="6629169A" w14:textId="2DC7C938" w:rsidR="00A44C2C" w:rsidRPr="00A44C2C" w:rsidRDefault="00A44C2C" w:rsidP="004F53E3">
      <w:pPr>
        <w:pStyle w:val="Heading2"/>
      </w:pPr>
      <w:r w:rsidRPr="00A44C2C">
        <w:lastRenderedPageBreak/>
        <w:t xml:space="preserve">Artificial Intelligence </w:t>
      </w:r>
      <w:r w:rsidR="00980F8E">
        <w:t xml:space="preserve">(AI) </w:t>
      </w:r>
      <w:r w:rsidRPr="00A44C2C">
        <w:t>and Data</w:t>
      </w:r>
    </w:p>
    <w:tbl>
      <w:tblPr>
        <w:tblStyle w:val="TableGrid"/>
        <w:tblW w:w="14454" w:type="dxa"/>
        <w:tblLook w:val="04A0" w:firstRow="1" w:lastRow="0" w:firstColumn="1" w:lastColumn="0" w:noHBand="0" w:noVBand="1"/>
      </w:tblPr>
      <w:tblGrid>
        <w:gridCol w:w="4673"/>
        <w:gridCol w:w="9781"/>
      </w:tblGrid>
      <w:tr w:rsidR="006A6711" w:rsidRPr="00CD5E11" w14:paraId="3EF11CDD" w14:textId="77777777" w:rsidTr="00B74740">
        <w:tc>
          <w:tcPr>
            <w:tcW w:w="4673" w:type="dxa"/>
            <w:shd w:val="clear" w:color="auto" w:fill="00436C" w:themeFill="accent2"/>
          </w:tcPr>
          <w:p w14:paraId="79A90953" w14:textId="6DF99B17" w:rsidR="006A6711" w:rsidRPr="00CD5E11" w:rsidRDefault="006A6711" w:rsidP="006A6711">
            <w:pPr>
              <w:spacing w:before="120" w:after="120"/>
              <w:rPr>
                <w:b/>
                <w:bCs/>
              </w:rPr>
            </w:pPr>
            <w:r>
              <w:rPr>
                <w:b/>
                <w:bCs/>
              </w:rPr>
              <w:t>Overview</w:t>
            </w:r>
          </w:p>
        </w:tc>
        <w:tc>
          <w:tcPr>
            <w:tcW w:w="9781" w:type="dxa"/>
            <w:shd w:val="clear" w:color="auto" w:fill="00436C" w:themeFill="accent2"/>
          </w:tcPr>
          <w:p w14:paraId="64D79EB9" w14:textId="74B02624" w:rsidR="006A6711" w:rsidRPr="00CD5E11" w:rsidRDefault="006A6711" w:rsidP="006A6711">
            <w:pPr>
              <w:spacing w:before="120" w:after="120"/>
              <w:rPr>
                <w:b/>
                <w:bCs/>
              </w:rPr>
            </w:pPr>
            <w:r w:rsidRPr="00CD5E11">
              <w:rPr>
                <w:b/>
                <w:bCs/>
              </w:rPr>
              <w:t>Objectives</w:t>
            </w:r>
          </w:p>
        </w:tc>
      </w:tr>
      <w:tr w:rsidR="00EA5C2D" w14:paraId="5C5A9855" w14:textId="77777777" w:rsidTr="00B74740">
        <w:tc>
          <w:tcPr>
            <w:tcW w:w="4673" w:type="dxa"/>
          </w:tcPr>
          <w:p w14:paraId="2E4E7D95" w14:textId="75F1D806" w:rsidR="00037DFA" w:rsidRDefault="00097451" w:rsidP="00A13389">
            <w:pPr>
              <w:spacing w:before="120" w:after="120"/>
            </w:pPr>
            <w:r w:rsidRPr="00097451">
              <w:t xml:space="preserve">A </w:t>
            </w:r>
            <w:r w:rsidR="00895BB7">
              <w:t xml:space="preserve">multi-year </w:t>
            </w:r>
            <w:r w:rsidRPr="00097451">
              <w:t xml:space="preserve">programme to build the technology </w:t>
            </w:r>
            <w:r w:rsidR="006C2FA4">
              <w:t xml:space="preserve">and data </w:t>
            </w:r>
            <w:r w:rsidRPr="00097451">
              <w:t xml:space="preserve">foundations for </w:t>
            </w:r>
            <w:r w:rsidR="00C518E0">
              <w:t xml:space="preserve">swift, </w:t>
            </w:r>
            <w:r w:rsidRPr="00097451">
              <w:t xml:space="preserve">safe </w:t>
            </w:r>
            <w:r w:rsidR="00C518E0">
              <w:t xml:space="preserve">and successful </w:t>
            </w:r>
            <w:r w:rsidRPr="00097451">
              <w:t>AI adoption</w:t>
            </w:r>
            <w:r w:rsidR="00B24A74">
              <w:t xml:space="preserve"> within NICE</w:t>
            </w:r>
            <w:r w:rsidRPr="00097451">
              <w:t>, deliver robust NHS-facing guidance on AI technologies</w:t>
            </w:r>
            <w:r w:rsidR="00037DFA" w:rsidRPr="00097451">
              <w:t xml:space="preserve"> </w:t>
            </w:r>
            <w:r w:rsidR="00037DFA">
              <w:t xml:space="preserve">and </w:t>
            </w:r>
            <w:r w:rsidR="00037DFA" w:rsidRPr="00097451">
              <w:t>advance AI methods in HTA</w:t>
            </w:r>
            <w:r w:rsidR="006F336B">
              <w:t xml:space="preserve">. </w:t>
            </w:r>
          </w:p>
          <w:p w14:paraId="42ED1537" w14:textId="6B2CBCA9" w:rsidR="00EA5C2D" w:rsidRDefault="006F336B" w:rsidP="00A13389">
            <w:pPr>
              <w:spacing w:before="120" w:after="120"/>
            </w:pPr>
            <w:r>
              <w:t xml:space="preserve">This will </w:t>
            </w:r>
            <w:r w:rsidR="00097451" w:rsidRPr="00097451">
              <w:t>enabl</w:t>
            </w:r>
            <w:r>
              <w:t>e</w:t>
            </w:r>
            <w:r w:rsidR="00097451" w:rsidRPr="00097451">
              <w:t xml:space="preserve"> responsible innovation, strong governance, and coordinated regulation across NICE.</w:t>
            </w:r>
          </w:p>
        </w:tc>
        <w:tc>
          <w:tcPr>
            <w:tcW w:w="9781" w:type="dxa"/>
          </w:tcPr>
          <w:p w14:paraId="71ACC466" w14:textId="5EFE9601" w:rsidR="00895BB7" w:rsidRPr="00895BB7" w:rsidRDefault="00611AC9" w:rsidP="00895BB7">
            <w:pPr>
              <w:spacing w:before="120" w:after="120"/>
            </w:pPr>
            <w:r>
              <w:t>In 2026/27, th</w:t>
            </w:r>
            <w:r w:rsidR="007D1F55">
              <w:t>is</w:t>
            </w:r>
            <w:r>
              <w:t xml:space="preserve"> </w:t>
            </w:r>
            <w:r w:rsidR="00895BB7" w:rsidRPr="00895BB7">
              <w:t xml:space="preserve">project </w:t>
            </w:r>
            <w:r>
              <w:t xml:space="preserve">will </w:t>
            </w:r>
            <w:r w:rsidR="00D57ABC">
              <w:t xml:space="preserve">continue to </w:t>
            </w:r>
            <w:r w:rsidR="007D1F55">
              <w:t xml:space="preserve">develop and </w:t>
            </w:r>
            <w:r w:rsidR="00D57ABC">
              <w:t xml:space="preserve">deliver </w:t>
            </w:r>
            <w:r w:rsidR="001462A7">
              <w:t xml:space="preserve">on </w:t>
            </w:r>
            <w:r w:rsidR="007D1F55">
              <w:t>its</w:t>
            </w:r>
            <w:r w:rsidR="00895BB7" w:rsidRPr="00895BB7">
              <w:t xml:space="preserve"> three core elements:</w:t>
            </w:r>
          </w:p>
          <w:p w14:paraId="1D2F3CF7" w14:textId="6A16C9CC" w:rsidR="005114AC" w:rsidRPr="00895BB7" w:rsidRDefault="005114AC" w:rsidP="005114AC">
            <w:pPr>
              <w:numPr>
                <w:ilvl w:val="0"/>
                <w:numId w:val="29"/>
              </w:numPr>
              <w:spacing w:before="120" w:after="120"/>
            </w:pPr>
            <w:r w:rsidRPr="00895BB7">
              <w:rPr>
                <w:b/>
                <w:bCs/>
              </w:rPr>
              <w:t xml:space="preserve">Building the technology and </w:t>
            </w:r>
            <w:r>
              <w:rPr>
                <w:b/>
                <w:bCs/>
              </w:rPr>
              <w:t>data</w:t>
            </w:r>
            <w:r w:rsidRPr="00895BB7">
              <w:rPr>
                <w:b/>
                <w:bCs/>
              </w:rPr>
              <w:t xml:space="preserve"> foundations</w:t>
            </w:r>
            <w:r w:rsidRPr="00895BB7">
              <w:t xml:space="preserve"> needed to operationalise NICE’s data strateg</w:t>
            </w:r>
            <w:r>
              <w:t>ic roadmap</w:t>
            </w:r>
            <w:r w:rsidRPr="00895BB7">
              <w:t xml:space="preserve">, including secure environments, governance frameworks, and platforms that enable safe </w:t>
            </w:r>
            <w:r>
              <w:t>and successful</w:t>
            </w:r>
            <w:r w:rsidRPr="00895BB7">
              <w:t xml:space="preserve"> adoption of AI at </w:t>
            </w:r>
            <w:r>
              <w:t xml:space="preserve">pace and </w:t>
            </w:r>
            <w:r w:rsidRPr="00895BB7">
              <w:t>scale</w:t>
            </w:r>
            <w:r w:rsidR="00037DFA">
              <w:t>.</w:t>
            </w:r>
          </w:p>
          <w:p w14:paraId="22BC4AC4" w14:textId="77777777" w:rsidR="00EA5C2D" w:rsidRDefault="00895BB7" w:rsidP="00895BB7">
            <w:pPr>
              <w:numPr>
                <w:ilvl w:val="0"/>
                <w:numId w:val="29"/>
              </w:numPr>
              <w:spacing w:before="120" w:after="120"/>
            </w:pPr>
            <w:r w:rsidRPr="00895BB7">
              <w:rPr>
                <w:b/>
                <w:bCs/>
              </w:rPr>
              <w:t>Ensuring robust, future</w:t>
            </w:r>
            <w:r w:rsidRPr="00895BB7">
              <w:rPr>
                <w:b/>
                <w:bCs/>
              </w:rPr>
              <w:noBreakHyphen/>
              <w:t>relevant guidance on AI technologies for the NHS</w:t>
            </w:r>
            <w:r w:rsidRPr="00895BB7">
              <w:t xml:space="preserve"> by coordinating with MHRA on regulation and evidence needs, shaping approaches for evaluating dynamic AI products, and defining the scope of AI technologies NICE will assess.</w:t>
            </w:r>
          </w:p>
          <w:p w14:paraId="79D430A1" w14:textId="4829D076" w:rsidR="005114AC" w:rsidRDefault="005114AC" w:rsidP="005114AC">
            <w:pPr>
              <w:numPr>
                <w:ilvl w:val="0"/>
                <w:numId w:val="29"/>
              </w:numPr>
              <w:spacing w:before="120" w:after="120"/>
            </w:pPr>
            <w:r w:rsidRPr="00895BB7">
              <w:rPr>
                <w:b/>
                <w:bCs/>
              </w:rPr>
              <w:t>Advancing AI methods in HTA and guidelines</w:t>
            </w:r>
            <w:r w:rsidRPr="00895BB7">
              <w:t xml:space="preserve"> by updating best practice on evidence generation, clarifying IP and copyright considerations, and expanding the use of regulatory and technical sandboxes to test AI approaches</w:t>
            </w:r>
            <w:r w:rsidR="00037DFA">
              <w:t>.</w:t>
            </w:r>
          </w:p>
        </w:tc>
      </w:tr>
    </w:tbl>
    <w:p w14:paraId="3F13C128" w14:textId="77777777" w:rsidR="00611AC9" w:rsidRDefault="00611AC9" w:rsidP="004F53E3">
      <w:pPr>
        <w:pStyle w:val="Heading2"/>
      </w:pPr>
    </w:p>
    <w:p w14:paraId="2CB580EB" w14:textId="77777777" w:rsidR="00095D77" w:rsidRDefault="00095D77" w:rsidP="00095D77"/>
    <w:p w14:paraId="32C6B283" w14:textId="77777777" w:rsidR="00095D77" w:rsidRDefault="00095D77" w:rsidP="00095D77"/>
    <w:p w14:paraId="5DE78FBA" w14:textId="77777777" w:rsidR="00095D77" w:rsidRPr="00095D77" w:rsidRDefault="00095D77" w:rsidP="007B351C"/>
    <w:p w14:paraId="1D61E1D5" w14:textId="61FE1691" w:rsidR="00A44C2C" w:rsidRPr="00A44C2C" w:rsidRDefault="00A44C2C" w:rsidP="004F53E3">
      <w:pPr>
        <w:pStyle w:val="Heading2"/>
      </w:pPr>
      <w:r w:rsidRPr="00A44C2C">
        <w:lastRenderedPageBreak/>
        <w:t>National Health</w:t>
      </w:r>
      <w:r w:rsidR="00A13389">
        <w:t>T</w:t>
      </w:r>
      <w:r w:rsidRPr="00A44C2C">
        <w:t>ech Access Programme</w:t>
      </w:r>
    </w:p>
    <w:tbl>
      <w:tblPr>
        <w:tblStyle w:val="TableGrid"/>
        <w:tblW w:w="14454" w:type="dxa"/>
        <w:tblLook w:val="04A0" w:firstRow="1" w:lastRow="0" w:firstColumn="1" w:lastColumn="0" w:noHBand="0" w:noVBand="1"/>
      </w:tblPr>
      <w:tblGrid>
        <w:gridCol w:w="4673"/>
        <w:gridCol w:w="9781"/>
      </w:tblGrid>
      <w:tr w:rsidR="001E0670" w:rsidRPr="00CD5E11" w14:paraId="56A2D627" w14:textId="77777777" w:rsidTr="00B74740">
        <w:tc>
          <w:tcPr>
            <w:tcW w:w="4673" w:type="dxa"/>
            <w:shd w:val="clear" w:color="auto" w:fill="00436C" w:themeFill="accent2"/>
          </w:tcPr>
          <w:p w14:paraId="185FF964" w14:textId="5784C686" w:rsidR="001E0670" w:rsidRPr="00CD5E11" w:rsidRDefault="001E0670" w:rsidP="001E0670">
            <w:pPr>
              <w:spacing w:before="120" w:after="120"/>
              <w:rPr>
                <w:b/>
                <w:bCs/>
              </w:rPr>
            </w:pPr>
            <w:r>
              <w:rPr>
                <w:b/>
                <w:bCs/>
              </w:rPr>
              <w:t>Overview</w:t>
            </w:r>
          </w:p>
        </w:tc>
        <w:tc>
          <w:tcPr>
            <w:tcW w:w="9781" w:type="dxa"/>
            <w:shd w:val="clear" w:color="auto" w:fill="00436C" w:themeFill="accent2"/>
          </w:tcPr>
          <w:p w14:paraId="34EF2D1F" w14:textId="50E42B78" w:rsidR="001E0670" w:rsidRPr="00CD5E11" w:rsidRDefault="001E0670" w:rsidP="001E0670">
            <w:pPr>
              <w:spacing w:before="120" w:after="120"/>
              <w:rPr>
                <w:b/>
                <w:bCs/>
              </w:rPr>
            </w:pPr>
            <w:r w:rsidRPr="00CD5E11">
              <w:rPr>
                <w:b/>
                <w:bCs/>
              </w:rPr>
              <w:t>Objectives</w:t>
            </w:r>
          </w:p>
        </w:tc>
      </w:tr>
      <w:tr w:rsidR="00EA5C2D" w14:paraId="3FDD9ED6" w14:textId="77777777" w:rsidTr="00B74740">
        <w:tc>
          <w:tcPr>
            <w:tcW w:w="4673" w:type="dxa"/>
          </w:tcPr>
          <w:p w14:paraId="3FFE727B" w14:textId="17C056C2" w:rsidR="00EA5C2D" w:rsidRPr="003238AD" w:rsidRDefault="00BD33FD" w:rsidP="006D4C09">
            <w:pPr>
              <w:spacing w:before="60" w:after="60"/>
              <w:rPr>
                <w:rFonts w:ascii="Inter" w:hAnsi="Inter"/>
              </w:rPr>
            </w:pPr>
            <w:r w:rsidRPr="003238AD">
              <w:rPr>
                <w:rFonts w:ascii="Inter" w:hAnsi="Inter"/>
              </w:rPr>
              <w:t>A collaborative programme to maximise the impact of the National HealthTech Access Programme by aligning partners on evidence generation, commercial and implementation support, and resolving ecosystem challenges</w:t>
            </w:r>
            <w:r w:rsidR="00665D1F" w:rsidRPr="003238AD">
              <w:rPr>
                <w:rFonts w:ascii="Inter" w:hAnsi="Inter"/>
              </w:rPr>
              <w:t xml:space="preserve">. This will </w:t>
            </w:r>
            <w:r w:rsidRPr="003238AD">
              <w:rPr>
                <w:rFonts w:ascii="Inter" w:hAnsi="Inter"/>
              </w:rPr>
              <w:t>strengthen NICE’s role and how it works within the wider healthtech landscape.</w:t>
            </w:r>
          </w:p>
        </w:tc>
        <w:tc>
          <w:tcPr>
            <w:tcW w:w="9781" w:type="dxa"/>
          </w:tcPr>
          <w:p w14:paraId="35053EAD" w14:textId="5F6BB3BE" w:rsidR="00AC59AE" w:rsidRPr="003238AD" w:rsidRDefault="00AC59AE" w:rsidP="006D4C09">
            <w:pPr>
              <w:pStyle w:val="Paragraph"/>
              <w:spacing w:before="60" w:after="60" w:line="240" w:lineRule="auto"/>
              <w:rPr>
                <w:rFonts w:ascii="Inter" w:hAnsi="Inter"/>
                <w:lang w:eastAsia="en-GB"/>
              </w:rPr>
            </w:pPr>
            <w:r w:rsidRPr="003238AD">
              <w:rPr>
                <w:rFonts w:ascii="Inter" w:hAnsi="Inter"/>
                <w:lang w:eastAsia="en-GB"/>
              </w:rPr>
              <w:t>In 2026/27, the project will aim to:</w:t>
            </w:r>
          </w:p>
          <w:p w14:paraId="2C75F68D" w14:textId="729BD587" w:rsidR="00AC59AE" w:rsidRPr="003238AD" w:rsidRDefault="00AC59AE" w:rsidP="006D4C09">
            <w:pPr>
              <w:pStyle w:val="Paragraph"/>
              <w:numPr>
                <w:ilvl w:val="0"/>
                <w:numId w:val="27"/>
              </w:numPr>
              <w:spacing w:before="60" w:after="60" w:line="240" w:lineRule="auto"/>
              <w:ind w:left="293" w:hanging="284"/>
              <w:rPr>
                <w:rFonts w:ascii="Inter" w:hAnsi="Inter"/>
                <w:lang w:eastAsia="en-GB"/>
              </w:rPr>
            </w:pPr>
            <w:r w:rsidRPr="003238AD">
              <w:rPr>
                <w:rFonts w:ascii="Inter" w:hAnsi="Inter"/>
                <w:lang w:eastAsia="en-GB"/>
              </w:rPr>
              <w:t>Embed a ‘business as usual’ approach to topic selection including NHS partner input, including pipeline from partners</w:t>
            </w:r>
          </w:p>
          <w:p w14:paraId="44803AA4" w14:textId="351A7164" w:rsidR="00AC59AE" w:rsidRPr="003238AD" w:rsidRDefault="00180929" w:rsidP="006D4C09">
            <w:pPr>
              <w:pStyle w:val="Paragraph"/>
              <w:numPr>
                <w:ilvl w:val="0"/>
                <w:numId w:val="27"/>
              </w:numPr>
              <w:spacing w:before="60" w:after="60" w:line="240" w:lineRule="auto"/>
              <w:ind w:left="293" w:hanging="284"/>
              <w:rPr>
                <w:rFonts w:ascii="Inter" w:hAnsi="Inter"/>
                <w:lang w:eastAsia="en-GB"/>
              </w:rPr>
            </w:pPr>
            <w:r w:rsidRPr="003238AD">
              <w:rPr>
                <w:rFonts w:ascii="Inter" w:hAnsi="Inter"/>
                <w:lang w:eastAsia="en-GB"/>
              </w:rPr>
              <w:t>Develop an a</w:t>
            </w:r>
            <w:r w:rsidR="00AC59AE" w:rsidRPr="003238AD">
              <w:rPr>
                <w:rFonts w:ascii="Inter" w:hAnsi="Inter"/>
                <w:lang w:eastAsia="en-GB"/>
              </w:rPr>
              <w:t>pproach to commercial activities including pricing</w:t>
            </w:r>
          </w:p>
          <w:p w14:paraId="065680FF" w14:textId="5781107C" w:rsidR="00AC59AE" w:rsidRPr="003238AD" w:rsidRDefault="00180929" w:rsidP="006D4C09">
            <w:pPr>
              <w:pStyle w:val="Paragraph"/>
              <w:numPr>
                <w:ilvl w:val="0"/>
                <w:numId w:val="27"/>
              </w:numPr>
              <w:spacing w:before="60" w:after="60" w:line="240" w:lineRule="auto"/>
              <w:ind w:left="293" w:hanging="284"/>
              <w:rPr>
                <w:rFonts w:ascii="Inter" w:hAnsi="Inter"/>
                <w:lang w:eastAsia="en-GB"/>
              </w:rPr>
            </w:pPr>
            <w:r w:rsidRPr="003238AD">
              <w:rPr>
                <w:rFonts w:ascii="Inter" w:hAnsi="Inter"/>
                <w:lang w:eastAsia="en-GB"/>
              </w:rPr>
              <w:t>Establish a d</w:t>
            </w:r>
            <w:r w:rsidR="00AC59AE" w:rsidRPr="003238AD">
              <w:rPr>
                <w:rFonts w:ascii="Inter" w:hAnsi="Inter"/>
                <w:lang w:eastAsia="en-GB"/>
              </w:rPr>
              <w:t>elivery model for NHSE direct implementation of topics</w:t>
            </w:r>
          </w:p>
          <w:p w14:paraId="3F9F5AD4" w14:textId="7E02927D" w:rsidR="00AC59AE" w:rsidRPr="003238AD" w:rsidRDefault="00AC59AE" w:rsidP="006D4C09">
            <w:pPr>
              <w:pStyle w:val="Paragraph"/>
              <w:numPr>
                <w:ilvl w:val="0"/>
                <w:numId w:val="27"/>
              </w:numPr>
              <w:spacing w:before="60" w:after="60" w:line="240" w:lineRule="auto"/>
              <w:ind w:left="293" w:hanging="284"/>
              <w:rPr>
                <w:rFonts w:ascii="Inter" w:hAnsi="Inter"/>
                <w:lang w:eastAsia="en-GB"/>
              </w:rPr>
            </w:pPr>
            <w:r w:rsidRPr="003238AD">
              <w:rPr>
                <w:rFonts w:ascii="Inter" w:hAnsi="Inter"/>
                <w:lang w:eastAsia="en-GB"/>
              </w:rPr>
              <w:t>Embed</w:t>
            </w:r>
            <w:r w:rsidR="0088652B" w:rsidRPr="003238AD">
              <w:rPr>
                <w:rFonts w:ascii="Inter" w:hAnsi="Inter"/>
                <w:lang w:eastAsia="en-GB"/>
              </w:rPr>
              <w:t xml:space="preserve"> new</w:t>
            </w:r>
            <w:r w:rsidRPr="003238AD">
              <w:rPr>
                <w:rFonts w:ascii="Inter" w:hAnsi="Inter"/>
                <w:lang w:eastAsia="en-GB"/>
              </w:rPr>
              <w:t xml:space="preserve"> working practices and principles</w:t>
            </w:r>
          </w:p>
          <w:p w14:paraId="5BAAF0FA" w14:textId="77777777" w:rsidR="00EA5C2D" w:rsidRPr="003238AD" w:rsidRDefault="00AC59AE" w:rsidP="006D4C09">
            <w:pPr>
              <w:pStyle w:val="ListParagraph"/>
              <w:numPr>
                <w:ilvl w:val="0"/>
                <w:numId w:val="27"/>
              </w:numPr>
              <w:spacing w:before="60" w:after="60"/>
              <w:ind w:left="293" w:hanging="284"/>
              <w:contextualSpacing w:val="0"/>
              <w:rPr>
                <w:rFonts w:ascii="Inter" w:hAnsi="Inter"/>
              </w:rPr>
            </w:pPr>
            <w:r w:rsidRPr="003238AD">
              <w:rPr>
                <w:rFonts w:ascii="Inter" w:hAnsi="Inter"/>
              </w:rPr>
              <w:t>Streamline</w:t>
            </w:r>
            <w:r w:rsidR="0088652B" w:rsidRPr="003238AD">
              <w:rPr>
                <w:rFonts w:ascii="Inter" w:hAnsi="Inter"/>
              </w:rPr>
              <w:t xml:space="preserve"> our</w:t>
            </w:r>
            <w:r w:rsidRPr="003238AD">
              <w:rPr>
                <w:rFonts w:ascii="Inter" w:hAnsi="Inter"/>
              </w:rPr>
              <w:t xml:space="preserve"> approach to evidence generation</w:t>
            </w:r>
          </w:p>
          <w:p w14:paraId="1F7AAA22" w14:textId="3BBA99D7" w:rsidR="00EA5C2D" w:rsidRPr="003238AD" w:rsidRDefault="00D80BDD" w:rsidP="006D4C09">
            <w:pPr>
              <w:pStyle w:val="ListParagraph"/>
              <w:numPr>
                <w:ilvl w:val="0"/>
                <w:numId w:val="27"/>
              </w:numPr>
              <w:spacing w:before="60" w:after="60"/>
              <w:ind w:left="293" w:hanging="284"/>
              <w:contextualSpacing w:val="0"/>
              <w:rPr>
                <w:rFonts w:ascii="Inter" w:hAnsi="Inter"/>
              </w:rPr>
            </w:pPr>
            <w:r w:rsidRPr="003238AD">
              <w:rPr>
                <w:rFonts w:ascii="Inter" w:hAnsi="Inter"/>
              </w:rPr>
              <w:t xml:space="preserve">Launch </w:t>
            </w:r>
            <w:r w:rsidR="00E155EA" w:rsidRPr="003238AD">
              <w:rPr>
                <w:rFonts w:ascii="Inter" w:hAnsi="Inter"/>
              </w:rPr>
              <w:t>additional</w:t>
            </w:r>
            <w:r w:rsidRPr="003238AD">
              <w:rPr>
                <w:rFonts w:ascii="Inter" w:hAnsi="Inter"/>
              </w:rPr>
              <w:t xml:space="preserve"> Technology Appraisal topics</w:t>
            </w:r>
          </w:p>
        </w:tc>
      </w:tr>
    </w:tbl>
    <w:p w14:paraId="2B3E183B" w14:textId="46AB7E53" w:rsidR="00A44C2C" w:rsidRPr="00A44C2C" w:rsidRDefault="00A44C2C" w:rsidP="004F53E3">
      <w:pPr>
        <w:pStyle w:val="Heading2"/>
      </w:pPr>
      <w:r w:rsidRPr="00A44C2C">
        <w:t>MHRA Aligned Pathway</w:t>
      </w:r>
    </w:p>
    <w:tbl>
      <w:tblPr>
        <w:tblStyle w:val="TableGrid"/>
        <w:tblW w:w="14454" w:type="dxa"/>
        <w:tblLook w:val="04A0" w:firstRow="1" w:lastRow="0" w:firstColumn="1" w:lastColumn="0" w:noHBand="0" w:noVBand="1"/>
      </w:tblPr>
      <w:tblGrid>
        <w:gridCol w:w="4673"/>
        <w:gridCol w:w="9781"/>
      </w:tblGrid>
      <w:tr w:rsidR="001E0670" w:rsidRPr="00CD5E11" w14:paraId="70C9D241" w14:textId="77777777" w:rsidTr="00B74740">
        <w:tc>
          <w:tcPr>
            <w:tcW w:w="4673" w:type="dxa"/>
            <w:shd w:val="clear" w:color="auto" w:fill="00436C" w:themeFill="accent2"/>
          </w:tcPr>
          <w:p w14:paraId="49ADDABD" w14:textId="42A43669" w:rsidR="001E0670" w:rsidRPr="00CD5E11" w:rsidRDefault="001E0670" w:rsidP="001E0670">
            <w:pPr>
              <w:spacing w:before="120" w:after="120"/>
              <w:rPr>
                <w:b/>
                <w:bCs/>
              </w:rPr>
            </w:pPr>
            <w:r>
              <w:rPr>
                <w:b/>
                <w:bCs/>
              </w:rPr>
              <w:t>Overview</w:t>
            </w:r>
          </w:p>
        </w:tc>
        <w:tc>
          <w:tcPr>
            <w:tcW w:w="9781" w:type="dxa"/>
            <w:shd w:val="clear" w:color="auto" w:fill="00436C" w:themeFill="accent2"/>
          </w:tcPr>
          <w:p w14:paraId="2DAD6A0A" w14:textId="0CC3ED9C" w:rsidR="001E0670" w:rsidRPr="00CD5E11" w:rsidRDefault="001E0670" w:rsidP="001E0670">
            <w:pPr>
              <w:spacing w:before="120" w:after="120"/>
              <w:rPr>
                <w:b/>
                <w:bCs/>
              </w:rPr>
            </w:pPr>
            <w:r w:rsidRPr="00CD5E11">
              <w:rPr>
                <w:b/>
                <w:bCs/>
              </w:rPr>
              <w:t>Objectives</w:t>
            </w:r>
          </w:p>
        </w:tc>
      </w:tr>
      <w:tr w:rsidR="00EA5C2D" w14:paraId="38A863E5" w14:textId="77777777" w:rsidTr="00B74740">
        <w:tc>
          <w:tcPr>
            <w:tcW w:w="4673" w:type="dxa"/>
          </w:tcPr>
          <w:p w14:paraId="0993F28A" w14:textId="63551816" w:rsidR="00EA5C2D" w:rsidRDefault="0094510A" w:rsidP="006D4C09">
            <w:pPr>
              <w:spacing w:before="60" w:after="60"/>
            </w:pPr>
            <w:r>
              <w:t xml:space="preserve">The project aims to </w:t>
            </w:r>
            <w:r w:rsidRPr="00572C44">
              <w:t>minimise delays in patient access to medicines through optional integrated scientific advice and improving alignment between MHRA regulatory decisions and NICE guidance publication</w:t>
            </w:r>
          </w:p>
        </w:tc>
        <w:tc>
          <w:tcPr>
            <w:tcW w:w="9781" w:type="dxa"/>
          </w:tcPr>
          <w:p w14:paraId="511DF2BA" w14:textId="16887293" w:rsidR="006E099E" w:rsidRPr="00AD6AB0" w:rsidRDefault="006E099E" w:rsidP="006D4C09">
            <w:pPr>
              <w:pStyle w:val="Paragraph"/>
              <w:spacing w:before="60" w:after="60" w:line="240" w:lineRule="auto"/>
              <w:rPr>
                <w:rFonts w:asciiTheme="minorHAnsi" w:hAnsiTheme="minorHAnsi"/>
              </w:rPr>
            </w:pPr>
            <w:r w:rsidRPr="00AD6AB0">
              <w:rPr>
                <w:rFonts w:asciiTheme="minorHAnsi" w:hAnsiTheme="minorHAnsi"/>
              </w:rPr>
              <w:t xml:space="preserve">Following on from work in 2025/26 to develop the aligned pathway, </w:t>
            </w:r>
            <w:r w:rsidR="00F83D42" w:rsidRPr="00AD6AB0">
              <w:rPr>
                <w:rFonts w:asciiTheme="minorHAnsi" w:hAnsiTheme="minorHAnsi"/>
              </w:rPr>
              <w:t xml:space="preserve">the project will </w:t>
            </w:r>
            <w:r w:rsidRPr="00AD6AB0">
              <w:rPr>
                <w:rFonts w:asciiTheme="minorHAnsi" w:hAnsiTheme="minorHAnsi"/>
                <w:lang w:val="en-US"/>
              </w:rPr>
              <w:t>provid</w:t>
            </w:r>
            <w:r w:rsidR="00F83D42" w:rsidRPr="00AD6AB0">
              <w:rPr>
                <w:rFonts w:asciiTheme="minorHAnsi" w:hAnsiTheme="minorHAnsi"/>
                <w:lang w:val="en-US"/>
              </w:rPr>
              <w:t>e</w:t>
            </w:r>
            <w:r w:rsidRPr="00AD6AB0">
              <w:rPr>
                <w:rFonts w:asciiTheme="minorHAnsi" w:hAnsiTheme="minorHAnsi"/>
                <w:lang w:val="en-US"/>
              </w:rPr>
              <w:t xml:space="preserve"> insights into the impact of the new pathway on our timeliness</w:t>
            </w:r>
            <w:r w:rsidR="00A149F6" w:rsidRPr="00AD6AB0">
              <w:rPr>
                <w:rFonts w:asciiTheme="minorHAnsi" w:hAnsiTheme="minorHAnsi"/>
                <w:lang w:val="en-US"/>
              </w:rPr>
              <w:t xml:space="preserve">. </w:t>
            </w:r>
            <w:r w:rsidR="00953BEB" w:rsidRPr="00AD6AB0">
              <w:rPr>
                <w:rFonts w:asciiTheme="minorHAnsi" w:hAnsiTheme="minorHAnsi"/>
              </w:rPr>
              <w:t>Further work on alignment with the MHRA will look beyond the pathway and consider other operational and strategic alignment goals. </w:t>
            </w:r>
          </w:p>
          <w:p w14:paraId="47429227" w14:textId="49647098" w:rsidR="00F83D42" w:rsidRPr="00AD6AB0" w:rsidRDefault="00776B1A" w:rsidP="006D4C09">
            <w:pPr>
              <w:pStyle w:val="Paragraph"/>
              <w:spacing w:before="60" w:after="60" w:line="240" w:lineRule="auto"/>
              <w:rPr>
                <w:rFonts w:asciiTheme="minorHAnsi" w:hAnsiTheme="minorHAnsi"/>
              </w:rPr>
            </w:pPr>
            <w:r w:rsidRPr="00AD6AB0">
              <w:rPr>
                <w:rFonts w:asciiTheme="minorHAnsi" w:hAnsiTheme="minorHAnsi"/>
              </w:rPr>
              <w:t>The project w</w:t>
            </w:r>
            <w:r w:rsidR="00F83D42" w:rsidRPr="00AD6AB0">
              <w:rPr>
                <w:rFonts w:asciiTheme="minorHAnsi" w:hAnsiTheme="minorHAnsi"/>
              </w:rPr>
              <w:t>ill track and report on:</w:t>
            </w:r>
          </w:p>
          <w:p w14:paraId="5FEDC778" w14:textId="77777777" w:rsidR="006E099E" w:rsidRPr="006E099E" w:rsidRDefault="006E099E" w:rsidP="006D4C09">
            <w:pPr>
              <w:pStyle w:val="ListParagraph"/>
              <w:numPr>
                <w:ilvl w:val="0"/>
                <w:numId w:val="27"/>
              </w:numPr>
              <w:tabs>
                <w:tab w:val="num" w:pos="288"/>
              </w:tabs>
              <w:spacing w:before="60" w:after="60"/>
              <w:ind w:left="290" w:hanging="284"/>
              <w:contextualSpacing w:val="0"/>
            </w:pPr>
            <w:r w:rsidRPr="006E099E">
              <w:t>Time to availability (MA to NICE publication)</w:t>
            </w:r>
          </w:p>
          <w:p w14:paraId="1935231A" w14:textId="77777777" w:rsidR="00F83D42" w:rsidRDefault="006E099E" w:rsidP="006D4C09">
            <w:pPr>
              <w:pStyle w:val="ListParagraph"/>
              <w:numPr>
                <w:ilvl w:val="0"/>
                <w:numId w:val="27"/>
              </w:numPr>
              <w:tabs>
                <w:tab w:val="num" w:pos="288"/>
              </w:tabs>
              <w:spacing w:before="60" w:after="60"/>
              <w:ind w:left="290" w:hanging="284"/>
              <w:contextualSpacing w:val="0"/>
            </w:pPr>
            <w:r w:rsidRPr="006E099E">
              <w:t>Optimal scheduling (including dropouts and alternate scheduling)</w:t>
            </w:r>
          </w:p>
          <w:p w14:paraId="0BCC5368" w14:textId="7F387623" w:rsidR="00953BEB" w:rsidRDefault="00953BEB" w:rsidP="006D4C09">
            <w:pPr>
              <w:spacing w:before="60" w:after="60"/>
              <w:ind w:left="6"/>
            </w:pPr>
            <w:r>
              <w:t>These insights will help NICE and MHRA to continue to improve the pathway and promote industry adherence and use of the pathway.</w:t>
            </w:r>
          </w:p>
        </w:tc>
      </w:tr>
    </w:tbl>
    <w:p w14:paraId="0CA37193" w14:textId="77777777" w:rsidR="00037395" w:rsidRPr="00037395" w:rsidRDefault="00037395" w:rsidP="004F53E3">
      <w:pPr>
        <w:pStyle w:val="Heading2"/>
      </w:pPr>
      <w:r w:rsidRPr="00037395">
        <w:lastRenderedPageBreak/>
        <w:t>Common Commercial Approach</w:t>
      </w:r>
    </w:p>
    <w:tbl>
      <w:tblPr>
        <w:tblStyle w:val="TableGrid"/>
        <w:tblW w:w="14454" w:type="dxa"/>
        <w:tblLook w:val="04A0" w:firstRow="1" w:lastRow="0" w:firstColumn="1" w:lastColumn="0" w:noHBand="0" w:noVBand="1"/>
      </w:tblPr>
      <w:tblGrid>
        <w:gridCol w:w="4673"/>
        <w:gridCol w:w="9781"/>
      </w:tblGrid>
      <w:tr w:rsidR="001E0670" w:rsidRPr="00CD5E11" w14:paraId="6F0853D8" w14:textId="77777777" w:rsidTr="00B74740">
        <w:tc>
          <w:tcPr>
            <w:tcW w:w="4673" w:type="dxa"/>
            <w:shd w:val="clear" w:color="auto" w:fill="00436C" w:themeFill="accent2"/>
          </w:tcPr>
          <w:p w14:paraId="4331208E" w14:textId="6505FCEF" w:rsidR="001E0670" w:rsidRPr="00CD5E11" w:rsidRDefault="001E0670" w:rsidP="006D4C09">
            <w:pPr>
              <w:spacing w:before="120" w:after="120"/>
              <w:rPr>
                <w:b/>
                <w:bCs/>
              </w:rPr>
            </w:pPr>
            <w:r>
              <w:rPr>
                <w:b/>
                <w:bCs/>
              </w:rPr>
              <w:t>Overview</w:t>
            </w:r>
          </w:p>
        </w:tc>
        <w:tc>
          <w:tcPr>
            <w:tcW w:w="9781" w:type="dxa"/>
            <w:shd w:val="clear" w:color="auto" w:fill="00436C" w:themeFill="accent2"/>
          </w:tcPr>
          <w:p w14:paraId="4EBACAF1" w14:textId="76DFFD24" w:rsidR="001E0670" w:rsidRPr="00CD5E11" w:rsidRDefault="001E0670" w:rsidP="006D4C09">
            <w:pPr>
              <w:spacing w:before="120" w:after="120"/>
              <w:rPr>
                <w:b/>
                <w:bCs/>
              </w:rPr>
            </w:pPr>
            <w:r w:rsidRPr="00CD5E11">
              <w:rPr>
                <w:b/>
                <w:bCs/>
              </w:rPr>
              <w:t>Objectives</w:t>
            </w:r>
          </w:p>
        </w:tc>
      </w:tr>
      <w:tr w:rsidR="00EA5C2D" w14:paraId="7089EB8C" w14:textId="77777777" w:rsidTr="006D4C09">
        <w:trPr>
          <w:trHeight w:val="3737"/>
        </w:trPr>
        <w:tc>
          <w:tcPr>
            <w:tcW w:w="4673" w:type="dxa"/>
          </w:tcPr>
          <w:p w14:paraId="2D856C92" w14:textId="1C33D214" w:rsidR="00EA5C2D" w:rsidRDefault="00311E4D" w:rsidP="006D4C09">
            <w:pPr>
              <w:spacing w:before="120" w:after="120"/>
            </w:pPr>
            <w:r w:rsidRPr="00037395">
              <w:t xml:space="preserve">NICE </w:t>
            </w:r>
            <w:r w:rsidRPr="00311E4D">
              <w:t>undertakes</w:t>
            </w:r>
            <w:r w:rsidRPr="00037395">
              <w:t xml:space="preserve"> commercial activity and liaison to support its technology appraisal (TA) and Highly Specialised Technologies (HST) programmes. Following developments in the 10-year plan, there is an increasing need for this expertise to be applied to other guidance producing areas, including healthtech via the National HealthTech Access Programme, and guidelines via the Whole Lifecycle Approach (WLA)/Biosimilar Taskforce. </w:t>
            </w:r>
          </w:p>
        </w:tc>
        <w:tc>
          <w:tcPr>
            <w:tcW w:w="9781" w:type="dxa"/>
          </w:tcPr>
          <w:p w14:paraId="0A2B10E9" w14:textId="63C5F3F2" w:rsidR="00FA0EF1" w:rsidRPr="00AD6AB0" w:rsidRDefault="00FA0EF1" w:rsidP="006D4C09">
            <w:pPr>
              <w:pStyle w:val="Paragraph"/>
              <w:spacing w:before="120" w:after="120" w:line="240" w:lineRule="auto"/>
              <w:rPr>
                <w:rFonts w:asciiTheme="minorHAnsi" w:hAnsiTheme="minorHAnsi"/>
              </w:rPr>
            </w:pPr>
            <w:r w:rsidRPr="00AD6AB0">
              <w:rPr>
                <w:rFonts w:asciiTheme="minorHAnsi" w:hAnsiTheme="minorHAnsi"/>
              </w:rPr>
              <w:t xml:space="preserve">In 2026/27, NICE will support the evolution of </w:t>
            </w:r>
            <w:r w:rsidR="00994FAA" w:rsidRPr="00AD6AB0">
              <w:rPr>
                <w:rFonts w:asciiTheme="minorHAnsi" w:hAnsiTheme="minorHAnsi"/>
              </w:rPr>
              <w:t xml:space="preserve">an </w:t>
            </w:r>
            <w:r w:rsidRPr="00AD6AB0">
              <w:rPr>
                <w:rFonts w:asciiTheme="minorHAnsi" w:hAnsiTheme="minorHAnsi"/>
              </w:rPr>
              <w:t>integrated commercial function based on the current 10-year plan and Life Science Sector Plan commitments</w:t>
            </w:r>
            <w:r w:rsidR="00994FAA" w:rsidRPr="00AD6AB0">
              <w:rPr>
                <w:rFonts w:asciiTheme="minorHAnsi" w:hAnsiTheme="minorHAnsi"/>
              </w:rPr>
              <w:t xml:space="preserve">, </w:t>
            </w:r>
            <w:r w:rsidRPr="00AD6AB0">
              <w:rPr>
                <w:rFonts w:asciiTheme="minorHAnsi" w:hAnsiTheme="minorHAnsi"/>
              </w:rPr>
              <w:t>notably:</w:t>
            </w:r>
          </w:p>
          <w:p w14:paraId="31348054" w14:textId="5E285607" w:rsidR="00FA0EF1" w:rsidRPr="00994FAA" w:rsidRDefault="00C37DF3" w:rsidP="006D4C09">
            <w:pPr>
              <w:pStyle w:val="ListParagraph"/>
              <w:numPr>
                <w:ilvl w:val="0"/>
                <w:numId w:val="27"/>
              </w:numPr>
              <w:tabs>
                <w:tab w:val="num" w:pos="288"/>
              </w:tabs>
              <w:spacing w:before="120" w:after="120"/>
              <w:ind w:left="290" w:hanging="284"/>
              <w:contextualSpacing w:val="0"/>
            </w:pPr>
            <w:r>
              <w:t>A continuing pipeline of t</w:t>
            </w:r>
            <w:r w:rsidR="00FA0EF1" w:rsidRPr="00994FAA">
              <w:t xml:space="preserve">echnology </w:t>
            </w:r>
            <w:r>
              <w:t>a</w:t>
            </w:r>
            <w:r w:rsidR="00FA0EF1" w:rsidRPr="00994FAA">
              <w:t xml:space="preserve">ppraisals in Health-Tech via the RBP </w:t>
            </w:r>
          </w:p>
          <w:p w14:paraId="462BED82" w14:textId="77777777" w:rsidR="00FA0EF1" w:rsidRPr="00994FAA" w:rsidRDefault="00FA0EF1" w:rsidP="006D4C09">
            <w:pPr>
              <w:pStyle w:val="ListParagraph"/>
              <w:numPr>
                <w:ilvl w:val="0"/>
                <w:numId w:val="27"/>
              </w:numPr>
              <w:tabs>
                <w:tab w:val="num" w:pos="288"/>
              </w:tabs>
              <w:spacing w:before="120" w:after="120"/>
              <w:ind w:left="290" w:hanging="284"/>
              <w:contextualSpacing w:val="0"/>
            </w:pPr>
            <w:r w:rsidRPr="00994FAA">
              <w:t>Supporting commercial processes in the post-patent space via the biosimilar taskforce and WLA</w:t>
            </w:r>
          </w:p>
          <w:p w14:paraId="72A2F47A" w14:textId="7476ECEA" w:rsidR="00EA5C2D" w:rsidRDefault="00FA0EF1" w:rsidP="006D4C09">
            <w:pPr>
              <w:pStyle w:val="ListParagraph"/>
              <w:numPr>
                <w:ilvl w:val="0"/>
                <w:numId w:val="27"/>
              </w:numPr>
              <w:tabs>
                <w:tab w:val="num" w:pos="288"/>
              </w:tabs>
              <w:spacing w:before="120" w:after="120"/>
              <w:ind w:left="290" w:hanging="284"/>
              <w:contextualSpacing w:val="0"/>
            </w:pPr>
            <w:r w:rsidRPr="00994FAA">
              <w:t>Exploration of commercial processes as set out in Action 28 of the Life Science</w:t>
            </w:r>
            <w:r w:rsidR="00242CCD">
              <w:t>s</w:t>
            </w:r>
            <w:r w:rsidRPr="00994FAA">
              <w:t xml:space="preserve"> Sector Plan </w:t>
            </w:r>
          </w:p>
        </w:tc>
      </w:tr>
    </w:tbl>
    <w:p w14:paraId="2AB53A0C" w14:textId="77777777" w:rsidR="006D4C09" w:rsidRDefault="006D4C09" w:rsidP="004F53E3">
      <w:pPr>
        <w:pStyle w:val="Heading2"/>
        <w:rPr>
          <w:rFonts w:asciiTheme="minorHAnsi" w:eastAsiaTheme="minorEastAsia" w:hAnsiTheme="minorHAnsi" w:cstheme="minorBidi"/>
          <w:b w:val="0"/>
          <w:bCs w:val="0"/>
          <w:color w:val="auto"/>
          <w:sz w:val="22"/>
          <w:szCs w:val="22"/>
          <w:lang w:eastAsia="en-GB"/>
        </w:rPr>
      </w:pPr>
    </w:p>
    <w:p w14:paraId="605D06F4" w14:textId="77777777" w:rsidR="006D4C09" w:rsidRDefault="006D4C09" w:rsidP="006D4C09"/>
    <w:p w14:paraId="4A0486D4" w14:textId="77777777" w:rsidR="006D4C09" w:rsidRDefault="006D4C09" w:rsidP="006D4C09"/>
    <w:p w14:paraId="47C41A6E" w14:textId="77777777" w:rsidR="006D4C09" w:rsidRPr="006D4C09" w:rsidRDefault="006D4C09" w:rsidP="006D4C09"/>
    <w:p w14:paraId="6A3186BE" w14:textId="77777777" w:rsidR="006D4C09" w:rsidRPr="006D4C09" w:rsidRDefault="006D4C09" w:rsidP="006D4C09">
      <w:pPr>
        <w:rPr>
          <w:lang w:eastAsia="en-US"/>
        </w:rPr>
      </w:pPr>
    </w:p>
    <w:p w14:paraId="362C7C47" w14:textId="468B6944" w:rsidR="00037395" w:rsidRPr="00037395" w:rsidRDefault="0056771E" w:rsidP="006D4C09">
      <w:pPr>
        <w:pStyle w:val="Heading2"/>
        <w:spacing w:before="0" w:after="40"/>
      </w:pPr>
      <w:r>
        <w:lastRenderedPageBreak/>
        <w:t>NICE</w:t>
      </w:r>
      <w:r w:rsidRPr="00037395">
        <w:t xml:space="preserve"> </w:t>
      </w:r>
      <w:r w:rsidR="00037395" w:rsidRPr="00037395">
        <w:t>Methods Manual</w:t>
      </w:r>
    </w:p>
    <w:tbl>
      <w:tblPr>
        <w:tblStyle w:val="TableGrid"/>
        <w:tblW w:w="14454" w:type="dxa"/>
        <w:tblLook w:val="04A0" w:firstRow="1" w:lastRow="0" w:firstColumn="1" w:lastColumn="0" w:noHBand="0" w:noVBand="1"/>
      </w:tblPr>
      <w:tblGrid>
        <w:gridCol w:w="4673"/>
        <w:gridCol w:w="9781"/>
      </w:tblGrid>
      <w:tr w:rsidR="001E0670" w:rsidRPr="00CD5E11" w14:paraId="71756F1B" w14:textId="77777777" w:rsidTr="00B74740">
        <w:tc>
          <w:tcPr>
            <w:tcW w:w="4673" w:type="dxa"/>
            <w:shd w:val="clear" w:color="auto" w:fill="00436C" w:themeFill="accent2"/>
          </w:tcPr>
          <w:p w14:paraId="35C92B4F" w14:textId="508767E6" w:rsidR="001E0670" w:rsidRPr="00CD5E11" w:rsidRDefault="001E0670" w:rsidP="006D4C09">
            <w:pPr>
              <w:spacing w:before="60" w:after="60"/>
              <w:rPr>
                <w:b/>
                <w:bCs/>
              </w:rPr>
            </w:pPr>
            <w:r>
              <w:rPr>
                <w:b/>
                <w:bCs/>
              </w:rPr>
              <w:t>Overview</w:t>
            </w:r>
          </w:p>
        </w:tc>
        <w:tc>
          <w:tcPr>
            <w:tcW w:w="9781" w:type="dxa"/>
            <w:shd w:val="clear" w:color="auto" w:fill="00436C" w:themeFill="accent2"/>
          </w:tcPr>
          <w:p w14:paraId="018F4C79" w14:textId="0EEBFAFE" w:rsidR="001E0670" w:rsidRPr="00CD5E11" w:rsidRDefault="001E0670" w:rsidP="006D4C09">
            <w:pPr>
              <w:spacing w:before="60" w:after="60"/>
              <w:rPr>
                <w:b/>
                <w:bCs/>
              </w:rPr>
            </w:pPr>
            <w:r w:rsidRPr="00CD5E11">
              <w:rPr>
                <w:b/>
                <w:bCs/>
              </w:rPr>
              <w:t>Objectives</w:t>
            </w:r>
          </w:p>
        </w:tc>
      </w:tr>
      <w:tr w:rsidR="00EA5C2D" w14:paraId="1C140070" w14:textId="77777777" w:rsidTr="00B74740">
        <w:tc>
          <w:tcPr>
            <w:tcW w:w="4673" w:type="dxa"/>
          </w:tcPr>
          <w:p w14:paraId="41346502" w14:textId="41712E9B" w:rsidR="00EA5C2D" w:rsidRDefault="00415122" w:rsidP="006D4C09">
            <w:pPr>
              <w:spacing w:before="60" w:after="60"/>
            </w:pPr>
            <w:r>
              <w:t>C</w:t>
            </w:r>
            <w:r w:rsidR="009D3373" w:rsidRPr="009D3373">
              <w:t>reate a single, evidence</w:t>
            </w:r>
            <w:r w:rsidR="009D3373" w:rsidRPr="009D3373">
              <w:noBreakHyphen/>
              <w:t>based NICE methods manual that unifies core methods across programmes, reduces inconsistency and inefficiency, and supports timely, sustainable guidance updates</w:t>
            </w:r>
            <w:r w:rsidR="00E449C1">
              <w:t>. We will take</w:t>
            </w:r>
            <w:r w:rsidR="009D3373" w:rsidRPr="009D3373">
              <w:t xml:space="preserve"> a user</w:t>
            </w:r>
            <w:r w:rsidR="009D3373" w:rsidRPr="009D3373">
              <w:noBreakHyphen/>
              <w:t>led approach while accommodating necessary methodological differences and aligning with NICE’s wider knowledge transformation ambitions.</w:t>
            </w:r>
          </w:p>
        </w:tc>
        <w:tc>
          <w:tcPr>
            <w:tcW w:w="9781" w:type="dxa"/>
          </w:tcPr>
          <w:p w14:paraId="79CEC1FC" w14:textId="2419AB9D" w:rsidR="004800DC" w:rsidRDefault="004800DC" w:rsidP="006D4C09">
            <w:pPr>
              <w:spacing w:before="60" w:after="60"/>
            </w:pPr>
            <w:r>
              <w:t>In 2026/27, the project</w:t>
            </w:r>
            <w:r w:rsidR="00B74740">
              <w:t xml:space="preserve"> will aim to:</w:t>
            </w:r>
          </w:p>
          <w:p w14:paraId="6980464F" w14:textId="5191960D" w:rsidR="00B74740" w:rsidRPr="00B74740" w:rsidRDefault="00B74740" w:rsidP="006D4C09">
            <w:pPr>
              <w:pStyle w:val="ListParagraph"/>
              <w:numPr>
                <w:ilvl w:val="0"/>
                <w:numId w:val="27"/>
              </w:numPr>
              <w:tabs>
                <w:tab w:val="num" w:pos="288"/>
              </w:tabs>
              <w:spacing w:before="60" w:after="60"/>
              <w:ind w:left="290" w:hanging="284"/>
              <w:contextualSpacing w:val="0"/>
            </w:pPr>
            <w:r w:rsidRPr="00B74740">
              <w:t>Develop a user</w:t>
            </w:r>
            <w:r w:rsidRPr="00B74740">
              <w:noBreakHyphen/>
              <w:t>focused, evidence</w:t>
            </w:r>
            <w:r w:rsidRPr="00B74740">
              <w:noBreakHyphen/>
              <w:t xml:space="preserve">based NICE methods manual that supports the Whole Lifecycle Approach, with consultation completed by Q4 2026/27 and publication in Spring 2027. </w:t>
            </w:r>
          </w:p>
          <w:p w14:paraId="791639BC" w14:textId="7D3A8BF5" w:rsidR="00B74740" w:rsidRPr="00B74740" w:rsidRDefault="00B74740" w:rsidP="006D4C09">
            <w:pPr>
              <w:pStyle w:val="ListParagraph"/>
              <w:numPr>
                <w:ilvl w:val="0"/>
                <w:numId w:val="27"/>
              </w:numPr>
              <w:tabs>
                <w:tab w:val="num" w:pos="288"/>
              </w:tabs>
              <w:spacing w:before="60" w:after="60"/>
              <w:ind w:left="290" w:hanging="284"/>
              <w:contextualSpacing w:val="0"/>
            </w:pPr>
            <w:r w:rsidRPr="00B74740">
              <w:t xml:space="preserve">Align core methodological approaches across programmes, explaining and accommodating necessary differences where remits or pragmatic constraints require them. </w:t>
            </w:r>
          </w:p>
          <w:p w14:paraId="1213C908" w14:textId="1CE9A797" w:rsidR="00EA5C2D" w:rsidRDefault="00B74740" w:rsidP="006D4C09">
            <w:pPr>
              <w:pStyle w:val="ListParagraph"/>
              <w:numPr>
                <w:ilvl w:val="0"/>
                <w:numId w:val="27"/>
              </w:numPr>
              <w:tabs>
                <w:tab w:val="num" w:pos="288"/>
              </w:tabs>
              <w:spacing w:before="60" w:after="60"/>
              <w:ind w:left="290" w:hanging="284"/>
              <w:contextualSpacing w:val="0"/>
            </w:pPr>
            <w:r w:rsidRPr="00B74740">
              <w:t>Streamline and standardise content across the manual, adopting structured, componentised, user</w:t>
            </w:r>
            <w:r w:rsidRPr="00B74740">
              <w:noBreakHyphen/>
              <w:t>led content aligned with NICE’s knowledge transformation and relevant legal, operational and strategic boundaries.</w:t>
            </w:r>
          </w:p>
        </w:tc>
      </w:tr>
    </w:tbl>
    <w:p w14:paraId="284CA8A3" w14:textId="381E229E" w:rsidR="00A725F2" w:rsidRPr="00037395" w:rsidRDefault="00A725F2" w:rsidP="006D4C09">
      <w:pPr>
        <w:pStyle w:val="Heading2"/>
        <w:spacing w:after="40"/>
      </w:pPr>
      <w:r>
        <w:t>Quality and safety</w:t>
      </w:r>
    </w:p>
    <w:tbl>
      <w:tblPr>
        <w:tblStyle w:val="TableGrid"/>
        <w:tblW w:w="14454" w:type="dxa"/>
        <w:tblLook w:val="04A0" w:firstRow="1" w:lastRow="0" w:firstColumn="1" w:lastColumn="0" w:noHBand="0" w:noVBand="1"/>
      </w:tblPr>
      <w:tblGrid>
        <w:gridCol w:w="4673"/>
        <w:gridCol w:w="9781"/>
      </w:tblGrid>
      <w:tr w:rsidR="001E0670" w:rsidRPr="00CD5E11" w14:paraId="0C93E51F" w14:textId="77777777" w:rsidTr="000C0718">
        <w:tc>
          <w:tcPr>
            <w:tcW w:w="4673" w:type="dxa"/>
            <w:shd w:val="clear" w:color="auto" w:fill="00436C" w:themeFill="accent2"/>
          </w:tcPr>
          <w:p w14:paraId="146A89D7" w14:textId="4DDABF5D" w:rsidR="001E0670" w:rsidRPr="00CD5E11" w:rsidRDefault="001E0670" w:rsidP="006D4C09">
            <w:pPr>
              <w:spacing w:before="60" w:after="60"/>
              <w:rPr>
                <w:b/>
                <w:bCs/>
              </w:rPr>
            </w:pPr>
            <w:r>
              <w:rPr>
                <w:b/>
                <w:bCs/>
              </w:rPr>
              <w:t>Overview</w:t>
            </w:r>
          </w:p>
        </w:tc>
        <w:tc>
          <w:tcPr>
            <w:tcW w:w="9781" w:type="dxa"/>
            <w:shd w:val="clear" w:color="auto" w:fill="00436C" w:themeFill="accent2"/>
          </w:tcPr>
          <w:p w14:paraId="5636BA3F" w14:textId="0EF7421C" w:rsidR="001E0670" w:rsidRPr="00CD5E11" w:rsidRDefault="001E0670" w:rsidP="006D4C09">
            <w:pPr>
              <w:spacing w:before="60" w:after="60"/>
              <w:rPr>
                <w:b/>
                <w:bCs/>
              </w:rPr>
            </w:pPr>
            <w:r w:rsidRPr="00CD5E11">
              <w:rPr>
                <w:b/>
                <w:bCs/>
              </w:rPr>
              <w:t>Objectives</w:t>
            </w:r>
          </w:p>
        </w:tc>
      </w:tr>
      <w:tr w:rsidR="00EA5C2D" w14:paraId="3032F1F2" w14:textId="77777777" w:rsidTr="006D4C09">
        <w:trPr>
          <w:trHeight w:val="60"/>
        </w:trPr>
        <w:tc>
          <w:tcPr>
            <w:tcW w:w="4673" w:type="dxa"/>
          </w:tcPr>
          <w:p w14:paraId="20C98EC3" w14:textId="064337BB" w:rsidR="00EA5C2D" w:rsidRDefault="00B34227" w:rsidP="006D4C09">
            <w:pPr>
              <w:spacing w:before="40" w:after="40"/>
            </w:pPr>
            <w:r>
              <w:t>Th</w:t>
            </w:r>
            <w:r w:rsidR="00810FBD">
              <w:t>is work</w:t>
            </w:r>
            <w:r>
              <w:t xml:space="preserve"> aims to </w:t>
            </w:r>
            <w:r w:rsidRPr="00B34227">
              <w:t>identify cost</w:t>
            </w:r>
            <w:r w:rsidRPr="00B34227">
              <w:noBreakHyphen/>
              <w:t xml:space="preserve">effective interventions and priority topics for NICE, </w:t>
            </w:r>
            <w:r w:rsidR="00E46A45">
              <w:t>support the development and implementation of</w:t>
            </w:r>
            <w:r w:rsidRPr="00B34227">
              <w:t xml:space="preserve"> the National Quality Strategy, and strengthen patient</w:t>
            </w:r>
            <w:r w:rsidR="00FD3F0E">
              <w:t xml:space="preserve"> </w:t>
            </w:r>
            <w:r w:rsidRPr="00B34227">
              <w:t>safety oversight by ensuring all safety recommendations are clear, evidence</w:t>
            </w:r>
            <w:r w:rsidRPr="00B34227">
              <w:noBreakHyphen/>
              <w:t>based, costed and actionable.</w:t>
            </w:r>
          </w:p>
        </w:tc>
        <w:tc>
          <w:tcPr>
            <w:tcW w:w="9781" w:type="dxa"/>
          </w:tcPr>
          <w:p w14:paraId="3565F72A" w14:textId="624295E9" w:rsidR="000C0718" w:rsidRPr="00972CC9" w:rsidRDefault="00B34227" w:rsidP="006D4C09">
            <w:pPr>
              <w:spacing w:before="40" w:after="40"/>
            </w:pPr>
            <w:r>
              <w:t xml:space="preserve">In 2026/27, the project </w:t>
            </w:r>
            <w:r w:rsidR="00AD2960">
              <w:t>will focus on three key areas:</w:t>
            </w:r>
            <w:r w:rsidR="000C0718" w:rsidRPr="00B34227">
              <w:t xml:space="preserve"> </w:t>
            </w:r>
          </w:p>
          <w:p w14:paraId="4986B920" w14:textId="41D7FF39" w:rsidR="00A52400" w:rsidRDefault="00BD2284" w:rsidP="006D4C09">
            <w:pPr>
              <w:pStyle w:val="ListParagraph"/>
              <w:numPr>
                <w:ilvl w:val="0"/>
                <w:numId w:val="27"/>
              </w:numPr>
              <w:tabs>
                <w:tab w:val="num" w:pos="288"/>
              </w:tabs>
              <w:spacing w:before="40" w:after="40"/>
              <w:ind w:left="290" w:hanging="284"/>
              <w:contextualSpacing w:val="0"/>
            </w:pPr>
            <w:r>
              <w:t xml:space="preserve">Contribute to the </w:t>
            </w:r>
            <w:r w:rsidR="000C0718" w:rsidRPr="00B34227">
              <w:t>Modern Service Framework</w:t>
            </w:r>
            <w:r w:rsidR="00C5274F">
              <w:t>s</w:t>
            </w:r>
            <w:r w:rsidR="000C0718" w:rsidRPr="00B34227">
              <w:t xml:space="preserve"> (MSF</w:t>
            </w:r>
            <w:r w:rsidR="00C5274F">
              <w:t>s</w:t>
            </w:r>
            <w:r w:rsidR="000C0718" w:rsidRPr="00B34227">
              <w:t>)</w:t>
            </w:r>
            <w:r>
              <w:t xml:space="preserve"> as a key partner, i</w:t>
            </w:r>
            <w:r w:rsidR="000C0718">
              <w:t>dentifying relevant interventions evaluated by NICE to be cost effective</w:t>
            </w:r>
            <w:r>
              <w:t xml:space="preserve">, and </w:t>
            </w:r>
            <w:r w:rsidR="000C0718" w:rsidRPr="00D41A98">
              <w:t>topics for NICE to evaluate through its guidance programmes</w:t>
            </w:r>
          </w:p>
          <w:p w14:paraId="34444631" w14:textId="7CF326AC" w:rsidR="00A52400" w:rsidRDefault="000C0718" w:rsidP="006D4C09">
            <w:pPr>
              <w:pStyle w:val="ListParagraph"/>
              <w:numPr>
                <w:ilvl w:val="0"/>
                <w:numId w:val="27"/>
              </w:numPr>
              <w:tabs>
                <w:tab w:val="num" w:pos="288"/>
              </w:tabs>
              <w:spacing w:before="40" w:after="40"/>
              <w:ind w:left="290" w:hanging="284"/>
              <w:contextualSpacing w:val="0"/>
            </w:pPr>
            <w:r w:rsidRPr="00A52400">
              <w:t>Contribute to the National Quality Strategy</w:t>
            </w:r>
            <w:r w:rsidR="006F336B">
              <w:t>,</w:t>
            </w:r>
            <w:r w:rsidRPr="00A52400">
              <w:t xml:space="preserve"> </w:t>
            </w:r>
            <w:r w:rsidR="00894D2E">
              <w:t>ensuring</w:t>
            </w:r>
            <w:r w:rsidRPr="00A52400">
              <w:t xml:space="preserve"> the strategy </w:t>
            </w:r>
            <w:r w:rsidR="00894D2E">
              <w:t>is reflected fully in</w:t>
            </w:r>
            <w:r w:rsidRPr="00A52400">
              <w:t xml:space="preserve"> NICE’s work</w:t>
            </w:r>
            <w:r w:rsidR="00C1571E">
              <w:t xml:space="preserve"> and guidance outputs</w:t>
            </w:r>
          </w:p>
          <w:p w14:paraId="6F7680AA" w14:textId="5C729ED5" w:rsidR="00EA5C2D" w:rsidRDefault="000C0718" w:rsidP="006D4C09">
            <w:pPr>
              <w:pStyle w:val="ListParagraph"/>
              <w:numPr>
                <w:ilvl w:val="0"/>
                <w:numId w:val="27"/>
              </w:numPr>
              <w:tabs>
                <w:tab w:val="num" w:pos="288"/>
              </w:tabs>
              <w:spacing w:before="40" w:after="40"/>
              <w:ind w:left="290" w:hanging="284"/>
              <w:contextualSpacing w:val="0"/>
            </w:pPr>
            <w:r w:rsidRPr="00A52400">
              <w:t>Support the Patient Safety Oversight Group to ensure that safety is considered in all NICE’s outputs and that where safety recommendations are made, these are clear, evidence based, costed and actionable.</w:t>
            </w:r>
          </w:p>
        </w:tc>
      </w:tr>
    </w:tbl>
    <w:p w14:paraId="541CCAA9" w14:textId="4895F6E2" w:rsidR="00A725F2" w:rsidRPr="00037395" w:rsidRDefault="007B351C" w:rsidP="004F53E3">
      <w:pPr>
        <w:pStyle w:val="Heading2"/>
      </w:pPr>
      <w:r>
        <w:lastRenderedPageBreak/>
        <w:t xml:space="preserve">Leadership </w:t>
      </w:r>
      <w:r w:rsidR="00A725F2">
        <w:t>and culture</w:t>
      </w:r>
    </w:p>
    <w:tbl>
      <w:tblPr>
        <w:tblStyle w:val="TableGrid"/>
        <w:tblW w:w="14454" w:type="dxa"/>
        <w:tblLook w:val="04A0" w:firstRow="1" w:lastRow="0" w:firstColumn="1" w:lastColumn="0" w:noHBand="0" w:noVBand="1"/>
      </w:tblPr>
      <w:tblGrid>
        <w:gridCol w:w="4673"/>
        <w:gridCol w:w="9781"/>
      </w:tblGrid>
      <w:tr w:rsidR="001E0670" w:rsidRPr="00CD5E11" w14:paraId="6F3EF301" w14:textId="77777777" w:rsidTr="00C90659">
        <w:tc>
          <w:tcPr>
            <w:tcW w:w="4673" w:type="dxa"/>
            <w:shd w:val="clear" w:color="auto" w:fill="00436C" w:themeFill="accent2"/>
          </w:tcPr>
          <w:p w14:paraId="7CE6BADA" w14:textId="666809E2" w:rsidR="001E0670" w:rsidRPr="00CD5E11" w:rsidRDefault="001E0670" w:rsidP="001E0670">
            <w:pPr>
              <w:spacing w:before="120" w:after="120"/>
              <w:rPr>
                <w:b/>
                <w:bCs/>
              </w:rPr>
            </w:pPr>
            <w:r>
              <w:rPr>
                <w:b/>
                <w:bCs/>
              </w:rPr>
              <w:t>Overview</w:t>
            </w:r>
          </w:p>
        </w:tc>
        <w:tc>
          <w:tcPr>
            <w:tcW w:w="9781" w:type="dxa"/>
            <w:shd w:val="clear" w:color="auto" w:fill="00436C" w:themeFill="accent2"/>
          </w:tcPr>
          <w:p w14:paraId="3A9B34A2" w14:textId="5CD77F79" w:rsidR="001E0670" w:rsidRPr="00CD5E11" w:rsidRDefault="001E0670" w:rsidP="001E0670">
            <w:pPr>
              <w:spacing w:before="120" w:after="120"/>
              <w:rPr>
                <w:b/>
                <w:bCs/>
              </w:rPr>
            </w:pPr>
            <w:r w:rsidRPr="00CD5E11">
              <w:rPr>
                <w:b/>
                <w:bCs/>
              </w:rPr>
              <w:t>Objectives</w:t>
            </w:r>
          </w:p>
        </w:tc>
      </w:tr>
      <w:tr w:rsidR="00EA5C2D" w14:paraId="5DA16AF2" w14:textId="77777777" w:rsidTr="00C90659">
        <w:tc>
          <w:tcPr>
            <w:tcW w:w="4673" w:type="dxa"/>
          </w:tcPr>
          <w:p w14:paraId="235385F9" w14:textId="77777777" w:rsidR="006F7FCA" w:rsidRPr="006F7FCA" w:rsidRDefault="006F7FCA" w:rsidP="006F7FCA">
            <w:pPr>
              <w:spacing w:before="120" w:after="120"/>
            </w:pPr>
            <w:r w:rsidRPr="006F7FCA">
              <w:t>This project will strengthen leadership capability and consistency, address siloed working, and build digital and system</w:t>
            </w:r>
            <w:r w:rsidRPr="006F7FCA">
              <w:noBreakHyphen/>
              <w:t>working confidence. It aligns leadership development with the future operating model, cultural expectations, and 26/27 strategic priorities, enabling adaptive, accountable and psychologically safe leadership across the organisation.</w:t>
            </w:r>
          </w:p>
          <w:p w14:paraId="5CFD6A7E" w14:textId="1E82E43A" w:rsidR="00EA5C2D" w:rsidRDefault="00EA5C2D" w:rsidP="006F7FCA">
            <w:pPr>
              <w:spacing w:before="120" w:after="120"/>
            </w:pPr>
          </w:p>
        </w:tc>
        <w:tc>
          <w:tcPr>
            <w:tcW w:w="9781" w:type="dxa"/>
          </w:tcPr>
          <w:p w14:paraId="24561623" w14:textId="32482E88" w:rsidR="001819D5" w:rsidRDefault="001819D5" w:rsidP="006F7FCA">
            <w:pPr>
              <w:spacing w:before="120" w:after="120"/>
            </w:pPr>
            <w:r>
              <w:t>In 2026/27, the project will:</w:t>
            </w:r>
          </w:p>
          <w:p w14:paraId="5A1E20BF" w14:textId="577AC243" w:rsidR="001819D5" w:rsidRPr="001819D5" w:rsidRDefault="001819D5" w:rsidP="001819D5">
            <w:pPr>
              <w:pStyle w:val="ListParagraph"/>
              <w:numPr>
                <w:ilvl w:val="0"/>
                <w:numId w:val="27"/>
              </w:numPr>
              <w:tabs>
                <w:tab w:val="num" w:pos="288"/>
              </w:tabs>
              <w:spacing w:before="120" w:after="120"/>
              <w:ind w:left="290" w:hanging="284"/>
              <w:contextualSpacing w:val="0"/>
            </w:pPr>
            <w:r w:rsidRPr="001819D5">
              <w:t xml:space="preserve">Establish a shared leadership framework and common language across directorates. </w:t>
            </w:r>
          </w:p>
          <w:p w14:paraId="50DB2537" w14:textId="776253DE" w:rsidR="001819D5" w:rsidRPr="001819D5" w:rsidRDefault="001819D5" w:rsidP="001819D5">
            <w:pPr>
              <w:pStyle w:val="ListParagraph"/>
              <w:numPr>
                <w:ilvl w:val="0"/>
                <w:numId w:val="27"/>
              </w:numPr>
              <w:tabs>
                <w:tab w:val="num" w:pos="288"/>
              </w:tabs>
              <w:spacing w:before="120" w:after="120"/>
              <w:ind w:left="290" w:hanging="284"/>
              <w:contextualSpacing w:val="0"/>
            </w:pPr>
            <w:r w:rsidRPr="001819D5">
              <w:t>Build core and advanced capability for high performance, inclusive values</w:t>
            </w:r>
            <w:r w:rsidRPr="001819D5">
              <w:noBreakHyphen/>
              <w:t>led leadership and confident decision</w:t>
            </w:r>
            <w:r w:rsidRPr="001819D5">
              <w:noBreakHyphen/>
              <w:t xml:space="preserve">making in complexity. </w:t>
            </w:r>
          </w:p>
          <w:p w14:paraId="022F830E" w14:textId="6783E6FF" w:rsidR="001819D5" w:rsidRPr="001819D5" w:rsidRDefault="001819D5" w:rsidP="001819D5">
            <w:pPr>
              <w:pStyle w:val="ListParagraph"/>
              <w:numPr>
                <w:ilvl w:val="0"/>
                <w:numId w:val="27"/>
              </w:numPr>
              <w:tabs>
                <w:tab w:val="num" w:pos="288"/>
              </w:tabs>
              <w:spacing w:before="120" w:after="120"/>
              <w:ind w:left="290" w:hanging="284"/>
              <w:contextualSpacing w:val="0"/>
            </w:pPr>
            <w:r w:rsidRPr="001819D5">
              <w:t>Embed restorative, just and learning</w:t>
            </w:r>
            <w:r w:rsidRPr="001819D5">
              <w:noBreakHyphen/>
              <w:t xml:space="preserve">oriented approaches to accountability and improvement. </w:t>
            </w:r>
          </w:p>
          <w:p w14:paraId="73C35BEB" w14:textId="472707A1" w:rsidR="001819D5" w:rsidRPr="001819D5" w:rsidRDefault="001819D5" w:rsidP="001819D5">
            <w:pPr>
              <w:pStyle w:val="ListParagraph"/>
              <w:numPr>
                <w:ilvl w:val="0"/>
                <w:numId w:val="27"/>
              </w:numPr>
              <w:tabs>
                <w:tab w:val="num" w:pos="288"/>
              </w:tabs>
              <w:spacing w:before="120" w:after="120"/>
              <w:ind w:left="290" w:hanging="284"/>
              <w:contextualSpacing w:val="0"/>
            </w:pPr>
            <w:r w:rsidRPr="001819D5">
              <w:t xml:space="preserve">Strengthen leadership use of skills insight for team development and future capability planning. </w:t>
            </w:r>
          </w:p>
          <w:p w14:paraId="28AA2A2E" w14:textId="003C17A9" w:rsidR="001819D5" w:rsidRPr="001819D5" w:rsidRDefault="001819D5" w:rsidP="001819D5">
            <w:pPr>
              <w:pStyle w:val="ListParagraph"/>
              <w:numPr>
                <w:ilvl w:val="0"/>
                <w:numId w:val="27"/>
              </w:numPr>
              <w:tabs>
                <w:tab w:val="num" w:pos="288"/>
              </w:tabs>
              <w:spacing w:before="120" w:after="120"/>
              <w:ind w:left="290" w:hanging="284"/>
              <w:contextualSpacing w:val="0"/>
            </w:pPr>
            <w:r w:rsidRPr="001819D5">
              <w:t>Improve cross</w:t>
            </w:r>
            <w:r w:rsidRPr="001819D5">
              <w:noBreakHyphen/>
              <w:t xml:space="preserve">directorate collaboration and reduce cultural and structural silos. </w:t>
            </w:r>
          </w:p>
          <w:p w14:paraId="2320EF2B" w14:textId="52C01ABD" w:rsidR="001819D5" w:rsidRPr="001819D5" w:rsidRDefault="001819D5" w:rsidP="001819D5">
            <w:pPr>
              <w:pStyle w:val="ListParagraph"/>
              <w:numPr>
                <w:ilvl w:val="0"/>
                <w:numId w:val="27"/>
              </w:numPr>
              <w:tabs>
                <w:tab w:val="num" w:pos="288"/>
              </w:tabs>
              <w:spacing w:before="120" w:after="120"/>
              <w:ind w:left="290" w:hanging="284"/>
              <w:contextualSpacing w:val="0"/>
            </w:pPr>
            <w:r w:rsidRPr="001819D5">
              <w:t>Build leadership confidence for digital and AI</w:t>
            </w:r>
            <w:r w:rsidRPr="001819D5">
              <w:noBreakHyphen/>
              <w:t xml:space="preserve">enabled working, with focus on ethical, cultural and people impacts. </w:t>
            </w:r>
          </w:p>
          <w:p w14:paraId="418410E6" w14:textId="4F0BF3F7" w:rsidR="001819D5" w:rsidRPr="001819D5" w:rsidRDefault="001819D5" w:rsidP="001819D5">
            <w:pPr>
              <w:pStyle w:val="ListParagraph"/>
              <w:numPr>
                <w:ilvl w:val="0"/>
                <w:numId w:val="27"/>
              </w:numPr>
              <w:tabs>
                <w:tab w:val="num" w:pos="288"/>
              </w:tabs>
              <w:spacing w:before="120" w:after="120"/>
              <w:ind w:left="290" w:hanging="284"/>
              <w:contextualSpacing w:val="0"/>
            </w:pPr>
            <w:r w:rsidRPr="001819D5">
              <w:t xml:space="preserve">Provide equitable access to leadership development while enabling differentiated pathways for senior/system leaders. </w:t>
            </w:r>
          </w:p>
          <w:p w14:paraId="00EB4ACE" w14:textId="66AD1EFB" w:rsidR="00EA5C2D" w:rsidRDefault="001819D5" w:rsidP="001819D5">
            <w:pPr>
              <w:pStyle w:val="ListParagraph"/>
              <w:numPr>
                <w:ilvl w:val="0"/>
                <w:numId w:val="27"/>
              </w:numPr>
              <w:tabs>
                <w:tab w:val="num" w:pos="288"/>
              </w:tabs>
              <w:spacing w:before="120" w:after="120"/>
              <w:ind w:left="290" w:hanging="284"/>
              <w:contextualSpacing w:val="0"/>
            </w:pPr>
            <w:r w:rsidRPr="001819D5">
              <w:t>Deliver a multi</w:t>
            </w:r>
            <w:r w:rsidRPr="001819D5">
              <w:noBreakHyphen/>
              <w:t>year strategic framework supporting targeted interventions and aligning leadership, culture and digital</w:t>
            </w:r>
            <w:r w:rsidRPr="001819D5">
              <w:noBreakHyphen/>
              <w:t>readiness activity.</w:t>
            </w:r>
          </w:p>
        </w:tc>
      </w:tr>
    </w:tbl>
    <w:p w14:paraId="7D0B0912" w14:textId="77777777" w:rsidR="006D4C09" w:rsidRDefault="006D4C09" w:rsidP="004F53E3">
      <w:pPr>
        <w:pStyle w:val="Heading2"/>
      </w:pPr>
    </w:p>
    <w:p w14:paraId="04940EC3" w14:textId="699E680F" w:rsidR="00EA5C2D" w:rsidRPr="00037395" w:rsidRDefault="00EA5C2D" w:rsidP="004F53E3">
      <w:pPr>
        <w:pStyle w:val="Heading2"/>
      </w:pPr>
      <w:r>
        <w:t>Communications</w:t>
      </w:r>
    </w:p>
    <w:tbl>
      <w:tblPr>
        <w:tblStyle w:val="TableGrid"/>
        <w:tblW w:w="14454" w:type="dxa"/>
        <w:tblLook w:val="04A0" w:firstRow="1" w:lastRow="0" w:firstColumn="1" w:lastColumn="0" w:noHBand="0" w:noVBand="1"/>
      </w:tblPr>
      <w:tblGrid>
        <w:gridCol w:w="4673"/>
        <w:gridCol w:w="9781"/>
      </w:tblGrid>
      <w:tr w:rsidR="001E0670" w:rsidRPr="00CD5E11" w14:paraId="7DCE1E1A" w14:textId="77777777" w:rsidTr="00C90659">
        <w:tc>
          <w:tcPr>
            <w:tcW w:w="4673" w:type="dxa"/>
            <w:shd w:val="clear" w:color="auto" w:fill="00436C" w:themeFill="accent2"/>
          </w:tcPr>
          <w:p w14:paraId="6972600C" w14:textId="10A4A236" w:rsidR="001E0670" w:rsidRPr="00CD5E11" w:rsidRDefault="001E0670" w:rsidP="001E0670">
            <w:pPr>
              <w:spacing w:before="120" w:after="120"/>
              <w:rPr>
                <w:b/>
                <w:bCs/>
              </w:rPr>
            </w:pPr>
            <w:r>
              <w:rPr>
                <w:b/>
                <w:bCs/>
              </w:rPr>
              <w:t>Overview</w:t>
            </w:r>
          </w:p>
        </w:tc>
        <w:tc>
          <w:tcPr>
            <w:tcW w:w="9781" w:type="dxa"/>
            <w:shd w:val="clear" w:color="auto" w:fill="00436C" w:themeFill="accent2"/>
          </w:tcPr>
          <w:p w14:paraId="63DBAECF" w14:textId="0166E95D" w:rsidR="001E0670" w:rsidRPr="00CD5E11" w:rsidRDefault="001E0670" w:rsidP="001E0670">
            <w:pPr>
              <w:spacing w:before="120" w:after="120"/>
              <w:rPr>
                <w:b/>
                <w:bCs/>
              </w:rPr>
            </w:pPr>
            <w:r w:rsidRPr="00CD5E11">
              <w:rPr>
                <w:b/>
                <w:bCs/>
              </w:rPr>
              <w:t>Objectives</w:t>
            </w:r>
          </w:p>
        </w:tc>
      </w:tr>
      <w:tr w:rsidR="00EA5C2D" w14:paraId="29F63D34" w14:textId="77777777" w:rsidTr="00C90659">
        <w:tc>
          <w:tcPr>
            <w:tcW w:w="4673" w:type="dxa"/>
          </w:tcPr>
          <w:p w14:paraId="6765C2A7" w14:textId="7C15CA98" w:rsidR="00EA5C2D" w:rsidRDefault="00C90659" w:rsidP="00A13389">
            <w:pPr>
              <w:spacing w:before="120" w:after="120"/>
            </w:pPr>
            <w:r w:rsidRPr="00C90659">
              <w:t>A project to develop and deliver a three</w:t>
            </w:r>
            <w:r w:rsidRPr="00C90659">
              <w:noBreakHyphen/>
              <w:t>year, organisation</w:t>
            </w:r>
            <w:r w:rsidRPr="00C90659">
              <w:noBreakHyphen/>
              <w:t>wide communications strategy that clarifies and promotes NICE’s evolving role, ensuring consistent messaging, stronger system influence, and a confident workforce</w:t>
            </w:r>
            <w:r w:rsidR="004E6A52">
              <w:t xml:space="preserve">. This will </w:t>
            </w:r>
            <w:r w:rsidRPr="00C90659">
              <w:t>reduc</w:t>
            </w:r>
            <w:r w:rsidR="004E6A52">
              <w:t>e</w:t>
            </w:r>
            <w:r w:rsidRPr="00C90659">
              <w:t xml:space="preserve"> reputational risk and support organisational success during a period of significant </w:t>
            </w:r>
            <w:r w:rsidR="007A3E5E">
              <w:t>transformation</w:t>
            </w:r>
          </w:p>
        </w:tc>
        <w:tc>
          <w:tcPr>
            <w:tcW w:w="9781" w:type="dxa"/>
          </w:tcPr>
          <w:p w14:paraId="06581D37" w14:textId="77777777" w:rsidR="00EA5C2D" w:rsidRDefault="00CD4269" w:rsidP="00CD4269">
            <w:pPr>
              <w:spacing w:before="120" w:after="120"/>
            </w:pPr>
            <w:r>
              <w:t>In 2026/27, the project will aim to:</w:t>
            </w:r>
          </w:p>
          <w:p w14:paraId="1C5B8E28" w14:textId="493DC058" w:rsidR="00CD4269" w:rsidRPr="00CD4269" w:rsidRDefault="00CD4269" w:rsidP="00CD4269">
            <w:pPr>
              <w:pStyle w:val="ListParagraph"/>
              <w:numPr>
                <w:ilvl w:val="0"/>
                <w:numId w:val="27"/>
              </w:numPr>
              <w:tabs>
                <w:tab w:val="num" w:pos="288"/>
              </w:tabs>
              <w:spacing w:before="120" w:after="120"/>
              <w:ind w:left="290" w:hanging="284"/>
              <w:contextualSpacing w:val="0"/>
            </w:pPr>
            <w:r w:rsidRPr="00CD4269">
              <w:t>Develop a three</w:t>
            </w:r>
            <w:r w:rsidRPr="00CD4269">
              <w:noBreakHyphen/>
              <w:t xml:space="preserve">year communications strategy aligned to NICE’s 2026–2029 strategic direction. </w:t>
            </w:r>
          </w:p>
          <w:p w14:paraId="7F695052" w14:textId="3121A3BA" w:rsidR="00CD4269" w:rsidRPr="00CD4269" w:rsidRDefault="00CD4269" w:rsidP="00CD4269">
            <w:pPr>
              <w:pStyle w:val="ListParagraph"/>
              <w:numPr>
                <w:ilvl w:val="0"/>
                <w:numId w:val="27"/>
              </w:numPr>
              <w:tabs>
                <w:tab w:val="num" w:pos="288"/>
              </w:tabs>
              <w:spacing w:before="120" w:after="120"/>
              <w:ind w:left="290" w:hanging="284"/>
              <w:contextualSpacing w:val="0"/>
            </w:pPr>
            <w:r w:rsidRPr="00CD4269">
              <w:t xml:space="preserve">Create a narrative framework with core messaging and clear positioning on key themes. </w:t>
            </w:r>
          </w:p>
          <w:p w14:paraId="063B580C" w14:textId="541090E6" w:rsidR="00CD4269" w:rsidRPr="00CD4269" w:rsidRDefault="00CD4269" w:rsidP="00CD4269">
            <w:pPr>
              <w:pStyle w:val="ListParagraph"/>
              <w:numPr>
                <w:ilvl w:val="0"/>
                <w:numId w:val="27"/>
              </w:numPr>
              <w:tabs>
                <w:tab w:val="num" w:pos="288"/>
              </w:tabs>
              <w:spacing w:before="120" w:after="120"/>
              <w:ind w:left="290" w:hanging="284"/>
              <w:contextualSpacing w:val="0"/>
            </w:pPr>
            <w:r w:rsidRPr="00CD4269">
              <w:t xml:space="preserve">Produce annual integrated communications and delivery plans with strong governance and evaluation. </w:t>
            </w:r>
          </w:p>
          <w:p w14:paraId="2DAD7A62" w14:textId="2145C018" w:rsidR="00CD4269" w:rsidRPr="00CD4269" w:rsidRDefault="00CD4269" w:rsidP="00CD4269">
            <w:pPr>
              <w:pStyle w:val="ListParagraph"/>
              <w:numPr>
                <w:ilvl w:val="0"/>
                <w:numId w:val="27"/>
              </w:numPr>
              <w:tabs>
                <w:tab w:val="num" w:pos="288"/>
              </w:tabs>
              <w:spacing w:before="120" w:after="120"/>
              <w:ind w:left="290" w:hanging="284"/>
              <w:contextualSpacing w:val="0"/>
            </w:pPr>
            <w:r w:rsidRPr="00CD4269">
              <w:t xml:space="preserve">Strengthen internal communications and staff engagement to ensure shared understanding of NICE’s direction. </w:t>
            </w:r>
          </w:p>
          <w:p w14:paraId="45E98092" w14:textId="71BD3025" w:rsidR="00CD4269" w:rsidRDefault="00CD4269" w:rsidP="00CD4269">
            <w:pPr>
              <w:pStyle w:val="ListParagraph"/>
              <w:numPr>
                <w:ilvl w:val="0"/>
                <w:numId w:val="27"/>
              </w:numPr>
              <w:tabs>
                <w:tab w:val="num" w:pos="288"/>
              </w:tabs>
              <w:spacing w:before="120" w:after="120"/>
              <w:ind w:left="290" w:hanging="284"/>
              <w:contextualSpacing w:val="0"/>
            </w:pPr>
            <w:r w:rsidRPr="00CD4269">
              <w:t>Build Communications team capability, capacity and development pathways to deliver world</w:t>
            </w:r>
            <w:r w:rsidRPr="00CD4269">
              <w:noBreakHyphen/>
              <w:t>class communications.</w:t>
            </w:r>
          </w:p>
        </w:tc>
      </w:tr>
    </w:tbl>
    <w:p w14:paraId="0454E9EC" w14:textId="77777777" w:rsidR="003E7F06" w:rsidRDefault="003E7F06" w:rsidP="005438C7">
      <w:pPr>
        <w:tabs>
          <w:tab w:val="num" w:pos="720"/>
        </w:tabs>
        <w:spacing w:before="240" w:after="240"/>
      </w:pPr>
    </w:p>
    <w:p w14:paraId="4F8BC425" w14:textId="6F73AF9A" w:rsidR="00BD5259" w:rsidRDefault="00BD5259">
      <w:r>
        <w:br w:type="page"/>
      </w:r>
    </w:p>
    <w:p w14:paraId="699FD87A" w14:textId="250BF659" w:rsidR="0096571F" w:rsidRPr="00FC4BE7" w:rsidRDefault="00617F05" w:rsidP="00A475FB">
      <w:pPr>
        <w:pStyle w:val="Heading1"/>
      </w:pPr>
      <w:bookmarkStart w:id="5" w:name="_Toc229498293"/>
      <w:r w:rsidRPr="00FC4BE7">
        <w:lastRenderedPageBreak/>
        <w:t>Budget</w:t>
      </w:r>
      <w:bookmarkEnd w:id="5"/>
    </w:p>
    <w:p w14:paraId="2F81FC50" w14:textId="7B641670" w:rsidR="003969FB" w:rsidRPr="00FC4BE7" w:rsidRDefault="003969FB" w:rsidP="004F53E3">
      <w:pPr>
        <w:pStyle w:val="Heading2"/>
      </w:pPr>
      <w:r w:rsidRPr="00FC4BE7">
        <w:t>Overview</w:t>
      </w:r>
    </w:p>
    <w:p w14:paraId="33D589E2" w14:textId="0302EB8A" w:rsidR="003969FB" w:rsidRPr="005329E4" w:rsidRDefault="00044B0C" w:rsidP="003969FB">
      <w:r w:rsidRPr="005329E4">
        <w:t>The following</w:t>
      </w:r>
      <w:r w:rsidR="005D5250" w:rsidRPr="005329E4">
        <w:t xml:space="preserve"> </w:t>
      </w:r>
      <w:r w:rsidR="005D5250" w:rsidRPr="005329E4">
        <w:rPr>
          <w:b/>
          <w:bCs/>
        </w:rPr>
        <w:t>funding and income</w:t>
      </w:r>
      <w:r w:rsidRPr="005329E4">
        <w:t xml:space="preserve"> assumptions have been made in setting the 2026/27 budget.</w:t>
      </w:r>
    </w:p>
    <w:p w14:paraId="08804053" w14:textId="20D0B71F" w:rsidR="001C5AE0" w:rsidRPr="005329E4" w:rsidRDefault="001C5AE0" w:rsidP="001C5AE0">
      <w:pPr>
        <w:numPr>
          <w:ilvl w:val="0"/>
          <w:numId w:val="39"/>
        </w:numPr>
      </w:pPr>
      <w:r w:rsidRPr="005329E4">
        <w:t>Total DHSC RDEL (revenue) funding of £6</w:t>
      </w:r>
      <w:r w:rsidR="005329E4" w:rsidRPr="000B5C73">
        <w:t>6</w:t>
      </w:r>
      <w:r w:rsidRPr="005329E4">
        <w:t>.</w:t>
      </w:r>
      <w:r w:rsidR="005329E4" w:rsidRPr="000B5C73">
        <w:t>1</w:t>
      </w:r>
      <w:r w:rsidRPr="005329E4">
        <w:t>m.</w:t>
      </w:r>
      <w:r w:rsidR="000C33F4" w:rsidRPr="000B5C73">
        <w:t xml:space="preserve"> DHSC confirmed this budget on 30 March 2026.</w:t>
      </w:r>
      <w:r w:rsidRPr="005329E4">
        <w:t xml:space="preserve"> This </w:t>
      </w:r>
      <w:r w:rsidR="00E7733B" w:rsidRPr="000B5C73">
        <w:t xml:space="preserve">funding </w:t>
      </w:r>
      <w:r w:rsidRPr="005329E4">
        <w:t>is inclusive of:</w:t>
      </w:r>
    </w:p>
    <w:p w14:paraId="3B307264" w14:textId="41DC9172" w:rsidR="001C5AE0" w:rsidRPr="005329E4" w:rsidRDefault="001C5AE0" w:rsidP="001C5AE0">
      <w:pPr>
        <w:numPr>
          <w:ilvl w:val="1"/>
          <w:numId w:val="39"/>
        </w:numPr>
      </w:pPr>
      <w:r w:rsidRPr="005329E4">
        <w:t xml:space="preserve">Administration RDEL funding of £50.9m (same as 2025/26) for </w:t>
      </w:r>
      <w:proofErr w:type="gramStart"/>
      <w:r w:rsidRPr="005329E4">
        <w:t>the majority of</w:t>
      </w:r>
      <w:proofErr w:type="gramEnd"/>
      <w:r w:rsidRPr="005329E4">
        <w:t xml:space="preserve"> our statutory functions.</w:t>
      </w:r>
    </w:p>
    <w:p w14:paraId="4CA12FAF" w14:textId="6C2C9588" w:rsidR="001C5AE0" w:rsidRPr="00AF63FD" w:rsidRDefault="001C5AE0" w:rsidP="001C5AE0">
      <w:pPr>
        <w:numPr>
          <w:ilvl w:val="1"/>
          <w:numId w:val="39"/>
        </w:numPr>
      </w:pPr>
      <w:r w:rsidRPr="005329E4">
        <w:t>Programme RDEL funding of £</w:t>
      </w:r>
      <w:r w:rsidR="002F1617" w:rsidRPr="000B5C73">
        <w:t>8.0</w:t>
      </w:r>
      <w:r w:rsidRPr="005329E4">
        <w:t>m (</w:t>
      </w:r>
      <w:r w:rsidR="002F1617" w:rsidRPr="005329E4">
        <w:t>same as 2025/26</w:t>
      </w:r>
      <w:r w:rsidRPr="005329E4">
        <w:t>) for specific programmes (BNF procurement and some HealthTech</w:t>
      </w:r>
      <w:r w:rsidRPr="00AF63FD">
        <w:t xml:space="preserve"> evaluation activities).</w:t>
      </w:r>
    </w:p>
    <w:p w14:paraId="5EAF1FBE" w14:textId="6A08B094" w:rsidR="001C5AE0" w:rsidRPr="005329E4" w:rsidRDefault="001C5AE0" w:rsidP="001C5AE0">
      <w:pPr>
        <w:numPr>
          <w:ilvl w:val="1"/>
          <w:numId w:val="39"/>
        </w:numPr>
      </w:pPr>
      <w:r w:rsidRPr="005329E4">
        <w:t>Project funding to be transferred from the VPAG investment facility (£4.1m).</w:t>
      </w:r>
    </w:p>
    <w:p w14:paraId="7F61ADB0" w14:textId="55E3A144" w:rsidR="001C5AE0" w:rsidRPr="005329E4" w:rsidRDefault="001C5AE0" w:rsidP="001C5AE0">
      <w:pPr>
        <w:numPr>
          <w:ilvl w:val="1"/>
          <w:numId w:val="39"/>
        </w:numPr>
      </w:pPr>
      <w:r w:rsidRPr="005329E4">
        <w:t xml:space="preserve">Funding of £1.1m for the Whole Lifecycle Approach (WLA) </w:t>
      </w:r>
      <w:r w:rsidR="00FF7BFC" w:rsidRPr="005329E4">
        <w:t>programme</w:t>
      </w:r>
      <w:r w:rsidRPr="005329E4">
        <w:t>. In total we are expecting £5.6m over the next 3 years (2026/27 to 2028/29).</w:t>
      </w:r>
    </w:p>
    <w:p w14:paraId="615127D4" w14:textId="6AA771A5" w:rsidR="001C5AE0" w:rsidRPr="005329E4" w:rsidRDefault="001C5AE0" w:rsidP="001C5AE0">
      <w:pPr>
        <w:numPr>
          <w:ilvl w:val="1"/>
          <w:numId w:val="39"/>
        </w:numPr>
      </w:pPr>
      <w:r w:rsidRPr="005329E4">
        <w:t>Ring-fenced funding for depreciation charges on our assets and leases (£</w:t>
      </w:r>
      <w:r w:rsidR="00DD231E" w:rsidRPr="000B5C73">
        <w:t>2</w:t>
      </w:r>
      <w:r w:rsidRPr="005329E4">
        <w:t>.</w:t>
      </w:r>
      <w:r w:rsidR="00DD231E" w:rsidRPr="000B5C73">
        <w:t>0</w:t>
      </w:r>
      <w:r w:rsidRPr="005329E4">
        <w:t>m).</w:t>
      </w:r>
    </w:p>
    <w:p w14:paraId="0171E9A1" w14:textId="34BFA8CC" w:rsidR="001C5AE0" w:rsidRPr="00855264" w:rsidRDefault="006B43D0" w:rsidP="000B5C73">
      <w:pPr>
        <w:numPr>
          <w:ilvl w:val="0"/>
          <w:numId w:val="39"/>
        </w:numPr>
      </w:pPr>
      <w:r w:rsidRPr="00855264">
        <w:t>Other income totalling £28.</w:t>
      </w:r>
      <w:r w:rsidR="00855264" w:rsidRPr="000B5C73">
        <w:t>7</w:t>
      </w:r>
      <w:r w:rsidRPr="00855264">
        <w:t>m is assumed, in</w:t>
      </w:r>
      <w:r w:rsidR="00605A89" w:rsidRPr="00855264">
        <w:t xml:space="preserve">cluding </w:t>
      </w:r>
      <w:r w:rsidR="001C5AE0" w:rsidRPr="00855264">
        <w:t xml:space="preserve">Technology Appraisal and HST </w:t>
      </w:r>
      <w:r w:rsidR="00605A89" w:rsidRPr="00855264">
        <w:t>fees totalling £14m</w:t>
      </w:r>
      <w:r w:rsidR="001C5AE0" w:rsidRPr="00855264">
        <w:t>.</w:t>
      </w:r>
    </w:p>
    <w:p w14:paraId="0A1C7166" w14:textId="3E30F9D3" w:rsidR="001C5AE0" w:rsidRPr="000B5C73" w:rsidRDefault="005D5250" w:rsidP="00605A89">
      <w:pPr>
        <w:rPr>
          <w:highlight w:val="yellow"/>
        </w:rPr>
      </w:pPr>
      <w:r w:rsidRPr="00240C46">
        <w:rPr>
          <w:b/>
          <w:bCs/>
        </w:rPr>
        <w:t>Expenditure:</w:t>
      </w:r>
      <w:r w:rsidRPr="00240C46">
        <w:t xml:space="preserve"> </w:t>
      </w:r>
      <w:r w:rsidR="00605A89" w:rsidRPr="00240C46">
        <w:t xml:space="preserve">The </w:t>
      </w:r>
      <w:r w:rsidR="009256ED" w:rsidRPr="00240C46">
        <w:t xml:space="preserve">size of the </w:t>
      </w:r>
      <w:r w:rsidR="009256ED" w:rsidRPr="00FE1CDD">
        <w:t xml:space="preserve">organisation is expected to remain </w:t>
      </w:r>
      <w:r w:rsidR="007D1729">
        <w:t>below</w:t>
      </w:r>
      <w:r w:rsidR="009256ED" w:rsidRPr="00FE1CDD">
        <w:t xml:space="preserve"> 800 full-time equivalents</w:t>
      </w:r>
      <w:r w:rsidR="002F7360" w:rsidRPr="00FE1CDD">
        <w:t xml:space="preserve"> (FTE)</w:t>
      </w:r>
      <w:r w:rsidR="002100A7" w:rsidRPr="00FE1CDD">
        <w:t>. T</w:t>
      </w:r>
      <w:r w:rsidR="007C70F7" w:rsidRPr="00FE1CDD">
        <w:t>he shape of directorates and budgets</w:t>
      </w:r>
      <w:r w:rsidR="000E0D8A" w:rsidRPr="00FE1CDD">
        <w:t xml:space="preserve"> is</w:t>
      </w:r>
      <w:r w:rsidR="007C70F7" w:rsidRPr="00FE1CDD">
        <w:t xml:space="preserve"> </w:t>
      </w:r>
      <w:proofErr w:type="gramStart"/>
      <w:r w:rsidR="007C70F7" w:rsidRPr="00FE1CDD">
        <w:t>similar to</w:t>
      </w:r>
      <w:proofErr w:type="gramEnd"/>
      <w:r w:rsidR="007C70F7" w:rsidRPr="00FE1CDD">
        <w:t xml:space="preserve"> 2025/26, along with </w:t>
      </w:r>
      <w:r w:rsidR="00677F4B" w:rsidRPr="00FE1CDD">
        <w:t>budget</w:t>
      </w:r>
      <w:r w:rsidR="000E0D8A" w:rsidRPr="00FE1CDD">
        <w:t>ed</w:t>
      </w:r>
      <w:r w:rsidR="00677F4B" w:rsidRPr="00FE1CDD">
        <w:t xml:space="preserve"> ongo</w:t>
      </w:r>
      <w:r w:rsidR="000F2632" w:rsidRPr="00FE1CDD">
        <w:t xml:space="preserve">ing projects such as the investment in </w:t>
      </w:r>
      <w:r w:rsidR="000E0D8A" w:rsidRPr="00FE1CDD">
        <w:t>the K</w:t>
      </w:r>
      <w:r w:rsidR="000F2632" w:rsidRPr="00FE1CDD">
        <w:t xml:space="preserve">nowledge </w:t>
      </w:r>
      <w:r w:rsidR="000E0D8A" w:rsidRPr="00FE1CDD">
        <w:t>P</w:t>
      </w:r>
      <w:r w:rsidR="000F2632" w:rsidRPr="00FE1CDD">
        <w:t>latform</w:t>
      </w:r>
      <w:r w:rsidR="00E540F1" w:rsidRPr="000B5C73">
        <w:t xml:space="preserve"> (Phase 1)</w:t>
      </w:r>
      <w:r w:rsidR="000F2632" w:rsidRPr="00FE1CDD">
        <w:t>. The</w:t>
      </w:r>
      <w:r w:rsidR="000F2632" w:rsidRPr="00240C46">
        <w:t xml:space="preserve"> </w:t>
      </w:r>
      <w:r w:rsidR="00160C92" w:rsidRPr="00240C46">
        <w:t xml:space="preserve">pay award for 2026/27 is confirmed at 3.3%, however this is an unfunded </w:t>
      </w:r>
      <w:r w:rsidR="000E342C" w:rsidRPr="00240C46">
        <w:t xml:space="preserve">cost </w:t>
      </w:r>
      <w:r w:rsidR="00160C92" w:rsidRPr="00240C46">
        <w:t>pressure.</w:t>
      </w:r>
      <w:r w:rsidR="00C5474F" w:rsidRPr="00240C46">
        <w:t xml:space="preserve"> Some savings have been identified to offset</w:t>
      </w:r>
      <w:r w:rsidR="00D05347" w:rsidRPr="00240C46">
        <w:t xml:space="preserve"> this</w:t>
      </w:r>
      <w:r w:rsidR="00C5474F" w:rsidRPr="00240C46">
        <w:t>, but further savings will need to be found during 2026/2</w:t>
      </w:r>
      <w:r w:rsidR="004913FC" w:rsidRPr="00240C46">
        <w:t xml:space="preserve">7 through a mixture of efficiencies, growing income and </w:t>
      </w:r>
      <w:r w:rsidRPr="00240C46">
        <w:t>setting aside budget from any slippage or vacancies arising in year.</w:t>
      </w:r>
    </w:p>
    <w:p w14:paraId="5C6018BE" w14:textId="37BB7C7E" w:rsidR="001C5AE0" w:rsidRPr="001C5AE0" w:rsidRDefault="00EB6ABE" w:rsidP="00605A89">
      <w:r w:rsidRPr="007E1DD3">
        <w:rPr>
          <w:b/>
          <w:bCs/>
        </w:rPr>
        <w:t xml:space="preserve">Capital </w:t>
      </w:r>
      <w:r w:rsidR="00FC1537" w:rsidRPr="007E1DD3">
        <w:rPr>
          <w:b/>
          <w:bCs/>
        </w:rPr>
        <w:t>f</w:t>
      </w:r>
      <w:r w:rsidR="006C2741" w:rsidRPr="007E1DD3">
        <w:rPr>
          <w:b/>
          <w:bCs/>
        </w:rPr>
        <w:t>unding</w:t>
      </w:r>
      <w:r w:rsidR="006C2741" w:rsidRPr="007E1DD3">
        <w:t xml:space="preserve"> </w:t>
      </w:r>
      <w:r w:rsidR="007E1DD3" w:rsidRPr="000B5C73">
        <w:t xml:space="preserve">will </w:t>
      </w:r>
      <w:r w:rsidR="006C2741" w:rsidRPr="007E1DD3">
        <w:t>remain at £1m, with funding set aside for soundproofing works in the Manchester office and IT Hardware (</w:t>
      </w:r>
      <w:r w:rsidR="00FC1537" w:rsidRPr="007E1DD3">
        <w:t>laptops and servers)</w:t>
      </w:r>
      <w:r w:rsidR="00D12F84" w:rsidRPr="007E1DD3">
        <w:t>.</w:t>
      </w:r>
    </w:p>
    <w:p w14:paraId="6E93F6C0" w14:textId="77777777" w:rsidR="001C5AE0" w:rsidRPr="003969FB" w:rsidRDefault="001C5AE0" w:rsidP="003969FB"/>
    <w:p w14:paraId="3AA74D5B" w14:textId="1BD35C96" w:rsidR="00617F05" w:rsidRPr="00972A89" w:rsidRDefault="00627D56" w:rsidP="004F53E3">
      <w:pPr>
        <w:pStyle w:val="Heading2"/>
      </w:pPr>
      <w:r w:rsidRPr="00972A89">
        <w:lastRenderedPageBreak/>
        <w:t xml:space="preserve">Revenue budget </w:t>
      </w:r>
      <w:r w:rsidR="003969FB" w:rsidRPr="00972A89">
        <w:t>table</w:t>
      </w:r>
    </w:p>
    <w:tbl>
      <w:tblPr>
        <w:tblStyle w:val="TableGrid"/>
        <w:tblW w:w="13776" w:type="dxa"/>
        <w:tblLook w:val="04A0" w:firstRow="1" w:lastRow="0" w:firstColumn="1" w:lastColumn="0" w:noHBand="0" w:noVBand="1"/>
      </w:tblPr>
      <w:tblGrid>
        <w:gridCol w:w="4531"/>
        <w:gridCol w:w="2552"/>
        <w:gridCol w:w="4678"/>
        <w:gridCol w:w="2015"/>
      </w:tblGrid>
      <w:tr w:rsidR="005D5250" w14:paraId="4272212A" w14:textId="4FD77000" w:rsidTr="00D25EBB">
        <w:trPr>
          <w:trHeight w:val="495"/>
          <w:tblHeader/>
        </w:trPr>
        <w:tc>
          <w:tcPr>
            <w:tcW w:w="4531" w:type="dxa"/>
            <w:shd w:val="clear" w:color="auto" w:fill="00436C" w:themeFill="accent2"/>
            <w:vAlign w:val="center"/>
          </w:tcPr>
          <w:p w14:paraId="6E56378A" w14:textId="2C3F6739" w:rsidR="005D5250" w:rsidRPr="006D4C09" w:rsidRDefault="005D5250" w:rsidP="005D5250">
            <w:pPr>
              <w:pStyle w:val="Paragraph"/>
              <w:spacing w:before="120" w:after="120" w:line="240" w:lineRule="auto"/>
              <w:rPr>
                <w:rFonts w:asciiTheme="minorHAnsi" w:hAnsiTheme="minorHAnsi"/>
                <w:b/>
                <w:bCs/>
                <w:color w:val="FFFFFF" w:themeColor="background1"/>
                <w:lang w:eastAsia="en-GB"/>
              </w:rPr>
            </w:pPr>
            <w:r w:rsidRPr="006D4C09">
              <w:rPr>
                <w:rFonts w:asciiTheme="minorHAnsi" w:hAnsiTheme="minorHAnsi"/>
                <w:b/>
                <w:bCs/>
                <w:color w:val="FFFFFF" w:themeColor="background1"/>
                <w:lang w:eastAsia="en-GB"/>
              </w:rPr>
              <w:t>2026/27 Sources of funds</w:t>
            </w:r>
          </w:p>
        </w:tc>
        <w:tc>
          <w:tcPr>
            <w:tcW w:w="2552" w:type="dxa"/>
            <w:shd w:val="clear" w:color="auto" w:fill="00436C" w:themeFill="accent2"/>
          </w:tcPr>
          <w:p w14:paraId="21ADCF1E" w14:textId="3742F6C0" w:rsidR="005D5250" w:rsidRPr="006D4C09" w:rsidRDefault="005D5250" w:rsidP="005D5250">
            <w:pPr>
              <w:pStyle w:val="Paragraph"/>
              <w:spacing w:before="120" w:after="120" w:line="240" w:lineRule="auto"/>
              <w:jc w:val="center"/>
              <w:rPr>
                <w:rFonts w:asciiTheme="minorHAnsi" w:hAnsiTheme="minorHAnsi"/>
                <w:b/>
                <w:bCs/>
                <w:color w:val="FFFFFF" w:themeColor="background1"/>
                <w:lang w:eastAsia="en-GB"/>
              </w:rPr>
            </w:pPr>
            <w:r w:rsidRPr="006D4C09">
              <w:rPr>
                <w:rFonts w:asciiTheme="minorHAnsi" w:hAnsiTheme="minorHAnsi"/>
                <w:b/>
                <w:bCs/>
                <w:color w:val="FFFFFF" w:themeColor="background1"/>
                <w:lang w:eastAsia="en-GB"/>
              </w:rPr>
              <w:t>Amount (£000s)</w:t>
            </w:r>
          </w:p>
        </w:tc>
        <w:tc>
          <w:tcPr>
            <w:tcW w:w="4678" w:type="dxa"/>
            <w:shd w:val="clear" w:color="auto" w:fill="00436C" w:themeFill="accent2"/>
            <w:vAlign w:val="center"/>
          </w:tcPr>
          <w:p w14:paraId="2D571FBC" w14:textId="6935205D" w:rsidR="005D5250" w:rsidRPr="006D4C09" w:rsidRDefault="005D5250" w:rsidP="00D25EBB">
            <w:pPr>
              <w:pStyle w:val="Paragraph"/>
              <w:spacing w:before="120" w:after="120" w:line="240" w:lineRule="auto"/>
              <w:rPr>
                <w:rFonts w:asciiTheme="minorHAnsi" w:hAnsiTheme="minorHAnsi"/>
                <w:b/>
                <w:bCs/>
                <w:color w:val="FFFFFF" w:themeColor="background1"/>
                <w:lang w:eastAsia="en-GB"/>
              </w:rPr>
            </w:pPr>
            <w:r w:rsidRPr="006D4C09">
              <w:rPr>
                <w:rFonts w:asciiTheme="minorHAnsi" w:hAnsiTheme="minorHAnsi"/>
                <w:b/>
                <w:bCs/>
                <w:color w:val="FFFFFF" w:themeColor="background1"/>
                <w:lang w:eastAsia="en-GB"/>
              </w:rPr>
              <w:t>2026/27 Application of funds</w:t>
            </w:r>
          </w:p>
        </w:tc>
        <w:tc>
          <w:tcPr>
            <w:tcW w:w="2015" w:type="dxa"/>
            <w:shd w:val="clear" w:color="auto" w:fill="00436C" w:themeFill="accent2"/>
          </w:tcPr>
          <w:p w14:paraId="16F09D53" w14:textId="2A67BFC8" w:rsidR="005D5250" w:rsidRPr="006D4C09" w:rsidRDefault="005D5250" w:rsidP="005D5250">
            <w:pPr>
              <w:pStyle w:val="Paragraph"/>
              <w:spacing w:before="120" w:after="120" w:line="240" w:lineRule="auto"/>
              <w:jc w:val="center"/>
              <w:rPr>
                <w:rFonts w:asciiTheme="minorHAnsi" w:hAnsiTheme="minorHAnsi"/>
                <w:b/>
                <w:bCs/>
                <w:color w:val="FFFFFF" w:themeColor="background1"/>
                <w:lang w:eastAsia="en-GB"/>
              </w:rPr>
            </w:pPr>
            <w:r w:rsidRPr="006D4C09">
              <w:rPr>
                <w:rFonts w:asciiTheme="minorHAnsi" w:hAnsiTheme="minorHAnsi"/>
                <w:b/>
                <w:bCs/>
                <w:color w:val="FFFFFF" w:themeColor="background1"/>
                <w:lang w:eastAsia="en-GB"/>
              </w:rPr>
              <w:t>Amount (£000s)</w:t>
            </w:r>
          </w:p>
        </w:tc>
      </w:tr>
      <w:tr w:rsidR="005D5250" w14:paraId="0E463BE6" w14:textId="3E465985" w:rsidTr="00D25EBB">
        <w:trPr>
          <w:trHeight w:val="561"/>
        </w:trPr>
        <w:tc>
          <w:tcPr>
            <w:tcW w:w="4531" w:type="dxa"/>
            <w:vAlign w:val="center"/>
          </w:tcPr>
          <w:p w14:paraId="3A76CAD1" w14:textId="2B4FC936" w:rsidR="005D5250" w:rsidRPr="00044FFF" w:rsidRDefault="005D5250" w:rsidP="005D5250">
            <w:pPr>
              <w:pStyle w:val="Paragraph"/>
              <w:spacing w:before="120" w:after="120" w:line="240" w:lineRule="auto"/>
              <w:rPr>
                <w:rFonts w:asciiTheme="minorHAnsi" w:hAnsiTheme="minorHAnsi"/>
                <w:lang w:eastAsia="en-GB"/>
              </w:rPr>
            </w:pPr>
            <w:r w:rsidRPr="00044FFF">
              <w:rPr>
                <w:rFonts w:asciiTheme="minorHAnsi" w:hAnsiTheme="minorHAnsi" w:cs="Arial"/>
                <w:color w:val="000000"/>
                <w:kern w:val="24"/>
              </w:rPr>
              <w:t>DHSC Funding (RDEL) – Baseline</w:t>
            </w:r>
          </w:p>
        </w:tc>
        <w:tc>
          <w:tcPr>
            <w:tcW w:w="2552" w:type="dxa"/>
            <w:vAlign w:val="center"/>
          </w:tcPr>
          <w:p w14:paraId="7A4F7470" w14:textId="1693AE93" w:rsidR="005D5250" w:rsidRPr="00044FFF" w:rsidRDefault="005D5250" w:rsidP="005D5250">
            <w:pPr>
              <w:pStyle w:val="Paragraph"/>
              <w:spacing w:before="120" w:after="120" w:line="240" w:lineRule="auto"/>
              <w:jc w:val="center"/>
              <w:rPr>
                <w:rFonts w:asciiTheme="minorHAnsi" w:hAnsiTheme="minorHAnsi"/>
                <w:lang w:eastAsia="en-GB"/>
              </w:rPr>
            </w:pPr>
            <w:r w:rsidRPr="00044FFF">
              <w:rPr>
                <w:rFonts w:asciiTheme="minorHAnsi" w:hAnsiTheme="minorHAnsi" w:cs="Arial"/>
                <w:color w:val="000000"/>
                <w:kern w:val="24"/>
              </w:rPr>
              <w:t>58,</w:t>
            </w:r>
            <w:r w:rsidR="00345401" w:rsidRPr="00044FFF">
              <w:rPr>
                <w:rFonts w:asciiTheme="minorHAnsi" w:hAnsiTheme="minorHAnsi" w:cs="Arial"/>
                <w:color w:val="000000"/>
                <w:kern w:val="24"/>
              </w:rPr>
              <w:t>834</w:t>
            </w:r>
          </w:p>
        </w:tc>
        <w:tc>
          <w:tcPr>
            <w:tcW w:w="4678" w:type="dxa"/>
            <w:vAlign w:val="center"/>
          </w:tcPr>
          <w:p w14:paraId="6D27BF1B" w14:textId="72751F45" w:rsidR="005D5250" w:rsidRPr="00044FFF" w:rsidRDefault="005D5250" w:rsidP="00D25EBB">
            <w:pPr>
              <w:pStyle w:val="Paragraph"/>
              <w:spacing w:before="120" w:after="120" w:line="240" w:lineRule="auto"/>
              <w:rPr>
                <w:rFonts w:asciiTheme="minorHAnsi" w:hAnsiTheme="minorHAnsi" w:cs="Arial"/>
                <w:color w:val="000000"/>
                <w:kern w:val="24"/>
              </w:rPr>
            </w:pPr>
            <w:r w:rsidRPr="00044FFF">
              <w:rPr>
                <w:rFonts w:asciiTheme="minorHAnsi" w:hAnsiTheme="minorHAnsi" w:cs="Arial"/>
                <w:color w:val="000000"/>
                <w:kern w:val="24"/>
              </w:rPr>
              <w:t>Pay costs</w:t>
            </w:r>
          </w:p>
        </w:tc>
        <w:tc>
          <w:tcPr>
            <w:tcW w:w="2015" w:type="dxa"/>
            <w:vAlign w:val="center"/>
          </w:tcPr>
          <w:p w14:paraId="2BE5142A" w14:textId="36104887" w:rsidR="005D5250" w:rsidRPr="00044FFF" w:rsidRDefault="001B705F" w:rsidP="005D5250">
            <w:pPr>
              <w:pStyle w:val="Paragraph"/>
              <w:spacing w:before="120" w:after="120" w:line="240" w:lineRule="auto"/>
              <w:jc w:val="center"/>
              <w:rPr>
                <w:rFonts w:asciiTheme="minorHAnsi" w:hAnsiTheme="minorHAnsi" w:cs="Arial"/>
                <w:color w:val="000000"/>
                <w:kern w:val="24"/>
              </w:rPr>
            </w:pPr>
            <w:r w:rsidRPr="00044FFF">
              <w:rPr>
                <w:rFonts w:asciiTheme="minorHAnsi" w:hAnsiTheme="minorHAnsi" w:cs="Arial"/>
                <w:color w:val="000000"/>
                <w:kern w:val="24"/>
              </w:rPr>
              <w:t>69,976</w:t>
            </w:r>
          </w:p>
        </w:tc>
      </w:tr>
      <w:tr w:rsidR="005D5250" w14:paraId="008F8909" w14:textId="0CA0750E" w:rsidTr="00D25EBB">
        <w:trPr>
          <w:trHeight w:val="561"/>
        </w:trPr>
        <w:tc>
          <w:tcPr>
            <w:tcW w:w="4531" w:type="dxa"/>
            <w:vAlign w:val="center"/>
          </w:tcPr>
          <w:p w14:paraId="368FFE86" w14:textId="6C75C497" w:rsidR="005D5250" w:rsidRPr="00044FFF" w:rsidRDefault="005D5250" w:rsidP="005D5250">
            <w:pPr>
              <w:pStyle w:val="Paragraph"/>
              <w:spacing w:before="120" w:after="120" w:line="240" w:lineRule="auto"/>
              <w:rPr>
                <w:rFonts w:asciiTheme="minorHAnsi" w:hAnsiTheme="minorHAnsi"/>
                <w:lang w:eastAsia="en-GB"/>
              </w:rPr>
            </w:pPr>
            <w:r w:rsidRPr="00044FFF">
              <w:rPr>
                <w:rFonts w:asciiTheme="minorHAnsi" w:hAnsiTheme="minorHAnsi" w:cs="Arial"/>
                <w:color w:val="000000"/>
                <w:kern w:val="24"/>
              </w:rPr>
              <w:t>DHSC Funding (RDEL) – VPAG facility</w:t>
            </w:r>
          </w:p>
        </w:tc>
        <w:tc>
          <w:tcPr>
            <w:tcW w:w="2552" w:type="dxa"/>
            <w:vAlign w:val="center"/>
          </w:tcPr>
          <w:p w14:paraId="4D243199" w14:textId="7D03BA3B" w:rsidR="005D5250" w:rsidRPr="00044FFF" w:rsidRDefault="005D5250" w:rsidP="005D5250">
            <w:pPr>
              <w:pStyle w:val="Paragraph"/>
              <w:spacing w:before="120" w:after="120" w:line="240" w:lineRule="auto"/>
              <w:jc w:val="center"/>
              <w:rPr>
                <w:rFonts w:asciiTheme="minorHAnsi" w:hAnsiTheme="minorHAnsi"/>
                <w:lang w:eastAsia="en-GB"/>
              </w:rPr>
            </w:pPr>
            <w:r w:rsidRPr="00044FFF">
              <w:rPr>
                <w:rFonts w:asciiTheme="minorHAnsi" w:hAnsiTheme="minorHAnsi" w:cs="Arial"/>
                <w:color w:val="000000"/>
                <w:kern w:val="24"/>
              </w:rPr>
              <w:t xml:space="preserve">4,050 </w:t>
            </w:r>
          </w:p>
        </w:tc>
        <w:tc>
          <w:tcPr>
            <w:tcW w:w="4678" w:type="dxa"/>
            <w:vAlign w:val="center"/>
          </w:tcPr>
          <w:p w14:paraId="7A42C43E" w14:textId="5DD037C8" w:rsidR="005D5250" w:rsidRPr="00044FFF" w:rsidRDefault="005D5250" w:rsidP="00D25EBB">
            <w:pPr>
              <w:pStyle w:val="Paragraph"/>
              <w:spacing w:before="120" w:after="120" w:line="240" w:lineRule="auto"/>
              <w:rPr>
                <w:rFonts w:asciiTheme="minorHAnsi" w:hAnsiTheme="minorHAnsi" w:cs="Arial"/>
                <w:color w:val="000000"/>
                <w:kern w:val="24"/>
              </w:rPr>
            </w:pPr>
            <w:r w:rsidRPr="00044FFF">
              <w:rPr>
                <w:rFonts w:asciiTheme="minorHAnsi" w:hAnsiTheme="minorHAnsi" w:cs="Arial"/>
                <w:color w:val="000000"/>
                <w:kern w:val="24"/>
              </w:rPr>
              <w:t>Non-pay costs</w:t>
            </w:r>
          </w:p>
        </w:tc>
        <w:tc>
          <w:tcPr>
            <w:tcW w:w="2015" w:type="dxa"/>
            <w:vAlign w:val="center"/>
          </w:tcPr>
          <w:p w14:paraId="02B74014" w14:textId="29BB2535" w:rsidR="005D5250" w:rsidRPr="00044FFF" w:rsidRDefault="000A5D82" w:rsidP="005D5250">
            <w:pPr>
              <w:pStyle w:val="Paragraph"/>
              <w:spacing w:before="120" w:after="120" w:line="240" w:lineRule="auto"/>
              <w:jc w:val="center"/>
              <w:rPr>
                <w:rFonts w:asciiTheme="minorHAnsi" w:hAnsiTheme="minorHAnsi" w:cs="Arial"/>
                <w:color w:val="000000"/>
                <w:kern w:val="24"/>
              </w:rPr>
            </w:pPr>
            <w:r w:rsidRPr="00044FFF">
              <w:rPr>
                <w:rFonts w:asciiTheme="minorHAnsi" w:hAnsiTheme="minorHAnsi" w:cs="Arial"/>
                <w:color w:val="000000"/>
                <w:kern w:val="24"/>
              </w:rPr>
              <w:t>2</w:t>
            </w:r>
            <w:r w:rsidR="00BA02A9" w:rsidRPr="00044FFF">
              <w:rPr>
                <w:rFonts w:asciiTheme="minorHAnsi" w:hAnsiTheme="minorHAnsi" w:cs="Arial"/>
                <w:color w:val="000000"/>
                <w:kern w:val="24"/>
              </w:rPr>
              <w:t>4,47</w:t>
            </w:r>
            <w:r w:rsidR="00364EB5" w:rsidRPr="00044FFF">
              <w:rPr>
                <w:rFonts w:asciiTheme="minorHAnsi" w:hAnsiTheme="minorHAnsi" w:cs="Arial"/>
                <w:color w:val="000000"/>
                <w:kern w:val="24"/>
              </w:rPr>
              <w:t>9</w:t>
            </w:r>
          </w:p>
        </w:tc>
      </w:tr>
      <w:tr w:rsidR="005D5250" w14:paraId="4330718A" w14:textId="7461F1EA" w:rsidTr="00D25EBB">
        <w:trPr>
          <w:trHeight w:val="561"/>
        </w:trPr>
        <w:tc>
          <w:tcPr>
            <w:tcW w:w="4531" w:type="dxa"/>
            <w:vAlign w:val="center"/>
          </w:tcPr>
          <w:p w14:paraId="74A3EE63" w14:textId="789AB93C" w:rsidR="005D5250" w:rsidRPr="00044FFF" w:rsidRDefault="005D5250" w:rsidP="005D5250">
            <w:pPr>
              <w:pStyle w:val="Paragraph"/>
              <w:spacing w:before="120" w:after="120" w:line="240" w:lineRule="auto"/>
              <w:rPr>
                <w:rFonts w:asciiTheme="minorHAnsi" w:hAnsiTheme="minorHAnsi"/>
                <w:lang w:eastAsia="en-GB"/>
              </w:rPr>
            </w:pPr>
            <w:r w:rsidRPr="00044FFF">
              <w:rPr>
                <w:rFonts w:asciiTheme="minorHAnsi" w:hAnsiTheme="minorHAnsi" w:cs="Arial"/>
                <w:color w:val="000000"/>
                <w:kern w:val="24"/>
              </w:rPr>
              <w:t>Ring-fenced RDEL funding for depreciation</w:t>
            </w:r>
          </w:p>
        </w:tc>
        <w:tc>
          <w:tcPr>
            <w:tcW w:w="2552" w:type="dxa"/>
            <w:vAlign w:val="center"/>
          </w:tcPr>
          <w:p w14:paraId="4FFD4AEE" w14:textId="0D7D7EDF" w:rsidR="005D5250" w:rsidRPr="00044FFF" w:rsidRDefault="00FE1CDD" w:rsidP="005D5250">
            <w:pPr>
              <w:pStyle w:val="Paragraph"/>
              <w:spacing w:before="120" w:after="120" w:line="240" w:lineRule="auto"/>
              <w:jc w:val="center"/>
              <w:rPr>
                <w:rFonts w:asciiTheme="minorHAnsi" w:hAnsiTheme="minorHAnsi"/>
                <w:lang w:eastAsia="en-GB"/>
              </w:rPr>
            </w:pPr>
            <w:r w:rsidRPr="00044FFF">
              <w:rPr>
                <w:rFonts w:asciiTheme="minorHAnsi" w:hAnsiTheme="minorHAnsi" w:cs="Arial"/>
                <w:color w:val="000000"/>
                <w:kern w:val="24"/>
              </w:rPr>
              <w:t>2</w:t>
            </w:r>
            <w:r w:rsidR="005D5250" w:rsidRPr="00044FFF">
              <w:rPr>
                <w:rFonts w:asciiTheme="minorHAnsi" w:hAnsiTheme="minorHAnsi" w:cs="Arial"/>
                <w:color w:val="000000"/>
                <w:kern w:val="24"/>
              </w:rPr>
              <w:t>,</w:t>
            </w:r>
            <w:r w:rsidRPr="00044FFF">
              <w:rPr>
                <w:rFonts w:asciiTheme="minorHAnsi" w:hAnsiTheme="minorHAnsi" w:cs="Arial"/>
                <w:color w:val="000000"/>
                <w:kern w:val="24"/>
              </w:rPr>
              <w:t>000</w:t>
            </w:r>
          </w:p>
        </w:tc>
        <w:tc>
          <w:tcPr>
            <w:tcW w:w="4678" w:type="dxa"/>
            <w:vAlign w:val="center"/>
          </w:tcPr>
          <w:p w14:paraId="331E87A9" w14:textId="7F662C6E" w:rsidR="005D5250" w:rsidRPr="00044FFF" w:rsidRDefault="005D5250" w:rsidP="00D25EBB">
            <w:pPr>
              <w:pStyle w:val="Paragraph"/>
              <w:spacing w:before="120" w:after="120" w:line="240" w:lineRule="auto"/>
              <w:rPr>
                <w:rFonts w:asciiTheme="minorHAnsi" w:hAnsiTheme="minorHAnsi" w:cs="Arial"/>
                <w:color w:val="000000"/>
                <w:kern w:val="24"/>
              </w:rPr>
            </w:pPr>
            <w:r w:rsidRPr="00044FFF">
              <w:rPr>
                <w:rFonts w:asciiTheme="minorHAnsi" w:hAnsiTheme="minorHAnsi" w:cs="Arial"/>
                <w:color w:val="000000"/>
                <w:kern w:val="24"/>
              </w:rPr>
              <w:t>Ring-fenced costs (Depreciation)</w:t>
            </w:r>
          </w:p>
        </w:tc>
        <w:tc>
          <w:tcPr>
            <w:tcW w:w="2015" w:type="dxa"/>
            <w:vAlign w:val="center"/>
          </w:tcPr>
          <w:p w14:paraId="6C8A9B36" w14:textId="2278FBF1" w:rsidR="005D5250" w:rsidRPr="00044FFF" w:rsidRDefault="00FE1CDD" w:rsidP="005D5250">
            <w:pPr>
              <w:pStyle w:val="Paragraph"/>
              <w:spacing w:before="120" w:after="120" w:line="240" w:lineRule="auto"/>
              <w:jc w:val="center"/>
              <w:rPr>
                <w:rFonts w:asciiTheme="minorHAnsi" w:hAnsiTheme="minorHAnsi" w:cs="Arial"/>
                <w:color w:val="000000"/>
                <w:kern w:val="24"/>
              </w:rPr>
            </w:pPr>
            <w:r w:rsidRPr="00044FFF">
              <w:rPr>
                <w:rFonts w:asciiTheme="minorHAnsi" w:hAnsiTheme="minorHAnsi" w:cs="Arial"/>
                <w:color w:val="000000"/>
                <w:kern w:val="24"/>
              </w:rPr>
              <w:t>2,000</w:t>
            </w:r>
          </w:p>
        </w:tc>
      </w:tr>
      <w:tr w:rsidR="005D5250" w14:paraId="1D8C6A42" w14:textId="195B444F" w:rsidTr="00D25EBB">
        <w:trPr>
          <w:trHeight w:val="561"/>
        </w:trPr>
        <w:tc>
          <w:tcPr>
            <w:tcW w:w="4531" w:type="dxa"/>
            <w:vAlign w:val="center"/>
          </w:tcPr>
          <w:p w14:paraId="52396185" w14:textId="71F0BCC0" w:rsidR="005D5250" w:rsidRPr="00044FFF" w:rsidRDefault="005D5250" w:rsidP="005D5250">
            <w:pPr>
              <w:pStyle w:val="Paragraph"/>
              <w:spacing w:before="120" w:after="120" w:line="240" w:lineRule="auto"/>
              <w:rPr>
                <w:rFonts w:asciiTheme="minorHAnsi" w:hAnsiTheme="minorHAnsi"/>
                <w:lang w:eastAsia="en-GB"/>
              </w:rPr>
            </w:pPr>
            <w:r w:rsidRPr="00044FFF">
              <w:rPr>
                <w:rFonts w:asciiTheme="minorHAnsi" w:hAnsiTheme="minorHAnsi" w:cs="Arial"/>
                <w:color w:val="000000"/>
                <w:kern w:val="24"/>
              </w:rPr>
              <w:t>Funding for Whole Lifecycle Approach</w:t>
            </w:r>
          </w:p>
        </w:tc>
        <w:tc>
          <w:tcPr>
            <w:tcW w:w="2552" w:type="dxa"/>
            <w:vAlign w:val="center"/>
          </w:tcPr>
          <w:p w14:paraId="7E5EFFE8" w14:textId="2196AD86" w:rsidR="005D5250" w:rsidRPr="00044FFF" w:rsidRDefault="005D5250" w:rsidP="005D5250">
            <w:pPr>
              <w:pStyle w:val="Paragraph"/>
              <w:spacing w:before="120" w:after="120" w:line="240" w:lineRule="auto"/>
              <w:jc w:val="center"/>
              <w:rPr>
                <w:rFonts w:asciiTheme="minorHAnsi" w:hAnsiTheme="minorHAnsi"/>
                <w:lang w:eastAsia="en-GB"/>
              </w:rPr>
            </w:pPr>
            <w:r w:rsidRPr="00044FFF">
              <w:rPr>
                <w:rFonts w:asciiTheme="minorHAnsi" w:hAnsiTheme="minorHAnsi" w:cs="Arial"/>
                <w:color w:val="000000"/>
                <w:kern w:val="24"/>
              </w:rPr>
              <w:t>1,118</w:t>
            </w:r>
          </w:p>
        </w:tc>
        <w:tc>
          <w:tcPr>
            <w:tcW w:w="4678" w:type="dxa"/>
          </w:tcPr>
          <w:p w14:paraId="59CAF0A4" w14:textId="1666189B" w:rsidR="005D5250" w:rsidRPr="00044FFF" w:rsidRDefault="00412D80" w:rsidP="00D25EBB">
            <w:pPr>
              <w:pStyle w:val="Paragraph"/>
              <w:spacing w:before="120" w:after="120" w:line="240" w:lineRule="auto"/>
              <w:rPr>
                <w:rFonts w:asciiTheme="minorHAnsi" w:hAnsiTheme="minorHAnsi" w:cs="Arial"/>
                <w:color w:val="000000"/>
                <w:kern w:val="24"/>
              </w:rPr>
            </w:pPr>
            <w:r w:rsidRPr="00044FFF">
              <w:rPr>
                <w:rFonts w:asciiTheme="minorHAnsi" w:hAnsiTheme="minorHAnsi" w:cs="Arial"/>
                <w:color w:val="000000"/>
                <w:kern w:val="24"/>
              </w:rPr>
              <w:t>In-year savings requirement</w:t>
            </w:r>
            <w:r w:rsidR="00EB6ABE" w:rsidRPr="00044FFF">
              <w:rPr>
                <w:rFonts w:asciiTheme="minorHAnsi" w:hAnsiTheme="minorHAnsi" w:cs="Arial"/>
                <w:color w:val="000000"/>
                <w:kern w:val="24"/>
              </w:rPr>
              <w:t xml:space="preserve"> (1.</w:t>
            </w:r>
            <w:r w:rsidR="00DD1CBB" w:rsidRPr="00044FFF">
              <w:rPr>
                <w:rFonts w:asciiTheme="minorHAnsi" w:hAnsiTheme="minorHAnsi" w:cs="Arial"/>
                <w:color w:val="000000"/>
                <w:kern w:val="24"/>
              </w:rPr>
              <w:t>9</w:t>
            </w:r>
            <w:r w:rsidR="00EB6ABE" w:rsidRPr="00044FFF">
              <w:rPr>
                <w:rFonts w:asciiTheme="minorHAnsi" w:hAnsiTheme="minorHAnsi" w:cs="Arial"/>
                <w:color w:val="000000"/>
                <w:kern w:val="24"/>
              </w:rPr>
              <w:t>%)</w:t>
            </w:r>
          </w:p>
        </w:tc>
        <w:tc>
          <w:tcPr>
            <w:tcW w:w="2015" w:type="dxa"/>
          </w:tcPr>
          <w:p w14:paraId="5D58461E" w14:textId="65CAB3CB" w:rsidR="005D5250" w:rsidRPr="00044FFF" w:rsidRDefault="00412D80" w:rsidP="005D5250">
            <w:pPr>
              <w:pStyle w:val="Paragraph"/>
              <w:spacing w:before="120" w:after="120" w:line="240" w:lineRule="auto"/>
              <w:jc w:val="center"/>
              <w:rPr>
                <w:rFonts w:asciiTheme="minorHAnsi" w:hAnsiTheme="minorHAnsi" w:cs="Arial"/>
                <w:color w:val="000000"/>
                <w:kern w:val="24"/>
              </w:rPr>
            </w:pPr>
            <w:r w:rsidRPr="00044FFF">
              <w:rPr>
                <w:rFonts w:asciiTheme="minorHAnsi" w:hAnsiTheme="minorHAnsi" w:cs="Arial"/>
                <w:color w:val="000000"/>
                <w:kern w:val="24"/>
              </w:rPr>
              <w:t>(1,</w:t>
            </w:r>
            <w:r w:rsidR="00D021AE" w:rsidRPr="00044FFF">
              <w:rPr>
                <w:rFonts w:asciiTheme="minorHAnsi" w:hAnsiTheme="minorHAnsi" w:cs="Arial"/>
                <w:color w:val="000000"/>
                <w:kern w:val="24"/>
              </w:rPr>
              <w:t>75</w:t>
            </w:r>
            <w:r w:rsidR="00364EB5" w:rsidRPr="00044FFF">
              <w:rPr>
                <w:rFonts w:asciiTheme="minorHAnsi" w:hAnsiTheme="minorHAnsi" w:cs="Arial"/>
                <w:color w:val="000000"/>
                <w:kern w:val="24"/>
              </w:rPr>
              <w:t>3</w:t>
            </w:r>
            <w:r w:rsidRPr="00044FFF">
              <w:rPr>
                <w:rFonts w:asciiTheme="minorHAnsi" w:hAnsiTheme="minorHAnsi" w:cs="Arial"/>
                <w:color w:val="000000"/>
                <w:kern w:val="24"/>
              </w:rPr>
              <w:t>)</w:t>
            </w:r>
          </w:p>
        </w:tc>
      </w:tr>
      <w:tr w:rsidR="005D5250" w14:paraId="1D667E58" w14:textId="5229CFF9" w:rsidTr="00D25EBB">
        <w:trPr>
          <w:trHeight w:val="561"/>
        </w:trPr>
        <w:tc>
          <w:tcPr>
            <w:tcW w:w="4531" w:type="dxa"/>
            <w:vAlign w:val="center"/>
          </w:tcPr>
          <w:p w14:paraId="2FFFB887" w14:textId="547CCEF5" w:rsidR="005D5250" w:rsidRPr="00044FFF" w:rsidRDefault="005D5250" w:rsidP="005D5250">
            <w:pPr>
              <w:pStyle w:val="Paragraph"/>
              <w:spacing w:before="120" w:after="120" w:line="240" w:lineRule="auto"/>
              <w:rPr>
                <w:rFonts w:asciiTheme="minorHAnsi" w:hAnsiTheme="minorHAnsi"/>
                <w:lang w:eastAsia="en-GB"/>
              </w:rPr>
            </w:pPr>
            <w:r w:rsidRPr="00044FFF">
              <w:rPr>
                <w:rFonts w:asciiTheme="minorHAnsi" w:hAnsiTheme="minorHAnsi" w:cs="Arial"/>
                <w:color w:val="000000"/>
                <w:kern w:val="24"/>
              </w:rPr>
              <w:t>TA/HST cost recovery</w:t>
            </w:r>
          </w:p>
        </w:tc>
        <w:tc>
          <w:tcPr>
            <w:tcW w:w="2552" w:type="dxa"/>
            <w:vAlign w:val="center"/>
          </w:tcPr>
          <w:p w14:paraId="0056CF97" w14:textId="531C69D7" w:rsidR="005D5250" w:rsidRPr="00044FFF" w:rsidRDefault="005D5250" w:rsidP="005D5250">
            <w:pPr>
              <w:pStyle w:val="Paragraph"/>
              <w:spacing w:before="120" w:after="120" w:line="240" w:lineRule="auto"/>
              <w:jc w:val="center"/>
              <w:rPr>
                <w:rFonts w:asciiTheme="minorHAnsi" w:hAnsiTheme="minorHAnsi"/>
                <w:lang w:eastAsia="en-GB"/>
              </w:rPr>
            </w:pPr>
            <w:r w:rsidRPr="00044FFF">
              <w:rPr>
                <w:rFonts w:asciiTheme="minorHAnsi" w:hAnsiTheme="minorHAnsi" w:cs="Arial"/>
                <w:color w:val="000000"/>
                <w:kern w:val="24"/>
              </w:rPr>
              <w:t>14,000</w:t>
            </w:r>
          </w:p>
        </w:tc>
        <w:tc>
          <w:tcPr>
            <w:tcW w:w="4678" w:type="dxa"/>
            <w:vAlign w:val="center"/>
          </w:tcPr>
          <w:p w14:paraId="688F583D" w14:textId="1BCFEEE0" w:rsidR="005D5250" w:rsidRPr="00044FFF" w:rsidRDefault="005D5250" w:rsidP="00D25EBB">
            <w:pPr>
              <w:pStyle w:val="Paragraph"/>
              <w:spacing w:before="120" w:after="120" w:line="240" w:lineRule="auto"/>
              <w:rPr>
                <w:rFonts w:asciiTheme="minorHAnsi" w:hAnsiTheme="minorHAnsi" w:cs="Arial"/>
                <w:color w:val="000000"/>
                <w:kern w:val="24"/>
              </w:rPr>
            </w:pPr>
          </w:p>
        </w:tc>
        <w:tc>
          <w:tcPr>
            <w:tcW w:w="2015" w:type="dxa"/>
            <w:vAlign w:val="center"/>
          </w:tcPr>
          <w:p w14:paraId="291C598D" w14:textId="53D1344A" w:rsidR="005D5250" w:rsidRPr="00044FFF" w:rsidRDefault="005D5250" w:rsidP="005D5250">
            <w:pPr>
              <w:pStyle w:val="Paragraph"/>
              <w:spacing w:before="120" w:after="120" w:line="240" w:lineRule="auto"/>
              <w:jc w:val="center"/>
              <w:rPr>
                <w:rFonts w:asciiTheme="minorHAnsi" w:hAnsiTheme="minorHAnsi" w:cs="Arial"/>
                <w:color w:val="000000"/>
                <w:kern w:val="24"/>
              </w:rPr>
            </w:pPr>
          </w:p>
        </w:tc>
      </w:tr>
      <w:tr w:rsidR="005D5250" w14:paraId="7CC85548" w14:textId="1D5AC3F3" w:rsidTr="00D25EBB">
        <w:trPr>
          <w:trHeight w:val="561"/>
        </w:trPr>
        <w:tc>
          <w:tcPr>
            <w:tcW w:w="4531" w:type="dxa"/>
            <w:vAlign w:val="center"/>
          </w:tcPr>
          <w:p w14:paraId="0059971A" w14:textId="041538F9" w:rsidR="005D5250" w:rsidRPr="00044FFF" w:rsidRDefault="005D5250" w:rsidP="005D5250">
            <w:pPr>
              <w:pStyle w:val="Paragraph"/>
              <w:spacing w:before="120" w:after="120" w:line="240" w:lineRule="auto"/>
              <w:rPr>
                <w:rFonts w:asciiTheme="minorHAnsi" w:hAnsiTheme="minorHAnsi"/>
                <w:lang w:eastAsia="en-GB"/>
              </w:rPr>
            </w:pPr>
            <w:r w:rsidRPr="00044FFF">
              <w:rPr>
                <w:rFonts w:asciiTheme="minorHAnsi" w:hAnsiTheme="minorHAnsi" w:cs="Arial"/>
                <w:color w:val="000000"/>
                <w:kern w:val="24"/>
              </w:rPr>
              <w:t>NICE Advice</w:t>
            </w:r>
          </w:p>
        </w:tc>
        <w:tc>
          <w:tcPr>
            <w:tcW w:w="2552" w:type="dxa"/>
            <w:vAlign w:val="center"/>
          </w:tcPr>
          <w:p w14:paraId="0806827B" w14:textId="2C606982" w:rsidR="005D5250" w:rsidRPr="00044FFF" w:rsidRDefault="005D5250" w:rsidP="005D5250">
            <w:pPr>
              <w:pStyle w:val="Paragraph"/>
              <w:spacing w:before="120" w:after="120" w:line="240" w:lineRule="auto"/>
              <w:jc w:val="center"/>
              <w:rPr>
                <w:rFonts w:asciiTheme="minorHAnsi" w:hAnsiTheme="minorHAnsi"/>
                <w:lang w:eastAsia="en-GB"/>
              </w:rPr>
            </w:pPr>
            <w:r w:rsidRPr="00044FFF">
              <w:rPr>
                <w:rFonts w:asciiTheme="minorHAnsi" w:hAnsiTheme="minorHAnsi" w:cs="Arial"/>
                <w:color w:val="000000"/>
                <w:kern w:val="24"/>
              </w:rPr>
              <w:t>4,6</w:t>
            </w:r>
            <w:r w:rsidR="00A3459B" w:rsidRPr="00044FFF">
              <w:rPr>
                <w:rFonts w:asciiTheme="minorHAnsi" w:hAnsiTheme="minorHAnsi" w:cs="Arial"/>
                <w:color w:val="000000"/>
                <w:kern w:val="24"/>
              </w:rPr>
              <w:t>37</w:t>
            </w:r>
          </w:p>
        </w:tc>
        <w:tc>
          <w:tcPr>
            <w:tcW w:w="4678" w:type="dxa"/>
          </w:tcPr>
          <w:p w14:paraId="2DF8C4CA" w14:textId="77777777" w:rsidR="005D5250" w:rsidRPr="00044FFF" w:rsidRDefault="005D5250" w:rsidP="00D25EBB">
            <w:pPr>
              <w:pStyle w:val="Paragraph"/>
              <w:spacing w:before="120" w:after="120" w:line="240" w:lineRule="auto"/>
              <w:rPr>
                <w:rFonts w:asciiTheme="minorHAnsi" w:hAnsiTheme="minorHAnsi" w:cs="Arial"/>
                <w:color w:val="000000"/>
                <w:kern w:val="24"/>
              </w:rPr>
            </w:pPr>
          </w:p>
        </w:tc>
        <w:tc>
          <w:tcPr>
            <w:tcW w:w="2015" w:type="dxa"/>
          </w:tcPr>
          <w:p w14:paraId="3E1BFD4C" w14:textId="77777777" w:rsidR="005D5250" w:rsidRPr="00044FFF" w:rsidRDefault="005D5250" w:rsidP="005D5250">
            <w:pPr>
              <w:pStyle w:val="Paragraph"/>
              <w:spacing w:before="120" w:after="120" w:line="240" w:lineRule="auto"/>
              <w:jc w:val="center"/>
              <w:rPr>
                <w:rFonts w:asciiTheme="minorHAnsi" w:hAnsiTheme="minorHAnsi" w:cs="Arial"/>
                <w:color w:val="000000"/>
                <w:kern w:val="24"/>
              </w:rPr>
            </w:pPr>
          </w:p>
        </w:tc>
      </w:tr>
      <w:tr w:rsidR="005D5250" w14:paraId="6E440A64" w14:textId="22FE827D" w:rsidTr="00D25EBB">
        <w:trPr>
          <w:trHeight w:val="561"/>
        </w:trPr>
        <w:tc>
          <w:tcPr>
            <w:tcW w:w="4531" w:type="dxa"/>
            <w:vAlign w:val="center"/>
          </w:tcPr>
          <w:p w14:paraId="214E98B3" w14:textId="0E0885EF" w:rsidR="005D5250" w:rsidRPr="00044FFF" w:rsidRDefault="005D5250" w:rsidP="005D5250">
            <w:pPr>
              <w:pStyle w:val="Paragraph"/>
              <w:spacing w:before="120" w:after="120" w:line="240" w:lineRule="auto"/>
              <w:rPr>
                <w:rFonts w:asciiTheme="minorHAnsi" w:hAnsiTheme="minorHAnsi"/>
                <w:lang w:eastAsia="en-GB"/>
              </w:rPr>
            </w:pPr>
            <w:r w:rsidRPr="00044FFF">
              <w:rPr>
                <w:rFonts w:asciiTheme="minorHAnsi" w:hAnsiTheme="minorHAnsi" w:cs="Arial"/>
                <w:color w:val="000000"/>
                <w:kern w:val="24"/>
              </w:rPr>
              <w:t>Other income</w:t>
            </w:r>
          </w:p>
        </w:tc>
        <w:tc>
          <w:tcPr>
            <w:tcW w:w="2552" w:type="dxa"/>
            <w:vAlign w:val="center"/>
          </w:tcPr>
          <w:p w14:paraId="5F44D248" w14:textId="09BC763F" w:rsidR="005D5250" w:rsidRPr="00044FFF" w:rsidRDefault="00F357A8" w:rsidP="005D5250">
            <w:pPr>
              <w:pStyle w:val="Paragraph"/>
              <w:spacing w:before="120" w:after="120" w:line="240" w:lineRule="auto"/>
              <w:jc w:val="center"/>
              <w:rPr>
                <w:rFonts w:asciiTheme="minorHAnsi" w:hAnsiTheme="minorHAnsi"/>
                <w:lang w:eastAsia="en-GB"/>
              </w:rPr>
            </w:pPr>
            <w:r w:rsidRPr="00044FFF">
              <w:rPr>
                <w:rFonts w:asciiTheme="minorHAnsi" w:hAnsiTheme="minorHAnsi" w:cs="Arial"/>
                <w:color w:val="000000"/>
                <w:kern w:val="24"/>
              </w:rPr>
              <w:t>10,063</w:t>
            </w:r>
          </w:p>
        </w:tc>
        <w:tc>
          <w:tcPr>
            <w:tcW w:w="4678" w:type="dxa"/>
          </w:tcPr>
          <w:p w14:paraId="1C913C08" w14:textId="77777777" w:rsidR="005D5250" w:rsidRPr="00044FFF" w:rsidRDefault="005D5250" w:rsidP="00D25EBB">
            <w:pPr>
              <w:pStyle w:val="Paragraph"/>
              <w:spacing w:before="120" w:after="120" w:line="240" w:lineRule="auto"/>
              <w:rPr>
                <w:rFonts w:asciiTheme="minorHAnsi" w:hAnsiTheme="minorHAnsi" w:cs="Arial"/>
                <w:color w:val="000000"/>
                <w:kern w:val="24"/>
              </w:rPr>
            </w:pPr>
          </w:p>
        </w:tc>
        <w:tc>
          <w:tcPr>
            <w:tcW w:w="2015" w:type="dxa"/>
          </w:tcPr>
          <w:p w14:paraId="18E0AF55" w14:textId="77777777" w:rsidR="005D5250" w:rsidRPr="00044FFF" w:rsidRDefault="005D5250" w:rsidP="005D5250">
            <w:pPr>
              <w:pStyle w:val="Paragraph"/>
              <w:spacing w:before="120" w:after="120" w:line="240" w:lineRule="auto"/>
              <w:jc w:val="center"/>
              <w:rPr>
                <w:rFonts w:asciiTheme="minorHAnsi" w:hAnsiTheme="minorHAnsi" w:cs="Arial"/>
                <w:color w:val="000000"/>
                <w:kern w:val="24"/>
              </w:rPr>
            </w:pPr>
          </w:p>
        </w:tc>
      </w:tr>
      <w:tr w:rsidR="005D5250" w14:paraId="0E9AB64E" w14:textId="493DD18C" w:rsidTr="00D25EBB">
        <w:trPr>
          <w:trHeight w:val="561"/>
        </w:trPr>
        <w:tc>
          <w:tcPr>
            <w:tcW w:w="4531" w:type="dxa"/>
            <w:vAlign w:val="center"/>
          </w:tcPr>
          <w:p w14:paraId="434F904B" w14:textId="38F83F3B" w:rsidR="005D5250" w:rsidRPr="00D85256" w:rsidRDefault="005D5250" w:rsidP="005D5250">
            <w:pPr>
              <w:pStyle w:val="Paragraph"/>
              <w:spacing w:before="120" w:after="120" w:line="240" w:lineRule="auto"/>
              <w:rPr>
                <w:rFonts w:asciiTheme="minorHAnsi" w:hAnsiTheme="minorHAnsi"/>
                <w:lang w:eastAsia="en-GB"/>
              </w:rPr>
            </w:pPr>
            <w:r w:rsidRPr="00D85256">
              <w:rPr>
                <w:rFonts w:asciiTheme="minorHAnsi" w:eastAsia="Inter SemiBold" w:hAnsiTheme="minorHAnsi" w:cs="Arial"/>
                <w:b/>
                <w:color w:val="000000"/>
                <w:kern w:val="24"/>
              </w:rPr>
              <w:t>Total sources of funding</w:t>
            </w:r>
          </w:p>
        </w:tc>
        <w:tc>
          <w:tcPr>
            <w:tcW w:w="2552" w:type="dxa"/>
            <w:vAlign w:val="center"/>
          </w:tcPr>
          <w:p w14:paraId="5E5F71B9" w14:textId="1096D8CD" w:rsidR="005D5250" w:rsidRPr="00D85256" w:rsidRDefault="00AC11BD" w:rsidP="005D5250">
            <w:pPr>
              <w:pStyle w:val="Paragraph"/>
              <w:spacing w:before="120" w:after="120" w:line="240" w:lineRule="auto"/>
              <w:jc w:val="center"/>
              <w:rPr>
                <w:rFonts w:asciiTheme="minorHAnsi" w:hAnsiTheme="minorHAnsi"/>
                <w:lang w:eastAsia="en-GB"/>
              </w:rPr>
            </w:pPr>
            <w:r w:rsidRPr="00D85256">
              <w:rPr>
                <w:rFonts w:asciiTheme="minorHAnsi" w:eastAsia="Inter SemiBold" w:hAnsiTheme="minorHAnsi" w:cs="Arial"/>
                <w:b/>
                <w:color w:val="000000"/>
                <w:kern w:val="24"/>
              </w:rPr>
              <w:t>94,702</w:t>
            </w:r>
          </w:p>
        </w:tc>
        <w:tc>
          <w:tcPr>
            <w:tcW w:w="4678" w:type="dxa"/>
          </w:tcPr>
          <w:p w14:paraId="18F249EE" w14:textId="28AEDC9B" w:rsidR="005D5250" w:rsidRPr="00D85256" w:rsidRDefault="00627D56" w:rsidP="00D25EBB">
            <w:pPr>
              <w:pStyle w:val="Paragraph"/>
              <w:spacing w:before="120" w:after="120" w:line="240" w:lineRule="auto"/>
              <w:rPr>
                <w:rFonts w:asciiTheme="minorHAnsi" w:eastAsia="Inter SemiBold" w:hAnsiTheme="minorHAnsi" w:cs="Arial"/>
                <w:b/>
                <w:color w:val="000000"/>
                <w:kern w:val="24"/>
              </w:rPr>
            </w:pPr>
            <w:r w:rsidRPr="00D85256">
              <w:rPr>
                <w:rFonts w:asciiTheme="minorHAnsi" w:eastAsia="Inter SemiBold" w:hAnsiTheme="minorHAnsi" w:cs="Arial"/>
                <w:b/>
                <w:color w:val="000000"/>
                <w:kern w:val="24"/>
              </w:rPr>
              <w:t>Total application of funds</w:t>
            </w:r>
          </w:p>
        </w:tc>
        <w:tc>
          <w:tcPr>
            <w:tcW w:w="2015" w:type="dxa"/>
          </w:tcPr>
          <w:p w14:paraId="639CBEA0" w14:textId="0607EB98" w:rsidR="005D5250" w:rsidRPr="00D85256" w:rsidRDefault="00412D80" w:rsidP="005D5250">
            <w:pPr>
              <w:pStyle w:val="Paragraph"/>
              <w:spacing w:before="120" w:after="120" w:line="240" w:lineRule="auto"/>
              <w:jc w:val="center"/>
              <w:rPr>
                <w:rFonts w:asciiTheme="minorHAnsi" w:eastAsia="Inter SemiBold" w:hAnsiTheme="minorHAnsi" w:cs="Arial"/>
                <w:b/>
                <w:color w:val="000000"/>
                <w:kern w:val="24"/>
              </w:rPr>
            </w:pPr>
            <w:r w:rsidRPr="00D85256">
              <w:rPr>
                <w:rFonts w:asciiTheme="minorHAnsi" w:eastAsia="Inter SemiBold" w:hAnsiTheme="minorHAnsi" w:cs="Arial"/>
                <w:b/>
                <w:color w:val="000000"/>
                <w:kern w:val="24"/>
              </w:rPr>
              <w:t>9</w:t>
            </w:r>
            <w:r w:rsidR="000D3E0E" w:rsidRPr="00D85256">
              <w:rPr>
                <w:rFonts w:asciiTheme="minorHAnsi" w:eastAsia="Inter SemiBold" w:hAnsiTheme="minorHAnsi" w:cs="Arial"/>
                <w:b/>
                <w:color w:val="000000"/>
                <w:kern w:val="24"/>
              </w:rPr>
              <w:t>4,</w:t>
            </w:r>
            <w:r w:rsidR="00B46DB4" w:rsidRPr="00D85256">
              <w:rPr>
                <w:rFonts w:asciiTheme="minorHAnsi" w:eastAsia="Inter SemiBold" w:hAnsiTheme="minorHAnsi" w:cs="Arial"/>
                <w:b/>
                <w:color w:val="000000"/>
                <w:kern w:val="24"/>
              </w:rPr>
              <w:t>702</w:t>
            </w:r>
          </w:p>
        </w:tc>
      </w:tr>
    </w:tbl>
    <w:p w14:paraId="71A93401" w14:textId="557307D5" w:rsidR="003969FB" w:rsidRPr="00870CC2" w:rsidRDefault="003969FB" w:rsidP="00B50160"/>
    <w:sectPr w:rsidR="003969FB" w:rsidRPr="00870CC2" w:rsidSect="00B87C94">
      <w:footerReference w:type="default" r:id="rId7"/>
      <w:headerReference w:type="first" r:id="rId8"/>
      <w:footerReference w:type="first" r:id="rId9"/>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DF11" w14:textId="77777777" w:rsidR="005A3735" w:rsidRDefault="005A3735" w:rsidP="00446BEE">
      <w:r>
        <w:separator/>
      </w:r>
    </w:p>
  </w:endnote>
  <w:endnote w:type="continuationSeparator" w:id="0">
    <w:p w14:paraId="18374357" w14:textId="77777777" w:rsidR="005A3735" w:rsidRDefault="005A373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ter SemiBold">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C9F8" w14:textId="5FBC89FA" w:rsidR="00446BEE" w:rsidRDefault="00EB3486" w:rsidP="004B6B38">
    <w:pPr>
      <w:pStyle w:val="Footer"/>
      <w:jc w:val="right"/>
    </w:pPr>
    <w:r>
      <w:tab/>
    </w:r>
    <w:r>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p w14:paraId="3D942063" w14:textId="77777777" w:rsidR="00446BEE" w:rsidRDefault="00446BEE">
    <w:pPr>
      <w:pStyle w:val="Footer"/>
    </w:pPr>
  </w:p>
  <w:p w14:paraId="76AB4204"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38FE5FC4" w14:textId="4874798C" w:rsidR="008E7826" w:rsidRDefault="008E7826" w:rsidP="004B6B38">
            <w:pPr>
              <w:pStyle w:val="Footer"/>
              <w:jc w:val="right"/>
            </w:pP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 xml:space="preserve"> NUMPAGES  </w:instrText>
            </w:r>
            <w:r>
              <w:fldChar w:fldCharType="separate"/>
            </w:r>
            <w:r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8208" w14:textId="77777777" w:rsidR="005A3735" w:rsidRDefault="005A3735" w:rsidP="00446BEE">
      <w:r>
        <w:separator/>
      </w:r>
    </w:p>
  </w:footnote>
  <w:footnote w:type="continuationSeparator" w:id="0">
    <w:p w14:paraId="1B27D8DA" w14:textId="77777777" w:rsidR="005A3735" w:rsidRDefault="005A3735" w:rsidP="00446BEE">
      <w:r>
        <w:continuationSeparator/>
      </w:r>
    </w:p>
  </w:footnote>
  <w:footnote w:id="1">
    <w:p w14:paraId="7A58548B" w14:textId="1AE4A74E" w:rsidR="009A695F" w:rsidRDefault="009A695F" w:rsidP="00B71D57">
      <w:pPr>
        <w:pStyle w:val="Paragraph"/>
        <w:spacing w:after="0" w:line="240" w:lineRule="auto"/>
      </w:pPr>
      <w:r w:rsidRPr="00B71D57">
        <w:rPr>
          <w:rStyle w:val="FootnoteReference"/>
          <w:rFonts w:ascii="Inter" w:hAnsi="Inter"/>
        </w:rPr>
        <w:footnoteRef/>
      </w:r>
      <w:r w:rsidRPr="00B71D57">
        <w:rPr>
          <w:rFonts w:ascii="Inter" w:hAnsi="Inter"/>
        </w:rPr>
        <w:t xml:space="preserve"> </w:t>
      </w:r>
      <w:r w:rsidRPr="009A695F">
        <w:rPr>
          <w:rFonts w:ascii="Inter" w:eastAsia="Inter" w:hAnsi="Inter"/>
          <w:color w:val="000000"/>
        </w:rPr>
        <w:t xml:space="preserve">ITPs issued for 64 medicines topics </w:t>
      </w:r>
      <w:r>
        <w:rPr>
          <w:rFonts w:ascii="Inter" w:eastAsia="Inter" w:hAnsi="Inter"/>
          <w:color w:val="000000"/>
        </w:rPr>
        <w:t>between in 2025/26</w:t>
      </w:r>
      <w:r w:rsidR="006F632D">
        <w:rPr>
          <w:rFonts w:ascii="Inter" w:eastAsia="Inter" w:hAnsi="Inter"/>
          <w:color w:val="000000"/>
        </w:rPr>
        <w:t>. By</w:t>
      </w:r>
      <w:r>
        <w:rPr>
          <w:rFonts w:ascii="Inter" w:eastAsia="Inter" w:hAnsi="Inter"/>
          <w:color w:val="000000"/>
        </w:rPr>
        <w:t xml:space="preserve"> 31</w:t>
      </w:r>
      <w:r w:rsidRPr="00B71D57">
        <w:rPr>
          <w:rFonts w:ascii="Inter" w:eastAsia="Inter" w:hAnsi="Inter"/>
          <w:color w:val="000000"/>
          <w:vertAlign w:val="superscript"/>
        </w:rPr>
        <w:t>st</w:t>
      </w:r>
      <w:r>
        <w:rPr>
          <w:rFonts w:ascii="Inter" w:eastAsia="Inter" w:hAnsi="Inter"/>
          <w:color w:val="000000"/>
        </w:rPr>
        <w:t xml:space="preserve"> March 2026</w:t>
      </w:r>
      <w:r w:rsidR="006F632D">
        <w:rPr>
          <w:rFonts w:ascii="Inter" w:eastAsia="Inter" w:hAnsi="Inter"/>
          <w:color w:val="000000"/>
        </w:rPr>
        <w:t>, f</w:t>
      </w:r>
      <w:r w:rsidRPr="009A695F">
        <w:rPr>
          <w:rFonts w:ascii="Inter" w:eastAsia="Inter" w:hAnsi="Inter"/>
          <w:color w:val="000000"/>
        </w:rPr>
        <w:t>inal guidance ha</w:t>
      </w:r>
      <w:r>
        <w:rPr>
          <w:rFonts w:ascii="Inter" w:eastAsia="Inter" w:hAnsi="Inter"/>
          <w:color w:val="000000"/>
        </w:rPr>
        <w:t>d</w:t>
      </w:r>
      <w:r w:rsidRPr="009A695F">
        <w:rPr>
          <w:rFonts w:ascii="Inter" w:eastAsia="Inter" w:hAnsi="Inter"/>
          <w:color w:val="000000"/>
        </w:rPr>
        <w:t xml:space="preserve"> been issued for 6 of these topics, within the 240</w:t>
      </w:r>
      <w:r w:rsidRPr="009A695F">
        <w:rPr>
          <w:rFonts w:ascii="Inter" w:eastAsia="Inter" w:hAnsi="Inter"/>
          <w:color w:val="000000"/>
        </w:rPr>
        <w:noBreakHyphen/>
        <w:t>working</w:t>
      </w:r>
      <w:r w:rsidRPr="009A695F">
        <w:rPr>
          <w:rFonts w:ascii="Inter" w:eastAsia="Inter" w:hAnsi="Inter"/>
          <w:color w:val="000000"/>
        </w:rPr>
        <w:noBreakHyphen/>
        <w:t>day timeframe, ahead of the target deadline</w:t>
      </w:r>
      <w:r w:rsidR="006F632D">
        <w:rPr>
          <w:rFonts w:ascii="Inter" w:eastAsia="Inter" w:hAnsi="Inter"/>
          <w:color w:val="000000"/>
        </w:rPr>
        <w:t>. Our f</w:t>
      </w:r>
      <w:r w:rsidRPr="006F632D">
        <w:rPr>
          <w:rFonts w:ascii="Inter" w:eastAsia="Inter" w:hAnsi="Inter"/>
          <w:color w:val="000000"/>
        </w:rPr>
        <w:t>orecasts indicate that we are on track for to publish final guidance for at least 60% of these topics within 240 working days of the ITP.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2FE2" w14:textId="77777777" w:rsidR="008F6FB7" w:rsidRDefault="008F6FB7">
    <w:pPr>
      <w:pStyle w:val="Header"/>
    </w:pPr>
    <w:r>
      <w:rPr>
        <w:noProof/>
      </w:rPr>
      <w:drawing>
        <wp:anchor distT="0" distB="0" distL="114300" distR="114300" simplePos="0" relativeHeight="251658240" behindDoc="0" locked="0" layoutInCell="1" allowOverlap="1" wp14:anchorId="76268743" wp14:editId="3F201A7D">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60BE"/>
    <w:multiLevelType w:val="hybridMultilevel"/>
    <w:tmpl w:val="2D183C7E"/>
    <w:lvl w:ilvl="0" w:tplc="F6363902">
      <w:start w:val="1"/>
      <w:numFmt w:val="bullet"/>
      <w:lvlText w:val="•"/>
      <w:lvlJc w:val="left"/>
      <w:pPr>
        <w:tabs>
          <w:tab w:val="num" w:pos="720"/>
        </w:tabs>
        <w:ind w:left="720" w:hanging="360"/>
      </w:pPr>
      <w:rPr>
        <w:rFonts w:ascii="Arial" w:hAnsi="Arial" w:hint="default"/>
      </w:rPr>
    </w:lvl>
    <w:lvl w:ilvl="1" w:tplc="4CCEF542">
      <w:numFmt w:val="bullet"/>
      <w:lvlText w:val="•"/>
      <w:lvlJc w:val="left"/>
      <w:pPr>
        <w:tabs>
          <w:tab w:val="num" w:pos="1440"/>
        </w:tabs>
        <w:ind w:left="1440" w:hanging="360"/>
      </w:pPr>
      <w:rPr>
        <w:rFonts w:ascii="Arial" w:hAnsi="Arial" w:hint="default"/>
      </w:rPr>
    </w:lvl>
    <w:lvl w:ilvl="2" w:tplc="7D28D384" w:tentative="1">
      <w:start w:val="1"/>
      <w:numFmt w:val="bullet"/>
      <w:lvlText w:val="•"/>
      <w:lvlJc w:val="left"/>
      <w:pPr>
        <w:tabs>
          <w:tab w:val="num" w:pos="2160"/>
        </w:tabs>
        <w:ind w:left="2160" w:hanging="360"/>
      </w:pPr>
      <w:rPr>
        <w:rFonts w:ascii="Arial" w:hAnsi="Arial" w:hint="default"/>
      </w:rPr>
    </w:lvl>
    <w:lvl w:ilvl="3" w:tplc="1892FB36" w:tentative="1">
      <w:start w:val="1"/>
      <w:numFmt w:val="bullet"/>
      <w:lvlText w:val="•"/>
      <w:lvlJc w:val="left"/>
      <w:pPr>
        <w:tabs>
          <w:tab w:val="num" w:pos="2880"/>
        </w:tabs>
        <w:ind w:left="2880" w:hanging="360"/>
      </w:pPr>
      <w:rPr>
        <w:rFonts w:ascii="Arial" w:hAnsi="Arial" w:hint="default"/>
      </w:rPr>
    </w:lvl>
    <w:lvl w:ilvl="4" w:tplc="EA6498A0" w:tentative="1">
      <w:start w:val="1"/>
      <w:numFmt w:val="bullet"/>
      <w:lvlText w:val="•"/>
      <w:lvlJc w:val="left"/>
      <w:pPr>
        <w:tabs>
          <w:tab w:val="num" w:pos="3600"/>
        </w:tabs>
        <w:ind w:left="3600" w:hanging="360"/>
      </w:pPr>
      <w:rPr>
        <w:rFonts w:ascii="Arial" w:hAnsi="Arial" w:hint="default"/>
      </w:rPr>
    </w:lvl>
    <w:lvl w:ilvl="5" w:tplc="B20AB142" w:tentative="1">
      <w:start w:val="1"/>
      <w:numFmt w:val="bullet"/>
      <w:lvlText w:val="•"/>
      <w:lvlJc w:val="left"/>
      <w:pPr>
        <w:tabs>
          <w:tab w:val="num" w:pos="4320"/>
        </w:tabs>
        <w:ind w:left="4320" w:hanging="360"/>
      </w:pPr>
      <w:rPr>
        <w:rFonts w:ascii="Arial" w:hAnsi="Arial" w:hint="default"/>
      </w:rPr>
    </w:lvl>
    <w:lvl w:ilvl="6" w:tplc="B98E08B6" w:tentative="1">
      <w:start w:val="1"/>
      <w:numFmt w:val="bullet"/>
      <w:lvlText w:val="•"/>
      <w:lvlJc w:val="left"/>
      <w:pPr>
        <w:tabs>
          <w:tab w:val="num" w:pos="5040"/>
        </w:tabs>
        <w:ind w:left="5040" w:hanging="360"/>
      </w:pPr>
      <w:rPr>
        <w:rFonts w:ascii="Arial" w:hAnsi="Arial" w:hint="default"/>
      </w:rPr>
    </w:lvl>
    <w:lvl w:ilvl="7" w:tplc="91DE9CDA" w:tentative="1">
      <w:start w:val="1"/>
      <w:numFmt w:val="bullet"/>
      <w:lvlText w:val="•"/>
      <w:lvlJc w:val="left"/>
      <w:pPr>
        <w:tabs>
          <w:tab w:val="num" w:pos="5760"/>
        </w:tabs>
        <w:ind w:left="5760" w:hanging="360"/>
      </w:pPr>
      <w:rPr>
        <w:rFonts w:ascii="Arial" w:hAnsi="Arial" w:hint="default"/>
      </w:rPr>
    </w:lvl>
    <w:lvl w:ilvl="8" w:tplc="D91484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B80A21"/>
    <w:multiLevelType w:val="hybridMultilevel"/>
    <w:tmpl w:val="7ABC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7632B"/>
    <w:multiLevelType w:val="multilevel"/>
    <w:tmpl w:val="6A6AFF5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C6C611F"/>
    <w:multiLevelType w:val="hybridMultilevel"/>
    <w:tmpl w:val="7D64E4F2"/>
    <w:lvl w:ilvl="0" w:tplc="ADDC7778">
      <w:start w:val="1"/>
      <w:numFmt w:val="bullet"/>
      <w:lvlText w:val="•"/>
      <w:lvlJc w:val="left"/>
      <w:pPr>
        <w:tabs>
          <w:tab w:val="num" w:pos="720"/>
        </w:tabs>
        <w:ind w:left="720" w:hanging="360"/>
      </w:pPr>
      <w:rPr>
        <w:rFonts w:ascii="Arial" w:hAnsi="Arial" w:hint="default"/>
      </w:rPr>
    </w:lvl>
    <w:lvl w:ilvl="1" w:tplc="D2301780" w:tentative="1">
      <w:start w:val="1"/>
      <w:numFmt w:val="bullet"/>
      <w:lvlText w:val="•"/>
      <w:lvlJc w:val="left"/>
      <w:pPr>
        <w:tabs>
          <w:tab w:val="num" w:pos="1440"/>
        </w:tabs>
        <w:ind w:left="1440" w:hanging="360"/>
      </w:pPr>
      <w:rPr>
        <w:rFonts w:ascii="Arial" w:hAnsi="Arial" w:hint="default"/>
      </w:rPr>
    </w:lvl>
    <w:lvl w:ilvl="2" w:tplc="FC20F068" w:tentative="1">
      <w:start w:val="1"/>
      <w:numFmt w:val="bullet"/>
      <w:lvlText w:val="•"/>
      <w:lvlJc w:val="left"/>
      <w:pPr>
        <w:tabs>
          <w:tab w:val="num" w:pos="2160"/>
        </w:tabs>
        <w:ind w:left="2160" w:hanging="360"/>
      </w:pPr>
      <w:rPr>
        <w:rFonts w:ascii="Arial" w:hAnsi="Arial" w:hint="default"/>
      </w:rPr>
    </w:lvl>
    <w:lvl w:ilvl="3" w:tplc="80C47B1A" w:tentative="1">
      <w:start w:val="1"/>
      <w:numFmt w:val="bullet"/>
      <w:lvlText w:val="•"/>
      <w:lvlJc w:val="left"/>
      <w:pPr>
        <w:tabs>
          <w:tab w:val="num" w:pos="2880"/>
        </w:tabs>
        <w:ind w:left="2880" w:hanging="360"/>
      </w:pPr>
      <w:rPr>
        <w:rFonts w:ascii="Arial" w:hAnsi="Arial" w:hint="default"/>
      </w:rPr>
    </w:lvl>
    <w:lvl w:ilvl="4" w:tplc="20606FAE" w:tentative="1">
      <w:start w:val="1"/>
      <w:numFmt w:val="bullet"/>
      <w:lvlText w:val="•"/>
      <w:lvlJc w:val="left"/>
      <w:pPr>
        <w:tabs>
          <w:tab w:val="num" w:pos="3600"/>
        </w:tabs>
        <w:ind w:left="3600" w:hanging="360"/>
      </w:pPr>
      <w:rPr>
        <w:rFonts w:ascii="Arial" w:hAnsi="Arial" w:hint="default"/>
      </w:rPr>
    </w:lvl>
    <w:lvl w:ilvl="5" w:tplc="E6EEBC6E" w:tentative="1">
      <w:start w:val="1"/>
      <w:numFmt w:val="bullet"/>
      <w:lvlText w:val="•"/>
      <w:lvlJc w:val="left"/>
      <w:pPr>
        <w:tabs>
          <w:tab w:val="num" w:pos="4320"/>
        </w:tabs>
        <w:ind w:left="4320" w:hanging="360"/>
      </w:pPr>
      <w:rPr>
        <w:rFonts w:ascii="Arial" w:hAnsi="Arial" w:hint="default"/>
      </w:rPr>
    </w:lvl>
    <w:lvl w:ilvl="6" w:tplc="4B267DE0" w:tentative="1">
      <w:start w:val="1"/>
      <w:numFmt w:val="bullet"/>
      <w:lvlText w:val="•"/>
      <w:lvlJc w:val="left"/>
      <w:pPr>
        <w:tabs>
          <w:tab w:val="num" w:pos="5040"/>
        </w:tabs>
        <w:ind w:left="5040" w:hanging="360"/>
      </w:pPr>
      <w:rPr>
        <w:rFonts w:ascii="Arial" w:hAnsi="Arial" w:hint="default"/>
      </w:rPr>
    </w:lvl>
    <w:lvl w:ilvl="7" w:tplc="7E006C6A" w:tentative="1">
      <w:start w:val="1"/>
      <w:numFmt w:val="bullet"/>
      <w:lvlText w:val="•"/>
      <w:lvlJc w:val="left"/>
      <w:pPr>
        <w:tabs>
          <w:tab w:val="num" w:pos="5760"/>
        </w:tabs>
        <w:ind w:left="5760" w:hanging="360"/>
      </w:pPr>
      <w:rPr>
        <w:rFonts w:ascii="Arial" w:hAnsi="Arial" w:hint="default"/>
      </w:rPr>
    </w:lvl>
    <w:lvl w:ilvl="8" w:tplc="7DA22B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8F2E26"/>
    <w:multiLevelType w:val="hybridMultilevel"/>
    <w:tmpl w:val="6796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27B28"/>
    <w:multiLevelType w:val="hybridMultilevel"/>
    <w:tmpl w:val="FAB80AB8"/>
    <w:lvl w:ilvl="0" w:tplc="8BA0ED96">
      <w:start w:val="1"/>
      <w:numFmt w:val="bullet"/>
      <w:lvlText w:val="•"/>
      <w:lvlJc w:val="left"/>
      <w:pPr>
        <w:tabs>
          <w:tab w:val="num" w:pos="720"/>
        </w:tabs>
        <w:ind w:left="720" w:hanging="360"/>
      </w:pPr>
      <w:rPr>
        <w:rFonts w:ascii="Arial" w:hAnsi="Arial" w:hint="default"/>
      </w:rPr>
    </w:lvl>
    <w:lvl w:ilvl="1" w:tplc="45FE9458" w:tentative="1">
      <w:start w:val="1"/>
      <w:numFmt w:val="bullet"/>
      <w:lvlText w:val="•"/>
      <w:lvlJc w:val="left"/>
      <w:pPr>
        <w:tabs>
          <w:tab w:val="num" w:pos="1440"/>
        </w:tabs>
        <w:ind w:left="1440" w:hanging="360"/>
      </w:pPr>
      <w:rPr>
        <w:rFonts w:ascii="Arial" w:hAnsi="Arial" w:hint="default"/>
      </w:rPr>
    </w:lvl>
    <w:lvl w:ilvl="2" w:tplc="8784701A" w:tentative="1">
      <w:start w:val="1"/>
      <w:numFmt w:val="bullet"/>
      <w:lvlText w:val="•"/>
      <w:lvlJc w:val="left"/>
      <w:pPr>
        <w:tabs>
          <w:tab w:val="num" w:pos="2160"/>
        </w:tabs>
        <w:ind w:left="2160" w:hanging="360"/>
      </w:pPr>
      <w:rPr>
        <w:rFonts w:ascii="Arial" w:hAnsi="Arial" w:hint="default"/>
      </w:rPr>
    </w:lvl>
    <w:lvl w:ilvl="3" w:tplc="08226624" w:tentative="1">
      <w:start w:val="1"/>
      <w:numFmt w:val="bullet"/>
      <w:lvlText w:val="•"/>
      <w:lvlJc w:val="left"/>
      <w:pPr>
        <w:tabs>
          <w:tab w:val="num" w:pos="2880"/>
        </w:tabs>
        <w:ind w:left="2880" w:hanging="360"/>
      </w:pPr>
      <w:rPr>
        <w:rFonts w:ascii="Arial" w:hAnsi="Arial" w:hint="default"/>
      </w:rPr>
    </w:lvl>
    <w:lvl w:ilvl="4" w:tplc="0E8C88B6" w:tentative="1">
      <w:start w:val="1"/>
      <w:numFmt w:val="bullet"/>
      <w:lvlText w:val="•"/>
      <w:lvlJc w:val="left"/>
      <w:pPr>
        <w:tabs>
          <w:tab w:val="num" w:pos="3600"/>
        </w:tabs>
        <w:ind w:left="3600" w:hanging="360"/>
      </w:pPr>
      <w:rPr>
        <w:rFonts w:ascii="Arial" w:hAnsi="Arial" w:hint="default"/>
      </w:rPr>
    </w:lvl>
    <w:lvl w:ilvl="5" w:tplc="2E98EA06" w:tentative="1">
      <w:start w:val="1"/>
      <w:numFmt w:val="bullet"/>
      <w:lvlText w:val="•"/>
      <w:lvlJc w:val="left"/>
      <w:pPr>
        <w:tabs>
          <w:tab w:val="num" w:pos="4320"/>
        </w:tabs>
        <w:ind w:left="4320" w:hanging="360"/>
      </w:pPr>
      <w:rPr>
        <w:rFonts w:ascii="Arial" w:hAnsi="Arial" w:hint="default"/>
      </w:rPr>
    </w:lvl>
    <w:lvl w:ilvl="6" w:tplc="809C8870" w:tentative="1">
      <w:start w:val="1"/>
      <w:numFmt w:val="bullet"/>
      <w:lvlText w:val="•"/>
      <w:lvlJc w:val="left"/>
      <w:pPr>
        <w:tabs>
          <w:tab w:val="num" w:pos="5040"/>
        </w:tabs>
        <w:ind w:left="5040" w:hanging="360"/>
      </w:pPr>
      <w:rPr>
        <w:rFonts w:ascii="Arial" w:hAnsi="Arial" w:hint="default"/>
      </w:rPr>
    </w:lvl>
    <w:lvl w:ilvl="7" w:tplc="A4802FBE" w:tentative="1">
      <w:start w:val="1"/>
      <w:numFmt w:val="bullet"/>
      <w:lvlText w:val="•"/>
      <w:lvlJc w:val="left"/>
      <w:pPr>
        <w:tabs>
          <w:tab w:val="num" w:pos="5760"/>
        </w:tabs>
        <w:ind w:left="5760" w:hanging="360"/>
      </w:pPr>
      <w:rPr>
        <w:rFonts w:ascii="Arial" w:hAnsi="Arial" w:hint="default"/>
      </w:rPr>
    </w:lvl>
    <w:lvl w:ilvl="8" w:tplc="DDC45E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FF1984"/>
    <w:multiLevelType w:val="hybridMultilevel"/>
    <w:tmpl w:val="E35A9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B5922"/>
    <w:multiLevelType w:val="hybridMultilevel"/>
    <w:tmpl w:val="7A50C83C"/>
    <w:lvl w:ilvl="0" w:tplc="2B7A32BE">
      <w:start w:val="1"/>
      <w:numFmt w:val="bullet"/>
      <w:lvlText w:val="•"/>
      <w:lvlJc w:val="left"/>
      <w:pPr>
        <w:tabs>
          <w:tab w:val="num" w:pos="720"/>
        </w:tabs>
        <w:ind w:left="720" w:hanging="360"/>
      </w:pPr>
      <w:rPr>
        <w:rFonts w:ascii="Arial" w:hAnsi="Arial" w:hint="default"/>
      </w:rPr>
    </w:lvl>
    <w:lvl w:ilvl="1" w:tplc="F76A4BAE" w:tentative="1">
      <w:start w:val="1"/>
      <w:numFmt w:val="bullet"/>
      <w:lvlText w:val="•"/>
      <w:lvlJc w:val="left"/>
      <w:pPr>
        <w:tabs>
          <w:tab w:val="num" w:pos="1440"/>
        </w:tabs>
        <w:ind w:left="1440" w:hanging="360"/>
      </w:pPr>
      <w:rPr>
        <w:rFonts w:ascii="Arial" w:hAnsi="Arial" w:hint="default"/>
      </w:rPr>
    </w:lvl>
    <w:lvl w:ilvl="2" w:tplc="E682A2DA" w:tentative="1">
      <w:start w:val="1"/>
      <w:numFmt w:val="bullet"/>
      <w:lvlText w:val="•"/>
      <w:lvlJc w:val="left"/>
      <w:pPr>
        <w:tabs>
          <w:tab w:val="num" w:pos="2160"/>
        </w:tabs>
        <w:ind w:left="2160" w:hanging="360"/>
      </w:pPr>
      <w:rPr>
        <w:rFonts w:ascii="Arial" w:hAnsi="Arial" w:hint="default"/>
      </w:rPr>
    </w:lvl>
    <w:lvl w:ilvl="3" w:tplc="3216DB06" w:tentative="1">
      <w:start w:val="1"/>
      <w:numFmt w:val="bullet"/>
      <w:lvlText w:val="•"/>
      <w:lvlJc w:val="left"/>
      <w:pPr>
        <w:tabs>
          <w:tab w:val="num" w:pos="2880"/>
        </w:tabs>
        <w:ind w:left="2880" w:hanging="360"/>
      </w:pPr>
      <w:rPr>
        <w:rFonts w:ascii="Arial" w:hAnsi="Arial" w:hint="default"/>
      </w:rPr>
    </w:lvl>
    <w:lvl w:ilvl="4" w:tplc="353CC7CC" w:tentative="1">
      <w:start w:val="1"/>
      <w:numFmt w:val="bullet"/>
      <w:lvlText w:val="•"/>
      <w:lvlJc w:val="left"/>
      <w:pPr>
        <w:tabs>
          <w:tab w:val="num" w:pos="3600"/>
        </w:tabs>
        <w:ind w:left="3600" w:hanging="360"/>
      </w:pPr>
      <w:rPr>
        <w:rFonts w:ascii="Arial" w:hAnsi="Arial" w:hint="default"/>
      </w:rPr>
    </w:lvl>
    <w:lvl w:ilvl="5" w:tplc="562E97B8" w:tentative="1">
      <w:start w:val="1"/>
      <w:numFmt w:val="bullet"/>
      <w:lvlText w:val="•"/>
      <w:lvlJc w:val="left"/>
      <w:pPr>
        <w:tabs>
          <w:tab w:val="num" w:pos="4320"/>
        </w:tabs>
        <w:ind w:left="4320" w:hanging="360"/>
      </w:pPr>
      <w:rPr>
        <w:rFonts w:ascii="Arial" w:hAnsi="Arial" w:hint="default"/>
      </w:rPr>
    </w:lvl>
    <w:lvl w:ilvl="6" w:tplc="E4728E90" w:tentative="1">
      <w:start w:val="1"/>
      <w:numFmt w:val="bullet"/>
      <w:lvlText w:val="•"/>
      <w:lvlJc w:val="left"/>
      <w:pPr>
        <w:tabs>
          <w:tab w:val="num" w:pos="5040"/>
        </w:tabs>
        <w:ind w:left="5040" w:hanging="360"/>
      </w:pPr>
      <w:rPr>
        <w:rFonts w:ascii="Arial" w:hAnsi="Arial" w:hint="default"/>
      </w:rPr>
    </w:lvl>
    <w:lvl w:ilvl="7" w:tplc="A72CEA28" w:tentative="1">
      <w:start w:val="1"/>
      <w:numFmt w:val="bullet"/>
      <w:lvlText w:val="•"/>
      <w:lvlJc w:val="left"/>
      <w:pPr>
        <w:tabs>
          <w:tab w:val="num" w:pos="5760"/>
        </w:tabs>
        <w:ind w:left="5760" w:hanging="360"/>
      </w:pPr>
      <w:rPr>
        <w:rFonts w:ascii="Arial" w:hAnsi="Arial" w:hint="default"/>
      </w:rPr>
    </w:lvl>
    <w:lvl w:ilvl="8" w:tplc="81C87C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1D0F28"/>
    <w:multiLevelType w:val="hybridMultilevel"/>
    <w:tmpl w:val="26866DD2"/>
    <w:lvl w:ilvl="0" w:tplc="8A58F348">
      <w:start w:val="1"/>
      <w:numFmt w:val="bullet"/>
      <w:lvlText w:val="•"/>
      <w:lvlJc w:val="left"/>
      <w:pPr>
        <w:tabs>
          <w:tab w:val="num" w:pos="720"/>
        </w:tabs>
        <w:ind w:left="720" w:hanging="360"/>
      </w:pPr>
      <w:rPr>
        <w:rFonts w:ascii="Arial" w:hAnsi="Arial" w:hint="default"/>
      </w:rPr>
    </w:lvl>
    <w:lvl w:ilvl="1" w:tplc="D10C49F2" w:tentative="1">
      <w:start w:val="1"/>
      <w:numFmt w:val="bullet"/>
      <w:lvlText w:val="•"/>
      <w:lvlJc w:val="left"/>
      <w:pPr>
        <w:tabs>
          <w:tab w:val="num" w:pos="1440"/>
        </w:tabs>
        <w:ind w:left="1440" w:hanging="360"/>
      </w:pPr>
      <w:rPr>
        <w:rFonts w:ascii="Arial" w:hAnsi="Arial" w:hint="default"/>
      </w:rPr>
    </w:lvl>
    <w:lvl w:ilvl="2" w:tplc="17D6CF14" w:tentative="1">
      <w:start w:val="1"/>
      <w:numFmt w:val="bullet"/>
      <w:lvlText w:val="•"/>
      <w:lvlJc w:val="left"/>
      <w:pPr>
        <w:tabs>
          <w:tab w:val="num" w:pos="2160"/>
        </w:tabs>
        <w:ind w:left="2160" w:hanging="360"/>
      </w:pPr>
      <w:rPr>
        <w:rFonts w:ascii="Arial" w:hAnsi="Arial" w:hint="default"/>
      </w:rPr>
    </w:lvl>
    <w:lvl w:ilvl="3" w:tplc="EF0A0ED2" w:tentative="1">
      <w:start w:val="1"/>
      <w:numFmt w:val="bullet"/>
      <w:lvlText w:val="•"/>
      <w:lvlJc w:val="left"/>
      <w:pPr>
        <w:tabs>
          <w:tab w:val="num" w:pos="2880"/>
        </w:tabs>
        <w:ind w:left="2880" w:hanging="360"/>
      </w:pPr>
      <w:rPr>
        <w:rFonts w:ascii="Arial" w:hAnsi="Arial" w:hint="default"/>
      </w:rPr>
    </w:lvl>
    <w:lvl w:ilvl="4" w:tplc="D8A84680" w:tentative="1">
      <w:start w:val="1"/>
      <w:numFmt w:val="bullet"/>
      <w:lvlText w:val="•"/>
      <w:lvlJc w:val="left"/>
      <w:pPr>
        <w:tabs>
          <w:tab w:val="num" w:pos="3600"/>
        </w:tabs>
        <w:ind w:left="3600" w:hanging="360"/>
      </w:pPr>
      <w:rPr>
        <w:rFonts w:ascii="Arial" w:hAnsi="Arial" w:hint="default"/>
      </w:rPr>
    </w:lvl>
    <w:lvl w:ilvl="5" w:tplc="1CB0D2C6" w:tentative="1">
      <w:start w:val="1"/>
      <w:numFmt w:val="bullet"/>
      <w:lvlText w:val="•"/>
      <w:lvlJc w:val="left"/>
      <w:pPr>
        <w:tabs>
          <w:tab w:val="num" w:pos="4320"/>
        </w:tabs>
        <w:ind w:left="4320" w:hanging="360"/>
      </w:pPr>
      <w:rPr>
        <w:rFonts w:ascii="Arial" w:hAnsi="Arial" w:hint="default"/>
      </w:rPr>
    </w:lvl>
    <w:lvl w:ilvl="6" w:tplc="822AF274" w:tentative="1">
      <w:start w:val="1"/>
      <w:numFmt w:val="bullet"/>
      <w:lvlText w:val="•"/>
      <w:lvlJc w:val="left"/>
      <w:pPr>
        <w:tabs>
          <w:tab w:val="num" w:pos="5040"/>
        </w:tabs>
        <w:ind w:left="5040" w:hanging="360"/>
      </w:pPr>
      <w:rPr>
        <w:rFonts w:ascii="Arial" w:hAnsi="Arial" w:hint="default"/>
      </w:rPr>
    </w:lvl>
    <w:lvl w:ilvl="7" w:tplc="F73C4620" w:tentative="1">
      <w:start w:val="1"/>
      <w:numFmt w:val="bullet"/>
      <w:lvlText w:val="•"/>
      <w:lvlJc w:val="left"/>
      <w:pPr>
        <w:tabs>
          <w:tab w:val="num" w:pos="5760"/>
        </w:tabs>
        <w:ind w:left="5760" w:hanging="360"/>
      </w:pPr>
      <w:rPr>
        <w:rFonts w:ascii="Arial" w:hAnsi="Arial" w:hint="default"/>
      </w:rPr>
    </w:lvl>
    <w:lvl w:ilvl="8" w:tplc="B28C1D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5FF14D9"/>
    <w:multiLevelType w:val="hybridMultilevel"/>
    <w:tmpl w:val="16D8D216"/>
    <w:lvl w:ilvl="0" w:tplc="54FC9F84">
      <w:start w:val="1"/>
      <w:numFmt w:val="bullet"/>
      <w:lvlText w:val="•"/>
      <w:lvlJc w:val="left"/>
      <w:pPr>
        <w:tabs>
          <w:tab w:val="num" w:pos="360"/>
        </w:tabs>
        <w:ind w:left="360" w:hanging="360"/>
      </w:pPr>
      <w:rPr>
        <w:rFonts w:ascii="Arial" w:hAnsi="Arial" w:hint="default"/>
      </w:rPr>
    </w:lvl>
    <w:lvl w:ilvl="1" w:tplc="01300FC0" w:tentative="1">
      <w:start w:val="1"/>
      <w:numFmt w:val="bullet"/>
      <w:lvlText w:val="•"/>
      <w:lvlJc w:val="left"/>
      <w:pPr>
        <w:tabs>
          <w:tab w:val="num" w:pos="1080"/>
        </w:tabs>
        <w:ind w:left="1080" w:hanging="360"/>
      </w:pPr>
      <w:rPr>
        <w:rFonts w:ascii="Arial" w:hAnsi="Arial" w:hint="default"/>
      </w:rPr>
    </w:lvl>
    <w:lvl w:ilvl="2" w:tplc="B016AABE" w:tentative="1">
      <w:start w:val="1"/>
      <w:numFmt w:val="bullet"/>
      <w:lvlText w:val="•"/>
      <w:lvlJc w:val="left"/>
      <w:pPr>
        <w:tabs>
          <w:tab w:val="num" w:pos="1800"/>
        </w:tabs>
        <w:ind w:left="1800" w:hanging="360"/>
      </w:pPr>
      <w:rPr>
        <w:rFonts w:ascii="Arial" w:hAnsi="Arial" w:hint="default"/>
      </w:rPr>
    </w:lvl>
    <w:lvl w:ilvl="3" w:tplc="A6A219F4" w:tentative="1">
      <w:start w:val="1"/>
      <w:numFmt w:val="bullet"/>
      <w:lvlText w:val="•"/>
      <w:lvlJc w:val="left"/>
      <w:pPr>
        <w:tabs>
          <w:tab w:val="num" w:pos="2520"/>
        </w:tabs>
        <w:ind w:left="2520" w:hanging="360"/>
      </w:pPr>
      <w:rPr>
        <w:rFonts w:ascii="Arial" w:hAnsi="Arial" w:hint="default"/>
      </w:rPr>
    </w:lvl>
    <w:lvl w:ilvl="4" w:tplc="E4D8F9D0" w:tentative="1">
      <w:start w:val="1"/>
      <w:numFmt w:val="bullet"/>
      <w:lvlText w:val="•"/>
      <w:lvlJc w:val="left"/>
      <w:pPr>
        <w:tabs>
          <w:tab w:val="num" w:pos="3240"/>
        </w:tabs>
        <w:ind w:left="3240" w:hanging="360"/>
      </w:pPr>
      <w:rPr>
        <w:rFonts w:ascii="Arial" w:hAnsi="Arial" w:hint="default"/>
      </w:rPr>
    </w:lvl>
    <w:lvl w:ilvl="5" w:tplc="6B2E36AA" w:tentative="1">
      <w:start w:val="1"/>
      <w:numFmt w:val="bullet"/>
      <w:lvlText w:val="•"/>
      <w:lvlJc w:val="left"/>
      <w:pPr>
        <w:tabs>
          <w:tab w:val="num" w:pos="3960"/>
        </w:tabs>
        <w:ind w:left="3960" w:hanging="360"/>
      </w:pPr>
      <w:rPr>
        <w:rFonts w:ascii="Arial" w:hAnsi="Arial" w:hint="default"/>
      </w:rPr>
    </w:lvl>
    <w:lvl w:ilvl="6" w:tplc="A030F952" w:tentative="1">
      <w:start w:val="1"/>
      <w:numFmt w:val="bullet"/>
      <w:lvlText w:val="•"/>
      <w:lvlJc w:val="left"/>
      <w:pPr>
        <w:tabs>
          <w:tab w:val="num" w:pos="4680"/>
        </w:tabs>
        <w:ind w:left="4680" w:hanging="360"/>
      </w:pPr>
      <w:rPr>
        <w:rFonts w:ascii="Arial" w:hAnsi="Arial" w:hint="default"/>
      </w:rPr>
    </w:lvl>
    <w:lvl w:ilvl="7" w:tplc="72AC977E" w:tentative="1">
      <w:start w:val="1"/>
      <w:numFmt w:val="bullet"/>
      <w:lvlText w:val="•"/>
      <w:lvlJc w:val="left"/>
      <w:pPr>
        <w:tabs>
          <w:tab w:val="num" w:pos="5400"/>
        </w:tabs>
        <w:ind w:left="5400" w:hanging="360"/>
      </w:pPr>
      <w:rPr>
        <w:rFonts w:ascii="Arial" w:hAnsi="Arial" w:hint="default"/>
      </w:rPr>
    </w:lvl>
    <w:lvl w:ilvl="8" w:tplc="3516E136"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74A1D40"/>
    <w:multiLevelType w:val="hybridMultilevel"/>
    <w:tmpl w:val="C87E1E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4417ED"/>
    <w:multiLevelType w:val="hybridMultilevel"/>
    <w:tmpl w:val="25A8063E"/>
    <w:lvl w:ilvl="0" w:tplc="F372FE58">
      <w:start w:val="1"/>
      <w:numFmt w:val="bullet"/>
      <w:lvlText w:val="•"/>
      <w:lvlJc w:val="left"/>
      <w:pPr>
        <w:tabs>
          <w:tab w:val="num" w:pos="720"/>
        </w:tabs>
        <w:ind w:left="720" w:hanging="360"/>
      </w:pPr>
      <w:rPr>
        <w:rFonts w:ascii="Arial" w:hAnsi="Arial" w:hint="default"/>
      </w:rPr>
    </w:lvl>
    <w:lvl w:ilvl="1" w:tplc="3D66EB00" w:tentative="1">
      <w:start w:val="1"/>
      <w:numFmt w:val="bullet"/>
      <w:lvlText w:val="•"/>
      <w:lvlJc w:val="left"/>
      <w:pPr>
        <w:tabs>
          <w:tab w:val="num" w:pos="1440"/>
        </w:tabs>
        <w:ind w:left="1440" w:hanging="360"/>
      </w:pPr>
      <w:rPr>
        <w:rFonts w:ascii="Arial" w:hAnsi="Arial" w:hint="default"/>
      </w:rPr>
    </w:lvl>
    <w:lvl w:ilvl="2" w:tplc="00169C32" w:tentative="1">
      <w:start w:val="1"/>
      <w:numFmt w:val="bullet"/>
      <w:lvlText w:val="•"/>
      <w:lvlJc w:val="left"/>
      <w:pPr>
        <w:tabs>
          <w:tab w:val="num" w:pos="2160"/>
        </w:tabs>
        <w:ind w:left="2160" w:hanging="360"/>
      </w:pPr>
      <w:rPr>
        <w:rFonts w:ascii="Arial" w:hAnsi="Arial" w:hint="default"/>
      </w:rPr>
    </w:lvl>
    <w:lvl w:ilvl="3" w:tplc="8FE2799A" w:tentative="1">
      <w:start w:val="1"/>
      <w:numFmt w:val="bullet"/>
      <w:lvlText w:val="•"/>
      <w:lvlJc w:val="left"/>
      <w:pPr>
        <w:tabs>
          <w:tab w:val="num" w:pos="2880"/>
        </w:tabs>
        <w:ind w:left="2880" w:hanging="360"/>
      </w:pPr>
      <w:rPr>
        <w:rFonts w:ascii="Arial" w:hAnsi="Arial" w:hint="default"/>
      </w:rPr>
    </w:lvl>
    <w:lvl w:ilvl="4" w:tplc="A0F2F316" w:tentative="1">
      <w:start w:val="1"/>
      <w:numFmt w:val="bullet"/>
      <w:lvlText w:val="•"/>
      <w:lvlJc w:val="left"/>
      <w:pPr>
        <w:tabs>
          <w:tab w:val="num" w:pos="3600"/>
        </w:tabs>
        <w:ind w:left="3600" w:hanging="360"/>
      </w:pPr>
      <w:rPr>
        <w:rFonts w:ascii="Arial" w:hAnsi="Arial" w:hint="default"/>
      </w:rPr>
    </w:lvl>
    <w:lvl w:ilvl="5" w:tplc="2BD02C5A" w:tentative="1">
      <w:start w:val="1"/>
      <w:numFmt w:val="bullet"/>
      <w:lvlText w:val="•"/>
      <w:lvlJc w:val="left"/>
      <w:pPr>
        <w:tabs>
          <w:tab w:val="num" w:pos="4320"/>
        </w:tabs>
        <w:ind w:left="4320" w:hanging="360"/>
      </w:pPr>
      <w:rPr>
        <w:rFonts w:ascii="Arial" w:hAnsi="Arial" w:hint="default"/>
      </w:rPr>
    </w:lvl>
    <w:lvl w:ilvl="6" w:tplc="EE54AF62" w:tentative="1">
      <w:start w:val="1"/>
      <w:numFmt w:val="bullet"/>
      <w:lvlText w:val="•"/>
      <w:lvlJc w:val="left"/>
      <w:pPr>
        <w:tabs>
          <w:tab w:val="num" w:pos="5040"/>
        </w:tabs>
        <w:ind w:left="5040" w:hanging="360"/>
      </w:pPr>
      <w:rPr>
        <w:rFonts w:ascii="Arial" w:hAnsi="Arial" w:hint="default"/>
      </w:rPr>
    </w:lvl>
    <w:lvl w:ilvl="7" w:tplc="C532ABB8" w:tentative="1">
      <w:start w:val="1"/>
      <w:numFmt w:val="bullet"/>
      <w:lvlText w:val="•"/>
      <w:lvlJc w:val="left"/>
      <w:pPr>
        <w:tabs>
          <w:tab w:val="num" w:pos="5760"/>
        </w:tabs>
        <w:ind w:left="5760" w:hanging="360"/>
      </w:pPr>
      <w:rPr>
        <w:rFonts w:ascii="Arial" w:hAnsi="Arial" w:hint="default"/>
      </w:rPr>
    </w:lvl>
    <w:lvl w:ilvl="8" w:tplc="4E962B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2B3EAC"/>
    <w:multiLevelType w:val="hybridMultilevel"/>
    <w:tmpl w:val="2E0A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103B3"/>
    <w:multiLevelType w:val="hybridMultilevel"/>
    <w:tmpl w:val="45D806F6"/>
    <w:lvl w:ilvl="0" w:tplc="E4D0A676">
      <w:start w:val="1"/>
      <w:numFmt w:val="decimal"/>
      <w:lvlText w:val="%1."/>
      <w:lvlJc w:val="left"/>
      <w:pPr>
        <w:ind w:left="360" w:hanging="360"/>
      </w:pPr>
      <w:rPr>
        <w:rFonts w:hint="default"/>
        <w:b w:val="0"/>
        <w:bCs w:val="0"/>
        <w:i w:val="0"/>
        <w:iCs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4D1822"/>
    <w:multiLevelType w:val="multilevel"/>
    <w:tmpl w:val="E55828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F7B4C91"/>
    <w:multiLevelType w:val="hybridMultilevel"/>
    <w:tmpl w:val="1B54DE14"/>
    <w:lvl w:ilvl="0" w:tplc="48A09A6A">
      <w:start w:val="1"/>
      <w:numFmt w:val="bullet"/>
      <w:lvlText w:val="•"/>
      <w:lvlJc w:val="left"/>
      <w:pPr>
        <w:tabs>
          <w:tab w:val="num" w:pos="720"/>
        </w:tabs>
        <w:ind w:left="720" w:hanging="360"/>
      </w:pPr>
      <w:rPr>
        <w:rFonts w:ascii="Arial" w:hAnsi="Arial" w:hint="default"/>
      </w:rPr>
    </w:lvl>
    <w:lvl w:ilvl="1" w:tplc="7A2EB746">
      <w:numFmt w:val="bullet"/>
      <w:lvlText w:val="•"/>
      <w:lvlJc w:val="left"/>
      <w:pPr>
        <w:tabs>
          <w:tab w:val="num" w:pos="1440"/>
        </w:tabs>
        <w:ind w:left="1440" w:hanging="360"/>
      </w:pPr>
      <w:rPr>
        <w:rFonts w:ascii="Arial" w:hAnsi="Arial" w:hint="default"/>
      </w:rPr>
    </w:lvl>
    <w:lvl w:ilvl="2" w:tplc="84BA79DC" w:tentative="1">
      <w:start w:val="1"/>
      <w:numFmt w:val="bullet"/>
      <w:lvlText w:val="•"/>
      <w:lvlJc w:val="left"/>
      <w:pPr>
        <w:tabs>
          <w:tab w:val="num" w:pos="2160"/>
        </w:tabs>
        <w:ind w:left="2160" w:hanging="360"/>
      </w:pPr>
      <w:rPr>
        <w:rFonts w:ascii="Arial" w:hAnsi="Arial" w:hint="default"/>
      </w:rPr>
    </w:lvl>
    <w:lvl w:ilvl="3" w:tplc="742C1808" w:tentative="1">
      <w:start w:val="1"/>
      <w:numFmt w:val="bullet"/>
      <w:lvlText w:val="•"/>
      <w:lvlJc w:val="left"/>
      <w:pPr>
        <w:tabs>
          <w:tab w:val="num" w:pos="2880"/>
        </w:tabs>
        <w:ind w:left="2880" w:hanging="360"/>
      </w:pPr>
      <w:rPr>
        <w:rFonts w:ascii="Arial" w:hAnsi="Arial" w:hint="default"/>
      </w:rPr>
    </w:lvl>
    <w:lvl w:ilvl="4" w:tplc="45227D70" w:tentative="1">
      <w:start w:val="1"/>
      <w:numFmt w:val="bullet"/>
      <w:lvlText w:val="•"/>
      <w:lvlJc w:val="left"/>
      <w:pPr>
        <w:tabs>
          <w:tab w:val="num" w:pos="3600"/>
        </w:tabs>
        <w:ind w:left="3600" w:hanging="360"/>
      </w:pPr>
      <w:rPr>
        <w:rFonts w:ascii="Arial" w:hAnsi="Arial" w:hint="default"/>
      </w:rPr>
    </w:lvl>
    <w:lvl w:ilvl="5" w:tplc="CC5A4060" w:tentative="1">
      <w:start w:val="1"/>
      <w:numFmt w:val="bullet"/>
      <w:lvlText w:val="•"/>
      <w:lvlJc w:val="left"/>
      <w:pPr>
        <w:tabs>
          <w:tab w:val="num" w:pos="4320"/>
        </w:tabs>
        <w:ind w:left="4320" w:hanging="360"/>
      </w:pPr>
      <w:rPr>
        <w:rFonts w:ascii="Arial" w:hAnsi="Arial" w:hint="default"/>
      </w:rPr>
    </w:lvl>
    <w:lvl w:ilvl="6" w:tplc="32D2F114" w:tentative="1">
      <w:start w:val="1"/>
      <w:numFmt w:val="bullet"/>
      <w:lvlText w:val="•"/>
      <w:lvlJc w:val="left"/>
      <w:pPr>
        <w:tabs>
          <w:tab w:val="num" w:pos="5040"/>
        </w:tabs>
        <w:ind w:left="5040" w:hanging="360"/>
      </w:pPr>
      <w:rPr>
        <w:rFonts w:ascii="Arial" w:hAnsi="Arial" w:hint="default"/>
      </w:rPr>
    </w:lvl>
    <w:lvl w:ilvl="7" w:tplc="0E08B9BA" w:tentative="1">
      <w:start w:val="1"/>
      <w:numFmt w:val="bullet"/>
      <w:lvlText w:val="•"/>
      <w:lvlJc w:val="left"/>
      <w:pPr>
        <w:tabs>
          <w:tab w:val="num" w:pos="5760"/>
        </w:tabs>
        <w:ind w:left="5760" w:hanging="360"/>
      </w:pPr>
      <w:rPr>
        <w:rFonts w:ascii="Arial" w:hAnsi="Arial" w:hint="default"/>
      </w:rPr>
    </w:lvl>
    <w:lvl w:ilvl="8" w:tplc="C9766A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0113496"/>
    <w:multiLevelType w:val="multilevel"/>
    <w:tmpl w:val="0F1888F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22D2116"/>
    <w:multiLevelType w:val="multilevel"/>
    <w:tmpl w:val="0FCA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8FE1310"/>
    <w:multiLevelType w:val="hybridMultilevel"/>
    <w:tmpl w:val="DEE4882C"/>
    <w:lvl w:ilvl="0" w:tplc="7358776C">
      <w:start w:val="1"/>
      <w:numFmt w:val="bullet"/>
      <w:lvlText w:val=""/>
      <w:lvlJc w:val="left"/>
      <w:pPr>
        <w:ind w:left="1440" w:hanging="360"/>
      </w:pPr>
      <w:rPr>
        <w:rFonts w:ascii="Symbol" w:hAnsi="Symbol"/>
      </w:rPr>
    </w:lvl>
    <w:lvl w:ilvl="1" w:tplc="0C94E6A2">
      <w:start w:val="1"/>
      <w:numFmt w:val="bullet"/>
      <w:lvlText w:val=""/>
      <w:lvlJc w:val="left"/>
      <w:pPr>
        <w:ind w:left="1440" w:hanging="360"/>
      </w:pPr>
      <w:rPr>
        <w:rFonts w:ascii="Symbol" w:hAnsi="Symbol"/>
      </w:rPr>
    </w:lvl>
    <w:lvl w:ilvl="2" w:tplc="9700803A">
      <w:start w:val="1"/>
      <w:numFmt w:val="bullet"/>
      <w:lvlText w:val=""/>
      <w:lvlJc w:val="left"/>
      <w:pPr>
        <w:ind w:left="1440" w:hanging="360"/>
      </w:pPr>
      <w:rPr>
        <w:rFonts w:ascii="Symbol" w:hAnsi="Symbol"/>
      </w:rPr>
    </w:lvl>
    <w:lvl w:ilvl="3" w:tplc="D432333C">
      <w:start w:val="1"/>
      <w:numFmt w:val="bullet"/>
      <w:lvlText w:val=""/>
      <w:lvlJc w:val="left"/>
      <w:pPr>
        <w:ind w:left="1440" w:hanging="360"/>
      </w:pPr>
      <w:rPr>
        <w:rFonts w:ascii="Symbol" w:hAnsi="Symbol"/>
      </w:rPr>
    </w:lvl>
    <w:lvl w:ilvl="4" w:tplc="CAC6846C">
      <w:start w:val="1"/>
      <w:numFmt w:val="bullet"/>
      <w:lvlText w:val=""/>
      <w:lvlJc w:val="left"/>
      <w:pPr>
        <w:ind w:left="1440" w:hanging="360"/>
      </w:pPr>
      <w:rPr>
        <w:rFonts w:ascii="Symbol" w:hAnsi="Symbol"/>
      </w:rPr>
    </w:lvl>
    <w:lvl w:ilvl="5" w:tplc="BE5A13DC">
      <w:start w:val="1"/>
      <w:numFmt w:val="bullet"/>
      <w:lvlText w:val=""/>
      <w:lvlJc w:val="left"/>
      <w:pPr>
        <w:ind w:left="1440" w:hanging="360"/>
      </w:pPr>
      <w:rPr>
        <w:rFonts w:ascii="Symbol" w:hAnsi="Symbol"/>
      </w:rPr>
    </w:lvl>
    <w:lvl w:ilvl="6" w:tplc="40BE2322">
      <w:start w:val="1"/>
      <w:numFmt w:val="bullet"/>
      <w:lvlText w:val=""/>
      <w:lvlJc w:val="left"/>
      <w:pPr>
        <w:ind w:left="1440" w:hanging="360"/>
      </w:pPr>
      <w:rPr>
        <w:rFonts w:ascii="Symbol" w:hAnsi="Symbol"/>
      </w:rPr>
    </w:lvl>
    <w:lvl w:ilvl="7" w:tplc="372CF2C8">
      <w:start w:val="1"/>
      <w:numFmt w:val="bullet"/>
      <w:lvlText w:val=""/>
      <w:lvlJc w:val="left"/>
      <w:pPr>
        <w:ind w:left="1440" w:hanging="360"/>
      </w:pPr>
      <w:rPr>
        <w:rFonts w:ascii="Symbol" w:hAnsi="Symbol"/>
      </w:rPr>
    </w:lvl>
    <w:lvl w:ilvl="8" w:tplc="6A82775C">
      <w:start w:val="1"/>
      <w:numFmt w:val="bullet"/>
      <w:lvlText w:val=""/>
      <w:lvlJc w:val="left"/>
      <w:pPr>
        <w:ind w:left="1440" w:hanging="360"/>
      </w:pPr>
      <w:rPr>
        <w:rFonts w:ascii="Symbol" w:hAnsi="Symbol"/>
      </w:rPr>
    </w:lvl>
  </w:abstractNum>
  <w:abstractNum w:abstractNumId="22"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4" w15:restartNumberingAfterBreak="0">
    <w:nsid w:val="707B0C82"/>
    <w:multiLevelType w:val="hybridMultilevel"/>
    <w:tmpl w:val="C26E94E2"/>
    <w:lvl w:ilvl="0" w:tplc="1F4AE32E">
      <w:start w:val="1"/>
      <w:numFmt w:val="bullet"/>
      <w:lvlText w:val=""/>
      <w:lvlJc w:val="left"/>
      <w:pPr>
        <w:ind w:left="720" w:hanging="360"/>
      </w:pPr>
      <w:rPr>
        <w:rFonts w:ascii="Symbol" w:hAnsi="Symbol" w:hint="default"/>
      </w:rPr>
    </w:lvl>
    <w:lvl w:ilvl="1" w:tplc="F460C4DE">
      <w:start w:val="1"/>
      <w:numFmt w:val="bullet"/>
      <w:lvlText w:val="o"/>
      <w:lvlJc w:val="left"/>
      <w:pPr>
        <w:ind w:left="1440" w:hanging="360"/>
      </w:pPr>
      <w:rPr>
        <w:rFonts w:ascii="Courier New" w:hAnsi="Courier New" w:hint="default"/>
      </w:rPr>
    </w:lvl>
    <w:lvl w:ilvl="2" w:tplc="23B434B6">
      <w:start w:val="1"/>
      <w:numFmt w:val="bullet"/>
      <w:lvlText w:val=""/>
      <w:lvlJc w:val="left"/>
      <w:pPr>
        <w:ind w:left="2160" w:hanging="360"/>
      </w:pPr>
      <w:rPr>
        <w:rFonts w:ascii="Wingdings" w:hAnsi="Wingdings" w:hint="default"/>
      </w:rPr>
    </w:lvl>
    <w:lvl w:ilvl="3" w:tplc="BC882FEC">
      <w:start w:val="1"/>
      <w:numFmt w:val="bullet"/>
      <w:lvlText w:val=""/>
      <w:lvlJc w:val="left"/>
      <w:pPr>
        <w:ind w:left="2880" w:hanging="360"/>
      </w:pPr>
      <w:rPr>
        <w:rFonts w:ascii="Symbol" w:hAnsi="Symbol" w:hint="default"/>
      </w:rPr>
    </w:lvl>
    <w:lvl w:ilvl="4" w:tplc="E2EABB54">
      <w:start w:val="1"/>
      <w:numFmt w:val="bullet"/>
      <w:lvlText w:val="o"/>
      <w:lvlJc w:val="left"/>
      <w:pPr>
        <w:ind w:left="3600" w:hanging="360"/>
      </w:pPr>
      <w:rPr>
        <w:rFonts w:ascii="Courier New" w:hAnsi="Courier New" w:hint="default"/>
      </w:rPr>
    </w:lvl>
    <w:lvl w:ilvl="5" w:tplc="3C724170">
      <w:start w:val="1"/>
      <w:numFmt w:val="bullet"/>
      <w:lvlText w:val=""/>
      <w:lvlJc w:val="left"/>
      <w:pPr>
        <w:ind w:left="4320" w:hanging="360"/>
      </w:pPr>
      <w:rPr>
        <w:rFonts w:ascii="Wingdings" w:hAnsi="Wingdings" w:hint="default"/>
      </w:rPr>
    </w:lvl>
    <w:lvl w:ilvl="6" w:tplc="C2AE1D3A">
      <w:start w:val="1"/>
      <w:numFmt w:val="bullet"/>
      <w:lvlText w:val=""/>
      <w:lvlJc w:val="left"/>
      <w:pPr>
        <w:ind w:left="5040" w:hanging="360"/>
      </w:pPr>
      <w:rPr>
        <w:rFonts w:ascii="Symbol" w:hAnsi="Symbol" w:hint="default"/>
      </w:rPr>
    </w:lvl>
    <w:lvl w:ilvl="7" w:tplc="B0428238">
      <w:start w:val="1"/>
      <w:numFmt w:val="bullet"/>
      <w:lvlText w:val="o"/>
      <w:lvlJc w:val="left"/>
      <w:pPr>
        <w:ind w:left="5760" w:hanging="360"/>
      </w:pPr>
      <w:rPr>
        <w:rFonts w:ascii="Courier New" w:hAnsi="Courier New" w:hint="default"/>
      </w:rPr>
    </w:lvl>
    <w:lvl w:ilvl="8" w:tplc="0038DF44">
      <w:start w:val="1"/>
      <w:numFmt w:val="bullet"/>
      <w:lvlText w:val=""/>
      <w:lvlJc w:val="left"/>
      <w:pPr>
        <w:ind w:left="6480" w:hanging="360"/>
      </w:pPr>
      <w:rPr>
        <w:rFonts w:ascii="Wingdings" w:hAnsi="Wingdings" w:hint="default"/>
      </w:rPr>
    </w:lvl>
  </w:abstractNum>
  <w:abstractNum w:abstractNumId="25" w15:restartNumberingAfterBreak="0">
    <w:nsid w:val="73EB4402"/>
    <w:multiLevelType w:val="hybridMultilevel"/>
    <w:tmpl w:val="9F10D0BC"/>
    <w:lvl w:ilvl="0" w:tplc="32E0058C">
      <w:start w:val="1"/>
      <w:numFmt w:val="bullet"/>
      <w:lvlText w:val="•"/>
      <w:lvlJc w:val="left"/>
      <w:pPr>
        <w:tabs>
          <w:tab w:val="num" w:pos="720"/>
        </w:tabs>
        <w:ind w:left="720" w:hanging="360"/>
      </w:pPr>
      <w:rPr>
        <w:rFonts w:ascii="Arial" w:hAnsi="Arial" w:hint="default"/>
      </w:rPr>
    </w:lvl>
    <w:lvl w:ilvl="1" w:tplc="3D2E962E" w:tentative="1">
      <w:start w:val="1"/>
      <w:numFmt w:val="bullet"/>
      <w:lvlText w:val="•"/>
      <w:lvlJc w:val="left"/>
      <w:pPr>
        <w:tabs>
          <w:tab w:val="num" w:pos="1440"/>
        </w:tabs>
        <w:ind w:left="1440" w:hanging="360"/>
      </w:pPr>
      <w:rPr>
        <w:rFonts w:ascii="Arial" w:hAnsi="Arial" w:hint="default"/>
      </w:rPr>
    </w:lvl>
    <w:lvl w:ilvl="2" w:tplc="CFB25CAE" w:tentative="1">
      <w:start w:val="1"/>
      <w:numFmt w:val="bullet"/>
      <w:lvlText w:val="•"/>
      <w:lvlJc w:val="left"/>
      <w:pPr>
        <w:tabs>
          <w:tab w:val="num" w:pos="2160"/>
        </w:tabs>
        <w:ind w:left="2160" w:hanging="360"/>
      </w:pPr>
      <w:rPr>
        <w:rFonts w:ascii="Arial" w:hAnsi="Arial" w:hint="default"/>
      </w:rPr>
    </w:lvl>
    <w:lvl w:ilvl="3" w:tplc="1728E05A" w:tentative="1">
      <w:start w:val="1"/>
      <w:numFmt w:val="bullet"/>
      <w:lvlText w:val="•"/>
      <w:lvlJc w:val="left"/>
      <w:pPr>
        <w:tabs>
          <w:tab w:val="num" w:pos="2880"/>
        </w:tabs>
        <w:ind w:left="2880" w:hanging="360"/>
      </w:pPr>
      <w:rPr>
        <w:rFonts w:ascii="Arial" w:hAnsi="Arial" w:hint="default"/>
      </w:rPr>
    </w:lvl>
    <w:lvl w:ilvl="4" w:tplc="8A36CB3A" w:tentative="1">
      <w:start w:val="1"/>
      <w:numFmt w:val="bullet"/>
      <w:lvlText w:val="•"/>
      <w:lvlJc w:val="left"/>
      <w:pPr>
        <w:tabs>
          <w:tab w:val="num" w:pos="3600"/>
        </w:tabs>
        <w:ind w:left="3600" w:hanging="360"/>
      </w:pPr>
      <w:rPr>
        <w:rFonts w:ascii="Arial" w:hAnsi="Arial" w:hint="default"/>
      </w:rPr>
    </w:lvl>
    <w:lvl w:ilvl="5" w:tplc="2038503E" w:tentative="1">
      <w:start w:val="1"/>
      <w:numFmt w:val="bullet"/>
      <w:lvlText w:val="•"/>
      <w:lvlJc w:val="left"/>
      <w:pPr>
        <w:tabs>
          <w:tab w:val="num" w:pos="4320"/>
        </w:tabs>
        <w:ind w:left="4320" w:hanging="360"/>
      </w:pPr>
      <w:rPr>
        <w:rFonts w:ascii="Arial" w:hAnsi="Arial" w:hint="default"/>
      </w:rPr>
    </w:lvl>
    <w:lvl w:ilvl="6" w:tplc="F0687CDA" w:tentative="1">
      <w:start w:val="1"/>
      <w:numFmt w:val="bullet"/>
      <w:lvlText w:val="•"/>
      <w:lvlJc w:val="left"/>
      <w:pPr>
        <w:tabs>
          <w:tab w:val="num" w:pos="5040"/>
        </w:tabs>
        <w:ind w:left="5040" w:hanging="360"/>
      </w:pPr>
      <w:rPr>
        <w:rFonts w:ascii="Arial" w:hAnsi="Arial" w:hint="default"/>
      </w:rPr>
    </w:lvl>
    <w:lvl w:ilvl="7" w:tplc="577818F4" w:tentative="1">
      <w:start w:val="1"/>
      <w:numFmt w:val="bullet"/>
      <w:lvlText w:val="•"/>
      <w:lvlJc w:val="left"/>
      <w:pPr>
        <w:tabs>
          <w:tab w:val="num" w:pos="5760"/>
        </w:tabs>
        <w:ind w:left="5760" w:hanging="360"/>
      </w:pPr>
      <w:rPr>
        <w:rFonts w:ascii="Arial" w:hAnsi="Arial" w:hint="default"/>
      </w:rPr>
    </w:lvl>
    <w:lvl w:ilvl="8" w:tplc="AE62536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EA3E9D"/>
    <w:multiLevelType w:val="hybridMultilevel"/>
    <w:tmpl w:val="B456C5C6"/>
    <w:lvl w:ilvl="0" w:tplc="BF8E1F1E">
      <w:start w:val="1"/>
      <w:numFmt w:val="bullet"/>
      <w:lvlText w:val="•"/>
      <w:lvlJc w:val="left"/>
      <w:pPr>
        <w:tabs>
          <w:tab w:val="num" w:pos="720"/>
        </w:tabs>
        <w:ind w:left="720" w:hanging="360"/>
      </w:pPr>
      <w:rPr>
        <w:rFonts w:ascii="Arial" w:hAnsi="Arial" w:hint="default"/>
      </w:rPr>
    </w:lvl>
    <w:lvl w:ilvl="1" w:tplc="3800E3FA" w:tentative="1">
      <w:start w:val="1"/>
      <w:numFmt w:val="bullet"/>
      <w:lvlText w:val="•"/>
      <w:lvlJc w:val="left"/>
      <w:pPr>
        <w:tabs>
          <w:tab w:val="num" w:pos="1440"/>
        </w:tabs>
        <w:ind w:left="1440" w:hanging="360"/>
      </w:pPr>
      <w:rPr>
        <w:rFonts w:ascii="Arial" w:hAnsi="Arial" w:hint="default"/>
      </w:rPr>
    </w:lvl>
    <w:lvl w:ilvl="2" w:tplc="B01A7A50" w:tentative="1">
      <w:start w:val="1"/>
      <w:numFmt w:val="bullet"/>
      <w:lvlText w:val="•"/>
      <w:lvlJc w:val="left"/>
      <w:pPr>
        <w:tabs>
          <w:tab w:val="num" w:pos="2160"/>
        </w:tabs>
        <w:ind w:left="2160" w:hanging="360"/>
      </w:pPr>
      <w:rPr>
        <w:rFonts w:ascii="Arial" w:hAnsi="Arial" w:hint="default"/>
      </w:rPr>
    </w:lvl>
    <w:lvl w:ilvl="3" w:tplc="C56696E2" w:tentative="1">
      <w:start w:val="1"/>
      <w:numFmt w:val="bullet"/>
      <w:lvlText w:val="•"/>
      <w:lvlJc w:val="left"/>
      <w:pPr>
        <w:tabs>
          <w:tab w:val="num" w:pos="2880"/>
        </w:tabs>
        <w:ind w:left="2880" w:hanging="360"/>
      </w:pPr>
      <w:rPr>
        <w:rFonts w:ascii="Arial" w:hAnsi="Arial" w:hint="default"/>
      </w:rPr>
    </w:lvl>
    <w:lvl w:ilvl="4" w:tplc="D16217EC" w:tentative="1">
      <w:start w:val="1"/>
      <w:numFmt w:val="bullet"/>
      <w:lvlText w:val="•"/>
      <w:lvlJc w:val="left"/>
      <w:pPr>
        <w:tabs>
          <w:tab w:val="num" w:pos="3600"/>
        </w:tabs>
        <w:ind w:left="3600" w:hanging="360"/>
      </w:pPr>
      <w:rPr>
        <w:rFonts w:ascii="Arial" w:hAnsi="Arial" w:hint="default"/>
      </w:rPr>
    </w:lvl>
    <w:lvl w:ilvl="5" w:tplc="3FE47B3C" w:tentative="1">
      <w:start w:val="1"/>
      <w:numFmt w:val="bullet"/>
      <w:lvlText w:val="•"/>
      <w:lvlJc w:val="left"/>
      <w:pPr>
        <w:tabs>
          <w:tab w:val="num" w:pos="4320"/>
        </w:tabs>
        <w:ind w:left="4320" w:hanging="360"/>
      </w:pPr>
      <w:rPr>
        <w:rFonts w:ascii="Arial" w:hAnsi="Arial" w:hint="default"/>
      </w:rPr>
    </w:lvl>
    <w:lvl w:ilvl="6" w:tplc="32DC7DDC" w:tentative="1">
      <w:start w:val="1"/>
      <w:numFmt w:val="bullet"/>
      <w:lvlText w:val="•"/>
      <w:lvlJc w:val="left"/>
      <w:pPr>
        <w:tabs>
          <w:tab w:val="num" w:pos="5040"/>
        </w:tabs>
        <w:ind w:left="5040" w:hanging="360"/>
      </w:pPr>
      <w:rPr>
        <w:rFonts w:ascii="Arial" w:hAnsi="Arial" w:hint="default"/>
      </w:rPr>
    </w:lvl>
    <w:lvl w:ilvl="7" w:tplc="D64806B6" w:tentative="1">
      <w:start w:val="1"/>
      <w:numFmt w:val="bullet"/>
      <w:lvlText w:val="•"/>
      <w:lvlJc w:val="left"/>
      <w:pPr>
        <w:tabs>
          <w:tab w:val="num" w:pos="5760"/>
        </w:tabs>
        <w:ind w:left="5760" w:hanging="360"/>
      </w:pPr>
      <w:rPr>
        <w:rFonts w:ascii="Arial" w:hAnsi="Arial" w:hint="default"/>
      </w:rPr>
    </w:lvl>
    <w:lvl w:ilvl="8" w:tplc="F4ECAE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8931A4"/>
    <w:multiLevelType w:val="multilevel"/>
    <w:tmpl w:val="37BC7D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399716702">
    <w:abstractNumId w:val="15"/>
  </w:num>
  <w:num w:numId="2" w16cid:durableId="1595244151">
    <w:abstractNumId w:val="22"/>
  </w:num>
  <w:num w:numId="3" w16cid:durableId="368646558">
    <w:abstractNumId w:val="2"/>
  </w:num>
  <w:num w:numId="4" w16cid:durableId="534393170">
    <w:abstractNumId w:val="20"/>
  </w:num>
  <w:num w:numId="5" w16cid:durableId="609512517">
    <w:abstractNumId w:val="23"/>
  </w:num>
  <w:num w:numId="6" w16cid:durableId="399059138">
    <w:abstractNumId w:val="18"/>
  </w:num>
  <w:num w:numId="7" w16cid:durableId="844713294">
    <w:abstractNumId w:val="0"/>
  </w:num>
  <w:num w:numId="8" w16cid:durableId="1216114763">
    <w:abstractNumId w:val="10"/>
  </w:num>
  <w:num w:numId="9" w16cid:durableId="271981084">
    <w:abstractNumId w:val="12"/>
  </w:num>
  <w:num w:numId="10" w16cid:durableId="953054917">
    <w:abstractNumId w:val="4"/>
  </w:num>
  <w:num w:numId="11" w16cid:durableId="37903203">
    <w:abstractNumId w:val="6"/>
  </w:num>
  <w:num w:numId="12" w16cid:durableId="384717536">
    <w:abstractNumId w:val="26"/>
  </w:num>
  <w:num w:numId="13" w16cid:durableId="1106000268">
    <w:abstractNumId w:val="9"/>
  </w:num>
  <w:num w:numId="14" w16cid:durableId="1849715831">
    <w:abstractNumId w:val="18"/>
  </w:num>
  <w:num w:numId="15" w16cid:durableId="1692685842">
    <w:abstractNumId w:val="18"/>
  </w:num>
  <w:num w:numId="16" w16cid:durableId="176384882">
    <w:abstractNumId w:val="18"/>
  </w:num>
  <w:num w:numId="17" w16cid:durableId="1207568717">
    <w:abstractNumId w:val="18"/>
  </w:num>
  <w:num w:numId="18" w16cid:durableId="296909855">
    <w:abstractNumId w:val="18"/>
  </w:num>
  <w:num w:numId="19" w16cid:durableId="1431127376">
    <w:abstractNumId w:val="18"/>
  </w:num>
  <w:num w:numId="20" w16cid:durableId="1044135651">
    <w:abstractNumId w:val="18"/>
  </w:num>
  <w:num w:numId="21" w16cid:durableId="1258056120">
    <w:abstractNumId w:val="18"/>
  </w:num>
  <w:num w:numId="22" w16cid:durableId="29688918">
    <w:abstractNumId w:val="18"/>
  </w:num>
  <w:num w:numId="23" w16cid:durableId="1615475890">
    <w:abstractNumId w:val="18"/>
  </w:num>
  <w:num w:numId="24" w16cid:durableId="351613123">
    <w:abstractNumId w:val="7"/>
  </w:num>
  <w:num w:numId="25" w16cid:durableId="1623489442">
    <w:abstractNumId w:val="13"/>
  </w:num>
  <w:num w:numId="26" w16cid:durableId="744187049">
    <w:abstractNumId w:val="25"/>
  </w:num>
  <w:num w:numId="27" w16cid:durableId="910390446">
    <w:abstractNumId w:val="1"/>
  </w:num>
  <w:num w:numId="28" w16cid:durableId="731123866">
    <w:abstractNumId w:val="16"/>
  </w:num>
  <w:num w:numId="29" w16cid:durableId="787162819">
    <w:abstractNumId w:val="3"/>
  </w:num>
  <w:num w:numId="30" w16cid:durableId="1997564532">
    <w:abstractNumId w:val="24"/>
  </w:num>
  <w:num w:numId="31" w16cid:durableId="357515075">
    <w:abstractNumId w:val="8"/>
  </w:num>
  <w:num w:numId="32" w16cid:durableId="151869275">
    <w:abstractNumId w:val="14"/>
  </w:num>
  <w:num w:numId="33" w16cid:durableId="1279918352">
    <w:abstractNumId w:val="27"/>
  </w:num>
  <w:num w:numId="34" w16cid:durableId="337775794">
    <w:abstractNumId w:val="18"/>
  </w:num>
  <w:num w:numId="35" w16cid:durableId="1046494209">
    <w:abstractNumId w:val="5"/>
  </w:num>
  <w:num w:numId="36" w16cid:durableId="904339903">
    <w:abstractNumId w:val="21"/>
  </w:num>
  <w:num w:numId="37" w16cid:durableId="1197767513">
    <w:abstractNumId w:val="19"/>
  </w:num>
  <w:num w:numId="38" w16cid:durableId="1692797039">
    <w:abstractNumId w:val="11"/>
  </w:num>
  <w:num w:numId="39" w16cid:durableId="211847960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76"/>
    <w:rsid w:val="00001070"/>
    <w:rsid w:val="00001C1D"/>
    <w:rsid w:val="00005323"/>
    <w:rsid w:val="000053F8"/>
    <w:rsid w:val="00005BBE"/>
    <w:rsid w:val="0000734A"/>
    <w:rsid w:val="00012814"/>
    <w:rsid w:val="00012F54"/>
    <w:rsid w:val="000147DF"/>
    <w:rsid w:val="000151AF"/>
    <w:rsid w:val="000204EF"/>
    <w:rsid w:val="000208CE"/>
    <w:rsid w:val="00024053"/>
    <w:rsid w:val="00024D0A"/>
    <w:rsid w:val="000262A2"/>
    <w:rsid w:val="000271E4"/>
    <w:rsid w:val="0002756E"/>
    <w:rsid w:val="000307DC"/>
    <w:rsid w:val="000310D8"/>
    <w:rsid w:val="000324AA"/>
    <w:rsid w:val="000339D7"/>
    <w:rsid w:val="00033D62"/>
    <w:rsid w:val="0003619B"/>
    <w:rsid w:val="00036995"/>
    <w:rsid w:val="00037395"/>
    <w:rsid w:val="00037663"/>
    <w:rsid w:val="00037DFA"/>
    <w:rsid w:val="000403C7"/>
    <w:rsid w:val="00041FC7"/>
    <w:rsid w:val="00042A6A"/>
    <w:rsid w:val="00044B0C"/>
    <w:rsid w:val="00044FFF"/>
    <w:rsid w:val="00045040"/>
    <w:rsid w:val="00046939"/>
    <w:rsid w:val="000514AB"/>
    <w:rsid w:val="000523D8"/>
    <w:rsid w:val="00054F18"/>
    <w:rsid w:val="0005520C"/>
    <w:rsid w:val="00055BC0"/>
    <w:rsid w:val="00056D7C"/>
    <w:rsid w:val="0006106A"/>
    <w:rsid w:val="00061F08"/>
    <w:rsid w:val="00070065"/>
    <w:rsid w:val="000706D2"/>
    <w:rsid w:val="00070868"/>
    <w:rsid w:val="0007146F"/>
    <w:rsid w:val="00073A50"/>
    <w:rsid w:val="00073E62"/>
    <w:rsid w:val="00074103"/>
    <w:rsid w:val="000752CB"/>
    <w:rsid w:val="00075B92"/>
    <w:rsid w:val="00076C38"/>
    <w:rsid w:val="00076DCB"/>
    <w:rsid w:val="000777A5"/>
    <w:rsid w:val="00080863"/>
    <w:rsid w:val="00081FBB"/>
    <w:rsid w:val="000821AC"/>
    <w:rsid w:val="00082D74"/>
    <w:rsid w:val="00082F7C"/>
    <w:rsid w:val="00083926"/>
    <w:rsid w:val="00084F13"/>
    <w:rsid w:val="0008509C"/>
    <w:rsid w:val="0008529E"/>
    <w:rsid w:val="00086CAF"/>
    <w:rsid w:val="00087368"/>
    <w:rsid w:val="00087393"/>
    <w:rsid w:val="00087435"/>
    <w:rsid w:val="00087D4E"/>
    <w:rsid w:val="00091617"/>
    <w:rsid w:val="00091887"/>
    <w:rsid w:val="000937EE"/>
    <w:rsid w:val="00093ECE"/>
    <w:rsid w:val="0009439E"/>
    <w:rsid w:val="00095D77"/>
    <w:rsid w:val="00097451"/>
    <w:rsid w:val="0009765F"/>
    <w:rsid w:val="00097A0C"/>
    <w:rsid w:val="000A103D"/>
    <w:rsid w:val="000A1839"/>
    <w:rsid w:val="000A225D"/>
    <w:rsid w:val="000A3543"/>
    <w:rsid w:val="000A4FEE"/>
    <w:rsid w:val="000A5D82"/>
    <w:rsid w:val="000A601E"/>
    <w:rsid w:val="000A72FD"/>
    <w:rsid w:val="000A7359"/>
    <w:rsid w:val="000B1FE6"/>
    <w:rsid w:val="000B259E"/>
    <w:rsid w:val="000B25FC"/>
    <w:rsid w:val="000B4126"/>
    <w:rsid w:val="000B4EA4"/>
    <w:rsid w:val="000B5939"/>
    <w:rsid w:val="000B5C73"/>
    <w:rsid w:val="000B5D22"/>
    <w:rsid w:val="000B6817"/>
    <w:rsid w:val="000C0718"/>
    <w:rsid w:val="000C1C2D"/>
    <w:rsid w:val="000C2027"/>
    <w:rsid w:val="000C2316"/>
    <w:rsid w:val="000C33F4"/>
    <w:rsid w:val="000C751D"/>
    <w:rsid w:val="000C785A"/>
    <w:rsid w:val="000C7C79"/>
    <w:rsid w:val="000D06FD"/>
    <w:rsid w:val="000D167D"/>
    <w:rsid w:val="000D39E9"/>
    <w:rsid w:val="000D3A12"/>
    <w:rsid w:val="000D3E0E"/>
    <w:rsid w:val="000D4077"/>
    <w:rsid w:val="000D4424"/>
    <w:rsid w:val="000D6C3A"/>
    <w:rsid w:val="000E04A5"/>
    <w:rsid w:val="000E09C0"/>
    <w:rsid w:val="000E0D8A"/>
    <w:rsid w:val="000E12CD"/>
    <w:rsid w:val="000E1805"/>
    <w:rsid w:val="000E238C"/>
    <w:rsid w:val="000E342C"/>
    <w:rsid w:val="000E3D24"/>
    <w:rsid w:val="000E4E32"/>
    <w:rsid w:val="000E5806"/>
    <w:rsid w:val="000E5A22"/>
    <w:rsid w:val="000E7E05"/>
    <w:rsid w:val="000F11BC"/>
    <w:rsid w:val="000F2207"/>
    <w:rsid w:val="000F2632"/>
    <w:rsid w:val="000F29A9"/>
    <w:rsid w:val="000F4121"/>
    <w:rsid w:val="000F4C62"/>
    <w:rsid w:val="000F55A6"/>
    <w:rsid w:val="000F56EB"/>
    <w:rsid w:val="000F5B22"/>
    <w:rsid w:val="000F5EA2"/>
    <w:rsid w:val="000F6B48"/>
    <w:rsid w:val="000F7EA4"/>
    <w:rsid w:val="00100C61"/>
    <w:rsid w:val="00102F8B"/>
    <w:rsid w:val="00103205"/>
    <w:rsid w:val="00103E9D"/>
    <w:rsid w:val="001044CC"/>
    <w:rsid w:val="0010504A"/>
    <w:rsid w:val="00105476"/>
    <w:rsid w:val="001055EA"/>
    <w:rsid w:val="0010599C"/>
    <w:rsid w:val="00105BC0"/>
    <w:rsid w:val="00105D34"/>
    <w:rsid w:val="001075DB"/>
    <w:rsid w:val="0011289C"/>
    <w:rsid w:val="001134E7"/>
    <w:rsid w:val="00114CA1"/>
    <w:rsid w:val="00114ECF"/>
    <w:rsid w:val="00116843"/>
    <w:rsid w:val="00120A88"/>
    <w:rsid w:val="00122634"/>
    <w:rsid w:val="00122A60"/>
    <w:rsid w:val="0012409B"/>
    <w:rsid w:val="001245B0"/>
    <w:rsid w:val="00124DBB"/>
    <w:rsid w:val="00125C59"/>
    <w:rsid w:val="0012684D"/>
    <w:rsid w:val="00127A6D"/>
    <w:rsid w:val="00132C6B"/>
    <w:rsid w:val="00133283"/>
    <w:rsid w:val="001336C8"/>
    <w:rsid w:val="001336FF"/>
    <w:rsid w:val="00133DA4"/>
    <w:rsid w:val="001340ED"/>
    <w:rsid w:val="0013478F"/>
    <w:rsid w:val="0013488C"/>
    <w:rsid w:val="00136206"/>
    <w:rsid w:val="00140122"/>
    <w:rsid w:val="00141077"/>
    <w:rsid w:val="001414F1"/>
    <w:rsid w:val="001415A2"/>
    <w:rsid w:val="001417F7"/>
    <w:rsid w:val="00141FF6"/>
    <w:rsid w:val="00142EDF"/>
    <w:rsid w:val="00142FFA"/>
    <w:rsid w:val="001444A5"/>
    <w:rsid w:val="0014463F"/>
    <w:rsid w:val="001462A7"/>
    <w:rsid w:val="0014757F"/>
    <w:rsid w:val="00147815"/>
    <w:rsid w:val="00151793"/>
    <w:rsid w:val="00154FA5"/>
    <w:rsid w:val="00155E15"/>
    <w:rsid w:val="00156438"/>
    <w:rsid w:val="00157BBE"/>
    <w:rsid w:val="00160C92"/>
    <w:rsid w:val="00160D25"/>
    <w:rsid w:val="001614EB"/>
    <w:rsid w:val="00162B60"/>
    <w:rsid w:val="00163F92"/>
    <w:rsid w:val="001654DB"/>
    <w:rsid w:val="00165536"/>
    <w:rsid w:val="00166B4F"/>
    <w:rsid w:val="00166BB0"/>
    <w:rsid w:val="0017169E"/>
    <w:rsid w:val="00171B59"/>
    <w:rsid w:val="001723C1"/>
    <w:rsid w:val="0017315C"/>
    <w:rsid w:val="001747DC"/>
    <w:rsid w:val="00175595"/>
    <w:rsid w:val="00175A6C"/>
    <w:rsid w:val="00180929"/>
    <w:rsid w:val="00180D59"/>
    <w:rsid w:val="00181618"/>
    <w:rsid w:val="001819D5"/>
    <w:rsid w:val="00183569"/>
    <w:rsid w:val="00183C09"/>
    <w:rsid w:val="00184720"/>
    <w:rsid w:val="00187346"/>
    <w:rsid w:val="00190A91"/>
    <w:rsid w:val="001978F3"/>
    <w:rsid w:val="00197CAC"/>
    <w:rsid w:val="001A139C"/>
    <w:rsid w:val="001A32E8"/>
    <w:rsid w:val="001A44DE"/>
    <w:rsid w:val="001A6635"/>
    <w:rsid w:val="001B07B1"/>
    <w:rsid w:val="001B0EE9"/>
    <w:rsid w:val="001B171E"/>
    <w:rsid w:val="001B1E79"/>
    <w:rsid w:val="001B2A57"/>
    <w:rsid w:val="001B3BB6"/>
    <w:rsid w:val="001B472B"/>
    <w:rsid w:val="001B65B3"/>
    <w:rsid w:val="001B705F"/>
    <w:rsid w:val="001B7DFA"/>
    <w:rsid w:val="001C003C"/>
    <w:rsid w:val="001C27AB"/>
    <w:rsid w:val="001C2C5F"/>
    <w:rsid w:val="001C2D5D"/>
    <w:rsid w:val="001C4067"/>
    <w:rsid w:val="001C5AE0"/>
    <w:rsid w:val="001C5BD8"/>
    <w:rsid w:val="001C64F1"/>
    <w:rsid w:val="001C69C7"/>
    <w:rsid w:val="001C6FD9"/>
    <w:rsid w:val="001C757B"/>
    <w:rsid w:val="001C778A"/>
    <w:rsid w:val="001D0533"/>
    <w:rsid w:val="001D0C72"/>
    <w:rsid w:val="001D17B9"/>
    <w:rsid w:val="001D27DD"/>
    <w:rsid w:val="001D5BAE"/>
    <w:rsid w:val="001D5EB2"/>
    <w:rsid w:val="001D6046"/>
    <w:rsid w:val="001D611A"/>
    <w:rsid w:val="001D62B7"/>
    <w:rsid w:val="001D681A"/>
    <w:rsid w:val="001D6C52"/>
    <w:rsid w:val="001D79CB"/>
    <w:rsid w:val="001E045B"/>
    <w:rsid w:val="001E0670"/>
    <w:rsid w:val="001E2152"/>
    <w:rsid w:val="001E2452"/>
    <w:rsid w:val="001E27F8"/>
    <w:rsid w:val="001E4D02"/>
    <w:rsid w:val="001E60D6"/>
    <w:rsid w:val="001E70ED"/>
    <w:rsid w:val="001E7650"/>
    <w:rsid w:val="001E7783"/>
    <w:rsid w:val="001F47F0"/>
    <w:rsid w:val="001F6604"/>
    <w:rsid w:val="001F7661"/>
    <w:rsid w:val="00200C8E"/>
    <w:rsid w:val="0020152D"/>
    <w:rsid w:val="0020337E"/>
    <w:rsid w:val="00203A39"/>
    <w:rsid w:val="0020603E"/>
    <w:rsid w:val="002100A7"/>
    <w:rsid w:val="002124D5"/>
    <w:rsid w:val="002138F3"/>
    <w:rsid w:val="00215324"/>
    <w:rsid w:val="00215557"/>
    <w:rsid w:val="00216390"/>
    <w:rsid w:val="0021654F"/>
    <w:rsid w:val="0021669B"/>
    <w:rsid w:val="002223D6"/>
    <w:rsid w:val="00223C05"/>
    <w:rsid w:val="0022436F"/>
    <w:rsid w:val="0022486F"/>
    <w:rsid w:val="00224E57"/>
    <w:rsid w:val="00225177"/>
    <w:rsid w:val="002253B0"/>
    <w:rsid w:val="00230480"/>
    <w:rsid w:val="00232D1D"/>
    <w:rsid w:val="002334E8"/>
    <w:rsid w:val="0023662B"/>
    <w:rsid w:val="00236ED4"/>
    <w:rsid w:val="002374B8"/>
    <w:rsid w:val="002377DA"/>
    <w:rsid w:val="002402AF"/>
    <w:rsid w:val="002408EA"/>
    <w:rsid w:val="00240C46"/>
    <w:rsid w:val="00240DAC"/>
    <w:rsid w:val="002416FA"/>
    <w:rsid w:val="00241EA1"/>
    <w:rsid w:val="00242CCD"/>
    <w:rsid w:val="0024324D"/>
    <w:rsid w:val="00247497"/>
    <w:rsid w:val="00247A22"/>
    <w:rsid w:val="00250F41"/>
    <w:rsid w:val="00252054"/>
    <w:rsid w:val="00252527"/>
    <w:rsid w:val="0025603E"/>
    <w:rsid w:val="00256164"/>
    <w:rsid w:val="002573D2"/>
    <w:rsid w:val="0026145A"/>
    <w:rsid w:val="0026341D"/>
    <w:rsid w:val="002641D1"/>
    <w:rsid w:val="00265411"/>
    <w:rsid w:val="00265621"/>
    <w:rsid w:val="00266DB3"/>
    <w:rsid w:val="00266EBB"/>
    <w:rsid w:val="0027004A"/>
    <w:rsid w:val="00270E44"/>
    <w:rsid w:val="0027129F"/>
    <w:rsid w:val="00272B79"/>
    <w:rsid w:val="00272C9E"/>
    <w:rsid w:val="00272EEB"/>
    <w:rsid w:val="002735FC"/>
    <w:rsid w:val="002739E4"/>
    <w:rsid w:val="00273A42"/>
    <w:rsid w:val="002742C9"/>
    <w:rsid w:val="00274CD5"/>
    <w:rsid w:val="0027606E"/>
    <w:rsid w:val="0027622A"/>
    <w:rsid w:val="0027638C"/>
    <w:rsid w:val="002771B0"/>
    <w:rsid w:val="002819D7"/>
    <w:rsid w:val="00281DC2"/>
    <w:rsid w:val="00282C2B"/>
    <w:rsid w:val="00286261"/>
    <w:rsid w:val="0028636E"/>
    <w:rsid w:val="00286B54"/>
    <w:rsid w:val="00291E94"/>
    <w:rsid w:val="002921E7"/>
    <w:rsid w:val="00292BB4"/>
    <w:rsid w:val="002933DD"/>
    <w:rsid w:val="00293435"/>
    <w:rsid w:val="00294FE2"/>
    <w:rsid w:val="00297CF8"/>
    <w:rsid w:val="00297D40"/>
    <w:rsid w:val="002A0651"/>
    <w:rsid w:val="002A0EEC"/>
    <w:rsid w:val="002A1F04"/>
    <w:rsid w:val="002A200F"/>
    <w:rsid w:val="002A22D0"/>
    <w:rsid w:val="002A2F9E"/>
    <w:rsid w:val="002A345B"/>
    <w:rsid w:val="002A3BCE"/>
    <w:rsid w:val="002A419F"/>
    <w:rsid w:val="002A4A4D"/>
    <w:rsid w:val="002A518E"/>
    <w:rsid w:val="002A6009"/>
    <w:rsid w:val="002A6511"/>
    <w:rsid w:val="002B0EA2"/>
    <w:rsid w:val="002B23F4"/>
    <w:rsid w:val="002B2971"/>
    <w:rsid w:val="002B42F7"/>
    <w:rsid w:val="002B6E37"/>
    <w:rsid w:val="002B7750"/>
    <w:rsid w:val="002C0446"/>
    <w:rsid w:val="002C17B2"/>
    <w:rsid w:val="002C1A7E"/>
    <w:rsid w:val="002C1AA0"/>
    <w:rsid w:val="002C1DB0"/>
    <w:rsid w:val="002C277B"/>
    <w:rsid w:val="002C2F8A"/>
    <w:rsid w:val="002C4772"/>
    <w:rsid w:val="002C4E95"/>
    <w:rsid w:val="002C5653"/>
    <w:rsid w:val="002C6AAC"/>
    <w:rsid w:val="002C6B52"/>
    <w:rsid w:val="002C7427"/>
    <w:rsid w:val="002D3376"/>
    <w:rsid w:val="002D3CCB"/>
    <w:rsid w:val="002D43A2"/>
    <w:rsid w:val="002D43A9"/>
    <w:rsid w:val="002D46F8"/>
    <w:rsid w:val="002D52BE"/>
    <w:rsid w:val="002D678D"/>
    <w:rsid w:val="002E06C4"/>
    <w:rsid w:val="002E0E64"/>
    <w:rsid w:val="002E18B9"/>
    <w:rsid w:val="002E1999"/>
    <w:rsid w:val="002E226E"/>
    <w:rsid w:val="002E2892"/>
    <w:rsid w:val="002E2D9E"/>
    <w:rsid w:val="002E3507"/>
    <w:rsid w:val="002E408A"/>
    <w:rsid w:val="002E5E5F"/>
    <w:rsid w:val="002E751B"/>
    <w:rsid w:val="002F04B5"/>
    <w:rsid w:val="002F0BB1"/>
    <w:rsid w:val="002F1617"/>
    <w:rsid w:val="002F2660"/>
    <w:rsid w:val="002F3C3B"/>
    <w:rsid w:val="002F4078"/>
    <w:rsid w:val="002F4CA8"/>
    <w:rsid w:val="002F54B5"/>
    <w:rsid w:val="002F694F"/>
    <w:rsid w:val="002F7360"/>
    <w:rsid w:val="003000F8"/>
    <w:rsid w:val="0030258C"/>
    <w:rsid w:val="00302882"/>
    <w:rsid w:val="003030F6"/>
    <w:rsid w:val="00304283"/>
    <w:rsid w:val="00305F52"/>
    <w:rsid w:val="0031106C"/>
    <w:rsid w:val="00311BF2"/>
    <w:rsid w:val="00311E3B"/>
    <w:rsid w:val="00311E4D"/>
    <w:rsid w:val="00311ED0"/>
    <w:rsid w:val="00313487"/>
    <w:rsid w:val="00313BC8"/>
    <w:rsid w:val="00314050"/>
    <w:rsid w:val="00314A68"/>
    <w:rsid w:val="00317DD5"/>
    <w:rsid w:val="00320120"/>
    <w:rsid w:val="003238AD"/>
    <w:rsid w:val="003252E7"/>
    <w:rsid w:val="00325E08"/>
    <w:rsid w:val="00326833"/>
    <w:rsid w:val="0032697D"/>
    <w:rsid w:val="00326988"/>
    <w:rsid w:val="003275BF"/>
    <w:rsid w:val="00331F95"/>
    <w:rsid w:val="003327EF"/>
    <w:rsid w:val="00333156"/>
    <w:rsid w:val="00333173"/>
    <w:rsid w:val="003332F2"/>
    <w:rsid w:val="003357F7"/>
    <w:rsid w:val="00336063"/>
    <w:rsid w:val="003368BC"/>
    <w:rsid w:val="0033723B"/>
    <w:rsid w:val="003375DD"/>
    <w:rsid w:val="00340D27"/>
    <w:rsid w:val="00340DF8"/>
    <w:rsid w:val="00342C57"/>
    <w:rsid w:val="003437AD"/>
    <w:rsid w:val="00345401"/>
    <w:rsid w:val="00346801"/>
    <w:rsid w:val="00352EDF"/>
    <w:rsid w:val="00353F67"/>
    <w:rsid w:val="003549B2"/>
    <w:rsid w:val="00355F2F"/>
    <w:rsid w:val="00356452"/>
    <w:rsid w:val="00360F79"/>
    <w:rsid w:val="00361519"/>
    <w:rsid w:val="003620C1"/>
    <w:rsid w:val="00363853"/>
    <w:rsid w:val="00363F2A"/>
    <w:rsid w:val="003648C5"/>
    <w:rsid w:val="00364EB5"/>
    <w:rsid w:val="00365D24"/>
    <w:rsid w:val="0036659E"/>
    <w:rsid w:val="003679EB"/>
    <w:rsid w:val="00367D07"/>
    <w:rsid w:val="003711B7"/>
    <w:rsid w:val="003722FA"/>
    <w:rsid w:val="003725E2"/>
    <w:rsid w:val="00372E4D"/>
    <w:rsid w:val="00373180"/>
    <w:rsid w:val="003736AE"/>
    <w:rsid w:val="003763A7"/>
    <w:rsid w:val="0037682F"/>
    <w:rsid w:val="00376AE6"/>
    <w:rsid w:val="0037725C"/>
    <w:rsid w:val="00377714"/>
    <w:rsid w:val="0037789E"/>
    <w:rsid w:val="00380087"/>
    <w:rsid w:val="00380528"/>
    <w:rsid w:val="00381F34"/>
    <w:rsid w:val="00383598"/>
    <w:rsid w:val="00383730"/>
    <w:rsid w:val="00384A9F"/>
    <w:rsid w:val="00385956"/>
    <w:rsid w:val="00386FAD"/>
    <w:rsid w:val="003877A7"/>
    <w:rsid w:val="0038790F"/>
    <w:rsid w:val="003917B5"/>
    <w:rsid w:val="003918A5"/>
    <w:rsid w:val="00391BC0"/>
    <w:rsid w:val="003935B5"/>
    <w:rsid w:val="00393640"/>
    <w:rsid w:val="00394ADF"/>
    <w:rsid w:val="00394FD2"/>
    <w:rsid w:val="003969FB"/>
    <w:rsid w:val="00396CFC"/>
    <w:rsid w:val="00396E4A"/>
    <w:rsid w:val="00396FC2"/>
    <w:rsid w:val="00397397"/>
    <w:rsid w:val="003976B5"/>
    <w:rsid w:val="003A0C06"/>
    <w:rsid w:val="003A211F"/>
    <w:rsid w:val="003A2319"/>
    <w:rsid w:val="003A355D"/>
    <w:rsid w:val="003A3BA1"/>
    <w:rsid w:val="003A75FC"/>
    <w:rsid w:val="003B2E16"/>
    <w:rsid w:val="003B37A2"/>
    <w:rsid w:val="003B38B2"/>
    <w:rsid w:val="003B38F1"/>
    <w:rsid w:val="003B45F1"/>
    <w:rsid w:val="003B57E7"/>
    <w:rsid w:val="003B5B51"/>
    <w:rsid w:val="003B5F04"/>
    <w:rsid w:val="003B646C"/>
    <w:rsid w:val="003B7073"/>
    <w:rsid w:val="003C12D3"/>
    <w:rsid w:val="003C21FD"/>
    <w:rsid w:val="003C299E"/>
    <w:rsid w:val="003C2E29"/>
    <w:rsid w:val="003C3757"/>
    <w:rsid w:val="003C457C"/>
    <w:rsid w:val="003C5723"/>
    <w:rsid w:val="003C5E73"/>
    <w:rsid w:val="003C685B"/>
    <w:rsid w:val="003C6CB0"/>
    <w:rsid w:val="003C7AAF"/>
    <w:rsid w:val="003C7B6F"/>
    <w:rsid w:val="003C7C05"/>
    <w:rsid w:val="003D0868"/>
    <w:rsid w:val="003D3BB8"/>
    <w:rsid w:val="003D42F4"/>
    <w:rsid w:val="003E07A8"/>
    <w:rsid w:val="003E0FB0"/>
    <w:rsid w:val="003E5D8F"/>
    <w:rsid w:val="003E6E3A"/>
    <w:rsid w:val="003E7F06"/>
    <w:rsid w:val="003F0A04"/>
    <w:rsid w:val="003F0FE3"/>
    <w:rsid w:val="003F1130"/>
    <w:rsid w:val="003F1C1C"/>
    <w:rsid w:val="003F1FEB"/>
    <w:rsid w:val="003F293D"/>
    <w:rsid w:val="003F44D5"/>
    <w:rsid w:val="003F515B"/>
    <w:rsid w:val="003F6B9A"/>
    <w:rsid w:val="004002F4"/>
    <w:rsid w:val="00400E48"/>
    <w:rsid w:val="00402226"/>
    <w:rsid w:val="004027BC"/>
    <w:rsid w:val="004049BA"/>
    <w:rsid w:val="004061E2"/>
    <w:rsid w:val="00406ADE"/>
    <w:rsid w:val="004075B6"/>
    <w:rsid w:val="0040787B"/>
    <w:rsid w:val="00407C28"/>
    <w:rsid w:val="00410151"/>
    <w:rsid w:val="00411EA3"/>
    <w:rsid w:val="00412D3B"/>
    <w:rsid w:val="00412D80"/>
    <w:rsid w:val="00413904"/>
    <w:rsid w:val="00413A24"/>
    <w:rsid w:val="004140E8"/>
    <w:rsid w:val="00415122"/>
    <w:rsid w:val="00415521"/>
    <w:rsid w:val="00417B71"/>
    <w:rsid w:val="00420952"/>
    <w:rsid w:val="004215E8"/>
    <w:rsid w:val="00422C2D"/>
    <w:rsid w:val="004239DC"/>
    <w:rsid w:val="00425070"/>
    <w:rsid w:val="0042631C"/>
    <w:rsid w:val="004264BE"/>
    <w:rsid w:val="00427131"/>
    <w:rsid w:val="004276B7"/>
    <w:rsid w:val="00431485"/>
    <w:rsid w:val="004320A3"/>
    <w:rsid w:val="0043470C"/>
    <w:rsid w:val="00434905"/>
    <w:rsid w:val="0043549F"/>
    <w:rsid w:val="004360E4"/>
    <w:rsid w:val="00440376"/>
    <w:rsid w:val="00440D6B"/>
    <w:rsid w:val="0044210E"/>
    <w:rsid w:val="004426C5"/>
    <w:rsid w:val="00442F1D"/>
    <w:rsid w:val="00443C36"/>
    <w:rsid w:val="00444614"/>
    <w:rsid w:val="00444936"/>
    <w:rsid w:val="00444B47"/>
    <w:rsid w:val="004450AD"/>
    <w:rsid w:val="00446BEE"/>
    <w:rsid w:val="00447B25"/>
    <w:rsid w:val="00455010"/>
    <w:rsid w:val="00456FEE"/>
    <w:rsid w:val="00457F04"/>
    <w:rsid w:val="004602F9"/>
    <w:rsid w:val="00461010"/>
    <w:rsid w:val="004635E9"/>
    <w:rsid w:val="00464A6A"/>
    <w:rsid w:val="004654CF"/>
    <w:rsid w:val="00467DB7"/>
    <w:rsid w:val="00470229"/>
    <w:rsid w:val="0047119C"/>
    <w:rsid w:val="0047377A"/>
    <w:rsid w:val="00474222"/>
    <w:rsid w:val="0047538D"/>
    <w:rsid w:val="00475F82"/>
    <w:rsid w:val="004765DD"/>
    <w:rsid w:val="00477DDA"/>
    <w:rsid w:val="004800DC"/>
    <w:rsid w:val="0048067F"/>
    <w:rsid w:val="00483150"/>
    <w:rsid w:val="00485002"/>
    <w:rsid w:val="0048741A"/>
    <w:rsid w:val="00487BD6"/>
    <w:rsid w:val="00487CCA"/>
    <w:rsid w:val="00490E62"/>
    <w:rsid w:val="004913FC"/>
    <w:rsid w:val="00491C5B"/>
    <w:rsid w:val="00494B29"/>
    <w:rsid w:val="00494F69"/>
    <w:rsid w:val="00495387"/>
    <w:rsid w:val="00495E10"/>
    <w:rsid w:val="00496FE5"/>
    <w:rsid w:val="004A162E"/>
    <w:rsid w:val="004A74C6"/>
    <w:rsid w:val="004A7727"/>
    <w:rsid w:val="004B02C3"/>
    <w:rsid w:val="004B13D8"/>
    <w:rsid w:val="004B1F7E"/>
    <w:rsid w:val="004B2FBC"/>
    <w:rsid w:val="004B3356"/>
    <w:rsid w:val="004B4A91"/>
    <w:rsid w:val="004B6B38"/>
    <w:rsid w:val="004C11F7"/>
    <w:rsid w:val="004C1436"/>
    <w:rsid w:val="004C15CC"/>
    <w:rsid w:val="004C181D"/>
    <w:rsid w:val="004C3FA1"/>
    <w:rsid w:val="004C49D2"/>
    <w:rsid w:val="004C4DD7"/>
    <w:rsid w:val="004C513F"/>
    <w:rsid w:val="004C683B"/>
    <w:rsid w:val="004C7E83"/>
    <w:rsid w:val="004D15D5"/>
    <w:rsid w:val="004D2403"/>
    <w:rsid w:val="004D2754"/>
    <w:rsid w:val="004D2C16"/>
    <w:rsid w:val="004D4F9D"/>
    <w:rsid w:val="004D6354"/>
    <w:rsid w:val="004D7C90"/>
    <w:rsid w:val="004E07E0"/>
    <w:rsid w:val="004E0E51"/>
    <w:rsid w:val="004E155F"/>
    <w:rsid w:val="004E1760"/>
    <w:rsid w:val="004E1831"/>
    <w:rsid w:val="004E201B"/>
    <w:rsid w:val="004E21DA"/>
    <w:rsid w:val="004E474E"/>
    <w:rsid w:val="004E4D52"/>
    <w:rsid w:val="004E5B6B"/>
    <w:rsid w:val="004E691A"/>
    <w:rsid w:val="004E6A52"/>
    <w:rsid w:val="004E6E42"/>
    <w:rsid w:val="004E73D1"/>
    <w:rsid w:val="004E7490"/>
    <w:rsid w:val="004F01E2"/>
    <w:rsid w:val="004F13CF"/>
    <w:rsid w:val="004F2FA2"/>
    <w:rsid w:val="004F327E"/>
    <w:rsid w:val="004F3B1A"/>
    <w:rsid w:val="004F3D1B"/>
    <w:rsid w:val="004F4AAA"/>
    <w:rsid w:val="004F4D41"/>
    <w:rsid w:val="004F53E3"/>
    <w:rsid w:val="005024E9"/>
    <w:rsid w:val="005025A1"/>
    <w:rsid w:val="005026DE"/>
    <w:rsid w:val="00503101"/>
    <w:rsid w:val="0050333A"/>
    <w:rsid w:val="00503373"/>
    <w:rsid w:val="00504463"/>
    <w:rsid w:val="00504D4E"/>
    <w:rsid w:val="00504F97"/>
    <w:rsid w:val="0050576D"/>
    <w:rsid w:val="00507FC1"/>
    <w:rsid w:val="005114AC"/>
    <w:rsid w:val="00514C28"/>
    <w:rsid w:val="00517701"/>
    <w:rsid w:val="005205C9"/>
    <w:rsid w:val="00523A6C"/>
    <w:rsid w:val="00524880"/>
    <w:rsid w:val="005254D5"/>
    <w:rsid w:val="0053122A"/>
    <w:rsid w:val="00531250"/>
    <w:rsid w:val="005329E4"/>
    <w:rsid w:val="00535E5B"/>
    <w:rsid w:val="005376F4"/>
    <w:rsid w:val="005402EC"/>
    <w:rsid w:val="00540C72"/>
    <w:rsid w:val="00541CEE"/>
    <w:rsid w:val="005438C7"/>
    <w:rsid w:val="00544E32"/>
    <w:rsid w:val="005453B2"/>
    <w:rsid w:val="0054665E"/>
    <w:rsid w:val="00546F88"/>
    <w:rsid w:val="005476DE"/>
    <w:rsid w:val="005557C5"/>
    <w:rsid w:val="00556E20"/>
    <w:rsid w:val="00556E27"/>
    <w:rsid w:val="00560266"/>
    <w:rsid w:val="00562371"/>
    <w:rsid w:val="005632A0"/>
    <w:rsid w:val="005659BF"/>
    <w:rsid w:val="0056771E"/>
    <w:rsid w:val="005677CA"/>
    <w:rsid w:val="00570091"/>
    <w:rsid w:val="00570490"/>
    <w:rsid w:val="005704C6"/>
    <w:rsid w:val="00572236"/>
    <w:rsid w:val="00572439"/>
    <w:rsid w:val="005742AC"/>
    <w:rsid w:val="00575A1B"/>
    <w:rsid w:val="00576CB5"/>
    <w:rsid w:val="00576FB8"/>
    <w:rsid w:val="005778F9"/>
    <w:rsid w:val="00580009"/>
    <w:rsid w:val="005806DA"/>
    <w:rsid w:val="005818AC"/>
    <w:rsid w:val="0058365E"/>
    <w:rsid w:val="0058466B"/>
    <w:rsid w:val="00584E94"/>
    <w:rsid w:val="0058796F"/>
    <w:rsid w:val="005901E9"/>
    <w:rsid w:val="00593F6C"/>
    <w:rsid w:val="00594C3A"/>
    <w:rsid w:val="00595407"/>
    <w:rsid w:val="00595B88"/>
    <w:rsid w:val="005961C7"/>
    <w:rsid w:val="00596B3A"/>
    <w:rsid w:val="00596EB9"/>
    <w:rsid w:val="00596F01"/>
    <w:rsid w:val="005973F0"/>
    <w:rsid w:val="00597771"/>
    <w:rsid w:val="005A02D5"/>
    <w:rsid w:val="005A04E5"/>
    <w:rsid w:val="005A3735"/>
    <w:rsid w:val="005A43DE"/>
    <w:rsid w:val="005A5135"/>
    <w:rsid w:val="005A6AB2"/>
    <w:rsid w:val="005A6D9C"/>
    <w:rsid w:val="005A72E3"/>
    <w:rsid w:val="005A7487"/>
    <w:rsid w:val="005A7CD8"/>
    <w:rsid w:val="005B04DD"/>
    <w:rsid w:val="005B0D3A"/>
    <w:rsid w:val="005B1318"/>
    <w:rsid w:val="005B1A2C"/>
    <w:rsid w:val="005B31F0"/>
    <w:rsid w:val="005B3A2C"/>
    <w:rsid w:val="005B4E83"/>
    <w:rsid w:val="005B5457"/>
    <w:rsid w:val="005B7D94"/>
    <w:rsid w:val="005C09BF"/>
    <w:rsid w:val="005C4DD0"/>
    <w:rsid w:val="005C675B"/>
    <w:rsid w:val="005C6A2C"/>
    <w:rsid w:val="005C72C3"/>
    <w:rsid w:val="005D05DF"/>
    <w:rsid w:val="005D06F8"/>
    <w:rsid w:val="005D0EEC"/>
    <w:rsid w:val="005D0F97"/>
    <w:rsid w:val="005D1584"/>
    <w:rsid w:val="005D1EAC"/>
    <w:rsid w:val="005D350A"/>
    <w:rsid w:val="005D4DC6"/>
    <w:rsid w:val="005D5250"/>
    <w:rsid w:val="005D52D0"/>
    <w:rsid w:val="005E045C"/>
    <w:rsid w:val="005E1892"/>
    <w:rsid w:val="005E1C62"/>
    <w:rsid w:val="005E1F9E"/>
    <w:rsid w:val="005E2229"/>
    <w:rsid w:val="005E25B6"/>
    <w:rsid w:val="005E351C"/>
    <w:rsid w:val="005E37B3"/>
    <w:rsid w:val="005E6A37"/>
    <w:rsid w:val="005E6B90"/>
    <w:rsid w:val="005E6C3E"/>
    <w:rsid w:val="005E744C"/>
    <w:rsid w:val="005F0485"/>
    <w:rsid w:val="005F0A6C"/>
    <w:rsid w:val="005F1846"/>
    <w:rsid w:val="005F3DC2"/>
    <w:rsid w:val="005F5188"/>
    <w:rsid w:val="005F5A44"/>
    <w:rsid w:val="005F6777"/>
    <w:rsid w:val="005F6A09"/>
    <w:rsid w:val="005F769F"/>
    <w:rsid w:val="00601A87"/>
    <w:rsid w:val="00601CA1"/>
    <w:rsid w:val="00602CFA"/>
    <w:rsid w:val="00602F73"/>
    <w:rsid w:val="0060455E"/>
    <w:rsid w:val="0060542E"/>
    <w:rsid w:val="00605A89"/>
    <w:rsid w:val="0061083E"/>
    <w:rsid w:val="00611AC9"/>
    <w:rsid w:val="0061228A"/>
    <w:rsid w:val="00612653"/>
    <w:rsid w:val="0061369D"/>
    <w:rsid w:val="006145D0"/>
    <w:rsid w:val="00614801"/>
    <w:rsid w:val="00614D83"/>
    <w:rsid w:val="00617F05"/>
    <w:rsid w:val="0062005D"/>
    <w:rsid w:val="006215B5"/>
    <w:rsid w:val="00621649"/>
    <w:rsid w:val="00621997"/>
    <w:rsid w:val="00621FE2"/>
    <w:rsid w:val="006225C3"/>
    <w:rsid w:val="00622E77"/>
    <w:rsid w:val="00624140"/>
    <w:rsid w:val="006245DE"/>
    <w:rsid w:val="0062590C"/>
    <w:rsid w:val="00627BA6"/>
    <w:rsid w:val="00627D56"/>
    <w:rsid w:val="00630828"/>
    <w:rsid w:val="00630DEB"/>
    <w:rsid w:val="006313C1"/>
    <w:rsid w:val="00631547"/>
    <w:rsid w:val="00631A3F"/>
    <w:rsid w:val="00633EB3"/>
    <w:rsid w:val="00634A9E"/>
    <w:rsid w:val="00634F2D"/>
    <w:rsid w:val="00636646"/>
    <w:rsid w:val="00636EED"/>
    <w:rsid w:val="00637A31"/>
    <w:rsid w:val="0064050C"/>
    <w:rsid w:val="00641604"/>
    <w:rsid w:val="00641BC1"/>
    <w:rsid w:val="006421A9"/>
    <w:rsid w:val="00642A2F"/>
    <w:rsid w:val="0064389C"/>
    <w:rsid w:val="00643C3C"/>
    <w:rsid w:val="00645D07"/>
    <w:rsid w:val="00645DEB"/>
    <w:rsid w:val="00646945"/>
    <w:rsid w:val="006479EE"/>
    <w:rsid w:val="00650014"/>
    <w:rsid w:val="0065059C"/>
    <w:rsid w:val="00650622"/>
    <w:rsid w:val="00654DBB"/>
    <w:rsid w:val="00655E8C"/>
    <w:rsid w:val="0065656E"/>
    <w:rsid w:val="00656CE7"/>
    <w:rsid w:val="00656DDF"/>
    <w:rsid w:val="00657D21"/>
    <w:rsid w:val="00657F7E"/>
    <w:rsid w:val="00663701"/>
    <w:rsid w:val="006653CC"/>
    <w:rsid w:val="006656E3"/>
    <w:rsid w:val="00665D1F"/>
    <w:rsid w:val="0066616A"/>
    <w:rsid w:val="0067059B"/>
    <w:rsid w:val="006709A9"/>
    <w:rsid w:val="00672045"/>
    <w:rsid w:val="00672322"/>
    <w:rsid w:val="00677F4B"/>
    <w:rsid w:val="006802A7"/>
    <w:rsid w:val="00680C22"/>
    <w:rsid w:val="00680C92"/>
    <w:rsid w:val="00680F49"/>
    <w:rsid w:val="0068145F"/>
    <w:rsid w:val="00681DA3"/>
    <w:rsid w:val="00682157"/>
    <w:rsid w:val="006845F8"/>
    <w:rsid w:val="006846D1"/>
    <w:rsid w:val="006849F4"/>
    <w:rsid w:val="006850B0"/>
    <w:rsid w:val="0068518E"/>
    <w:rsid w:val="00685DAD"/>
    <w:rsid w:val="006860BF"/>
    <w:rsid w:val="006863BF"/>
    <w:rsid w:val="0068694C"/>
    <w:rsid w:val="006911C6"/>
    <w:rsid w:val="006921E1"/>
    <w:rsid w:val="00693406"/>
    <w:rsid w:val="00693492"/>
    <w:rsid w:val="00694FA6"/>
    <w:rsid w:val="0069610B"/>
    <w:rsid w:val="00696C0A"/>
    <w:rsid w:val="006A0171"/>
    <w:rsid w:val="006A1FA4"/>
    <w:rsid w:val="006A28FB"/>
    <w:rsid w:val="006A5A25"/>
    <w:rsid w:val="006A5B8D"/>
    <w:rsid w:val="006A5C49"/>
    <w:rsid w:val="006A62CB"/>
    <w:rsid w:val="006A6384"/>
    <w:rsid w:val="006A6711"/>
    <w:rsid w:val="006A71F0"/>
    <w:rsid w:val="006B0EA9"/>
    <w:rsid w:val="006B2C57"/>
    <w:rsid w:val="006B2D52"/>
    <w:rsid w:val="006B35AA"/>
    <w:rsid w:val="006B43D0"/>
    <w:rsid w:val="006B550B"/>
    <w:rsid w:val="006B6871"/>
    <w:rsid w:val="006B787B"/>
    <w:rsid w:val="006C058A"/>
    <w:rsid w:val="006C1297"/>
    <w:rsid w:val="006C2741"/>
    <w:rsid w:val="006C2977"/>
    <w:rsid w:val="006C2FA4"/>
    <w:rsid w:val="006C3D1A"/>
    <w:rsid w:val="006C4813"/>
    <w:rsid w:val="006C4E9A"/>
    <w:rsid w:val="006C5192"/>
    <w:rsid w:val="006C60AA"/>
    <w:rsid w:val="006C6A82"/>
    <w:rsid w:val="006C6CCC"/>
    <w:rsid w:val="006C7F47"/>
    <w:rsid w:val="006D0B75"/>
    <w:rsid w:val="006D0D58"/>
    <w:rsid w:val="006D0D5B"/>
    <w:rsid w:val="006D1E48"/>
    <w:rsid w:val="006D2EB3"/>
    <w:rsid w:val="006D3CB5"/>
    <w:rsid w:val="006D4C09"/>
    <w:rsid w:val="006D4E06"/>
    <w:rsid w:val="006D5554"/>
    <w:rsid w:val="006D5CB6"/>
    <w:rsid w:val="006D68EB"/>
    <w:rsid w:val="006E08DD"/>
    <w:rsid w:val="006E099E"/>
    <w:rsid w:val="006E1EF5"/>
    <w:rsid w:val="006E2D70"/>
    <w:rsid w:val="006E4492"/>
    <w:rsid w:val="006E5471"/>
    <w:rsid w:val="006E6A1C"/>
    <w:rsid w:val="006F0346"/>
    <w:rsid w:val="006F05EB"/>
    <w:rsid w:val="006F1130"/>
    <w:rsid w:val="006F14FA"/>
    <w:rsid w:val="006F336B"/>
    <w:rsid w:val="006F3DC4"/>
    <w:rsid w:val="006F423E"/>
    <w:rsid w:val="006F469A"/>
    <w:rsid w:val="006F49A6"/>
    <w:rsid w:val="006F4A23"/>
    <w:rsid w:val="006F53F0"/>
    <w:rsid w:val="006F632D"/>
    <w:rsid w:val="006F7C89"/>
    <w:rsid w:val="006F7ECF"/>
    <w:rsid w:val="006F7FCA"/>
    <w:rsid w:val="007018C6"/>
    <w:rsid w:val="00702000"/>
    <w:rsid w:val="00703F52"/>
    <w:rsid w:val="00704B93"/>
    <w:rsid w:val="00705391"/>
    <w:rsid w:val="007055CA"/>
    <w:rsid w:val="007058CC"/>
    <w:rsid w:val="0070645B"/>
    <w:rsid w:val="00707DD6"/>
    <w:rsid w:val="00710475"/>
    <w:rsid w:val="0071339C"/>
    <w:rsid w:val="0071421F"/>
    <w:rsid w:val="0071457B"/>
    <w:rsid w:val="00715F86"/>
    <w:rsid w:val="007160ED"/>
    <w:rsid w:val="00716765"/>
    <w:rsid w:val="00716826"/>
    <w:rsid w:val="0071693F"/>
    <w:rsid w:val="00721BF5"/>
    <w:rsid w:val="00722320"/>
    <w:rsid w:val="00726266"/>
    <w:rsid w:val="00726F15"/>
    <w:rsid w:val="00730166"/>
    <w:rsid w:val="00730327"/>
    <w:rsid w:val="00732264"/>
    <w:rsid w:val="00732A06"/>
    <w:rsid w:val="00736348"/>
    <w:rsid w:val="00736603"/>
    <w:rsid w:val="0073661D"/>
    <w:rsid w:val="00737FD9"/>
    <w:rsid w:val="0074098F"/>
    <w:rsid w:val="00740AD4"/>
    <w:rsid w:val="00741587"/>
    <w:rsid w:val="00741BEE"/>
    <w:rsid w:val="007422EC"/>
    <w:rsid w:val="00744701"/>
    <w:rsid w:val="007449B9"/>
    <w:rsid w:val="00744E57"/>
    <w:rsid w:val="007451E9"/>
    <w:rsid w:val="007454FB"/>
    <w:rsid w:val="00745763"/>
    <w:rsid w:val="00745842"/>
    <w:rsid w:val="00745FC4"/>
    <w:rsid w:val="007512B5"/>
    <w:rsid w:val="00751D13"/>
    <w:rsid w:val="007544F6"/>
    <w:rsid w:val="00754937"/>
    <w:rsid w:val="0075730D"/>
    <w:rsid w:val="0075738D"/>
    <w:rsid w:val="0076066C"/>
    <w:rsid w:val="00761458"/>
    <w:rsid w:val="00761855"/>
    <w:rsid w:val="00761FCD"/>
    <w:rsid w:val="0076218D"/>
    <w:rsid w:val="00763085"/>
    <w:rsid w:val="00763A47"/>
    <w:rsid w:val="00763ED4"/>
    <w:rsid w:val="00765DAA"/>
    <w:rsid w:val="00765F3A"/>
    <w:rsid w:val="00772E8D"/>
    <w:rsid w:val="0077376B"/>
    <w:rsid w:val="00774539"/>
    <w:rsid w:val="0077478B"/>
    <w:rsid w:val="00774A01"/>
    <w:rsid w:val="007758D4"/>
    <w:rsid w:val="0077654F"/>
    <w:rsid w:val="00776B1A"/>
    <w:rsid w:val="00776D2A"/>
    <w:rsid w:val="00781C41"/>
    <w:rsid w:val="007901DE"/>
    <w:rsid w:val="007909B9"/>
    <w:rsid w:val="00790F38"/>
    <w:rsid w:val="00791A1E"/>
    <w:rsid w:val="00793852"/>
    <w:rsid w:val="00794A62"/>
    <w:rsid w:val="00794CFD"/>
    <w:rsid w:val="00794D7C"/>
    <w:rsid w:val="00795992"/>
    <w:rsid w:val="00795E5A"/>
    <w:rsid w:val="00796135"/>
    <w:rsid w:val="00797A01"/>
    <w:rsid w:val="007A05BE"/>
    <w:rsid w:val="007A176F"/>
    <w:rsid w:val="007A3A8A"/>
    <w:rsid w:val="007A3E5E"/>
    <w:rsid w:val="007A5D5D"/>
    <w:rsid w:val="007A75D7"/>
    <w:rsid w:val="007A75E4"/>
    <w:rsid w:val="007B0F8A"/>
    <w:rsid w:val="007B20A8"/>
    <w:rsid w:val="007B2BC7"/>
    <w:rsid w:val="007B3211"/>
    <w:rsid w:val="007B351C"/>
    <w:rsid w:val="007B3AEB"/>
    <w:rsid w:val="007B3E14"/>
    <w:rsid w:val="007B5CC8"/>
    <w:rsid w:val="007B77F1"/>
    <w:rsid w:val="007C2350"/>
    <w:rsid w:val="007C301C"/>
    <w:rsid w:val="007C523E"/>
    <w:rsid w:val="007C5443"/>
    <w:rsid w:val="007C59C9"/>
    <w:rsid w:val="007C6470"/>
    <w:rsid w:val="007C648B"/>
    <w:rsid w:val="007C6625"/>
    <w:rsid w:val="007C70F7"/>
    <w:rsid w:val="007D0704"/>
    <w:rsid w:val="007D1729"/>
    <w:rsid w:val="007D1C6C"/>
    <w:rsid w:val="007D1E7B"/>
    <w:rsid w:val="007D1F55"/>
    <w:rsid w:val="007D2AF3"/>
    <w:rsid w:val="007D2C07"/>
    <w:rsid w:val="007D6E37"/>
    <w:rsid w:val="007D72BF"/>
    <w:rsid w:val="007D7365"/>
    <w:rsid w:val="007E1DD3"/>
    <w:rsid w:val="007E246C"/>
    <w:rsid w:val="007E2695"/>
    <w:rsid w:val="007E37E9"/>
    <w:rsid w:val="007E4895"/>
    <w:rsid w:val="007E4E32"/>
    <w:rsid w:val="007E502A"/>
    <w:rsid w:val="007E53FF"/>
    <w:rsid w:val="007E6CE8"/>
    <w:rsid w:val="007F0432"/>
    <w:rsid w:val="007F12AD"/>
    <w:rsid w:val="007F19CF"/>
    <w:rsid w:val="007F3351"/>
    <w:rsid w:val="007F3642"/>
    <w:rsid w:val="007F44B1"/>
    <w:rsid w:val="007F45CB"/>
    <w:rsid w:val="007F536B"/>
    <w:rsid w:val="007F6206"/>
    <w:rsid w:val="007F65D4"/>
    <w:rsid w:val="007F704D"/>
    <w:rsid w:val="007F7A43"/>
    <w:rsid w:val="00800D6C"/>
    <w:rsid w:val="00801670"/>
    <w:rsid w:val="00801E3D"/>
    <w:rsid w:val="00802B9B"/>
    <w:rsid w:val="00803AC2"/>
    <w:rsid w:val="008050CF"/>
    <w:rsid w:val="0080581D"/>
    <w:rsid w:val="0081033E"/>
    <w:rsid w:val="00810FBD"/>
    <w:rsid w:val="008114DF"/>
    <w:rsid w:val="008123BC"/>
    <w:rsid w:val="00812836"/>
    <w:rsid w:val="00813263"/>
    <w:rsid w:val="0081477C"/>
    <w:rsid w:val="00814DDB"/>
    <w:rsid w:val="008150E1"/>
    <w:rsid w:val="00817208"/>
    <w:rsid w:val="0082063A"/>
    <w:rsid w:val="008218D7"/>
    <w:rsid w:val="00821945"/>
    <w:rsid w:val="00824D0B"/>
    <w:rsid w:val="00825107"/>
    <w:rsid w:val="00825136"/>
    <w:rsid w:val="0082628C"/>
    <w:rsid w:val="00826513"/>
    <w:rsid w:val="008268E2"/>
    <w:rsid w:val="008320EB"/>
    <w:rsid w:val="00832803"/>
    <w:rsid w:val="00832B32"/>
    <w:rsid w:val="008335B5"/>
    <w:rsid w:val="00833D8A"/>
    <w:rsid w:val="00834C2E"/>
    <w:rsid w:val="008368E8"/>
    <w:rsid w:val="00843E7E"/>
    <w:rsid w:val="00843F56"/>
    <w:rsid w:val="008456CF"/>
    <w:rsid w:val="0084794B"/>
    <w:rsid w:val="0085149B"/>
    <w:rsid w:val="0085194C"/>
    <w:rsid w:val="0085303D"/>
    <w:rsid w:val="00854707"/>
    <w:rsid w:val="00855264"/>
    <w:rsid w:val="00856151"/>
    <w:rsid w:val="0085781D"/>
    <w:rsid w:val="008618E4"/>
    <w:rsid w:val="00861B92"/>
    <w:rsid w:val="00863055"/>
    <w:rsid w:val="008635C1"/>
    <w:rsid w:val="00866271"/>
    <w:rsid w:val="00866523"/>
    <w:rsid w:val="00866952"/>
    <w:rsid w:val="008674E6"/>
    <w:rsid w:val="00870CC2"/>
    <w:rsid w:val="008711C1"/>
    <w:rsid w:val="00876D11"/>
    <w:rsid w:val="00876D8F"/>
    <w:rsid w:val="00880C58"/>
    <w:rsid w:val="008814E9"/>
    <w:rsid w:val="008814FB"/>
    <w:rsid w:val="00882003"/>
    <w:rsid w:val="008832EC"/>
    <w:rsid w:val="00883AD9"/>
    <w:rsid w:val="00883B0D"/>
    <w:rsid w:val="0088442E"/>
    <w:rsid w:val="008849E8"/>
    <w:rsid w:val="00884D8F"/>
    <w:rsid w:val="00885F0D"/>
    <w:rsid w:val="0088652B"/>
    <w:rsid w:val="00886673"/>
    <w:rsid w:val="008866FF"/>
    <w:rsid w:val="0089046D"/>
    <w:rsid w:val="00890D45"/>
    <w:rsid w:val="0089137D"/>
    <w:rsid w:val="00891392"/>
    <w:rsid w:val="008929F9"/>
    <w:rsid w:val="00894D2E"/>
    <w:rsid w:val="008950AF"/>
    <w:rsid w:val="00895BB7"/>
    <w:rsid w:val="00896583"/>
    <w:rsid w:val="008A1937"/>
    <w:rsid w:val="008A2C6E"/>
    <w:rsid w:val="008A3242"/>
    <w:rsid w:val="008A41BF"/>
    <w:rsid w:val="008A62E0"/>
    <w:rsid w:val="008A69C1"/>
    <w:rsid w:val="008A7AE6"/>
    <w:rsid w:val="008B0DA9"/>
    <w:rsid w:val="008B0F8C"/>
    <w:rsid w:val="008B1D64"/>
    <w:rsid w:val="008B3ADD"/>
    <w:rsid w:val="008C09CD"/>
    <w:rsid w:val="008C2361"/>
    <w:rsid w:val="008C294C"/>
    <w:rsid w:val="008C3B8C"/>
    <w:rsid w:val="008C3F2D"/>
    <w:rsid w:val="008C4343"/>
    <w:rsid w:val="008C5F8B"/>
    <w:rsid w:val="008C678C"/>
    <w:rsid w:val="008C6926"/>
    <w:rsid w:val="008C7172"/>
    <w:rsid w:val="008C7C3C"/>
    <w:rsid w:val="008D0673"/>
    <w:rsid w:val="008D0770"/>
    <w:rsid w:val="008D0F11"/>
    <w:rsid w:val="008D19B4"/>
    <w:rsid w:val="008D1F30"/>
    <w:rsid w:val="008D1FCA"/>
    <w:rsid w:val="008D4385"/>
    <w:rsid w:val="008D5556"/>
    <w:rsid w:val="008D587D"/>
    <w:rsid w:val="008D61C4"/>
    <w:rsid w:val="008D7C4D"/>
    <w:rsid w:val="008E07B2"/>
    <w:rsid w:val="008E0949"/>
    <w:rsid w:val="008E0A34"/>
    <w:rsid w:val="008E1AB6"/>
    <w:rsid w:val="008E284B"/>
    <w:rsid w:val="008E4008"/>
    <w:rsid w:val="008E46D0"/>
    <w:rsid w:val="008E46EE"/>
    <w:rsid w:val="008E6207"/>
    <w:rsid w:val="008E66D2"/>
    <w:rsid w:val="008E6C37"/>
    <w:rsid w:val="008E7826"/>
    <w:rsid w:val="008E795B"/>
    <w:rsid w:val="008F0818"/>
    <w:rsid w:val="008F1B38"/>
    <w:rsid w:val="008F303E"/>
    <w:rsid w:val="008F451A"/>
    <w:rsid w:val="008F463B"/>
    <w:rsid w:val="008F5E30"/>
    <w:rsid w:val="008F5F75"/>
    <w:rsid w:val="008F6FB7"/>
    <w:rsid w:val="008F739A"/>
    <w:rsid w:val="008F74B9"/>
    <w:rsid w:val="009000EA"/>
    <w:rsid w:val="00901205"/>
    <w:rsid w:val="00901FB8"/>
    <w:rsid w:val="009033B5"/>
    <w:rsid w:val="00904D22"/>
    <w:rsid w:val="009069BC"/>
    <w:rsid w:val="0091168C"/>
    <w:rsid w:val="00911F01"/>
    <w:rsid w:val="00912E70"/>
    <w:rsid w:val="00913F6B"/>
    <w:rsid w:val="0091413D"/>
    <w:rsid w:val="00914D7F"/>
    <w:rsid w:val="00917487"/>
    <w:rsid w:val="009179D1"/>
    <w:rsid w:val="00917DD9"/>
    <w:rsid w:val="00920B12"/>
    <w:rsid w:val="009228D9"/>
    <w:rsid w:val="009229BF"/>
    <w:rsid w:val="00923B5C"/>
    <w:rsid w:val="009256ED"/>
    <w:rsid w:val="00925B4C"/>
    <w:rsid w:val="00927AD2"/>
    <w:rsid w:val="00927DE0"/>
    <w:rsid w:val="00927F9D"/>
    <w:rsid w:val="00930F4B"/>
    <w:rsid w:val="009312E7"/>
    <w:rsid w:val="00933944"/>
    <w:rsid w:val="00933A15"/>
    <w:rsid w:val="009347F3"/>
    <w:rsid w:val="009351D6"/>
    <w:rsid w:val="00935D09"/>
    <w:rsid w:val="009373C1"/>
    <w:rsid w:val="0093761D"/>
    <w:rsid w:val="00940036"/>
    <w:rsid w:val="00940B13"/>
    <w:rsid w:val="009423BC"/>
    <w:rsid w:val="00942444"/>
    <w:rsid w:val="00942540"/>
    <w:rsid w:val="009432B6"/>
    <w:rsid w:val="0094510A"/>
    <w:rsid w:val="00945180"/>
    <w:rsid w:val="009476D6"/>
    <w:rsid w:val="00950778"/>
    <w:rsid w:val="00951250"/>
    <w:rsid w:val="00953BEB"/>
    <w:rsid w:val="0095495D"/>
    <w:rsid w:val="00954C61"/>
    <w:rsid w:val="009557A8"/>
    <w:rsid w:val="00956C5D"/>
    <w:rsid w:val="009576F4"/>
    <w:rsid w:val="00960FB6"/>
    <w:rsid w:val="0096213E"/>
    <w:rsid w:val="00962644"/>
    <w:rsid w:val="00963B8B"/>
    <w:rsid w:val="00964055"/>
    <w:rsid w:val="009648C7"/>
    <w:rsid w:val="009650CF"/>
    <w:rsid w:val="0096571F"/>
    <w:rsid w:val="00966A89"/>
    <w:rsid w:val="00967764"/>
    <w:rsid w:val="0097026F"/>
    <w:rsid w:val="009705D9"/>
    <w:rsid w:val="00972A72"/>
    <w:rsid w:val="00972A89"/>
    <w:rsid w:val="00972B93"/>
    <w:rsid w:val="0097305A"/>
    <w:rsid w:val="00973A45"/>
    <w:rsid w:val="00974396"/>
    <w:rsid w:val="00974E9B"/>
    <w:rsid w:val="00975D7F"/>
    <w:rsid w:val="009775FA"/>
    <w:rsid w:val="00977CEA"/>
    <w:rsid w:val="0098080B"/>
    <w:rsid w:val="00980F05"/>
    <w:rsid w:val="00980F8E"/>
    <w:rsid w:val="00981FB7"/>
    <w:rsid w:val="00982310"/>
    <w:rsid w:val="00982FB9"/>
    <w:rsid w:val="009849ED"/>
    <w:rsid w:val="0098588E"/>
    <w:rsid w:val="0098679A"/>
    <w:rsid w:val="00986AC1"/>
    <w:rsid w:val="009917B4"/>
    <w:rsid w:val="00991983"/>
    <w:rsid w:val="00991EDA"/>
    <w:rsid w:val="00992AE6"/>
    <w:rsid w:val="00994FAA"/>
    <w:rsid w:val="00995CC1"/>
    <w:rsid w:val="009960B5"/>
    <w:rsid w:val="00996181"/>
    <w:rsid w:val="009A325A"/>
    <w:rsid w:val="009A484B"/>
    <w:rsid w:val="009A502B"/>
    <w:rsid w:val="009A5195"/>
    <w:rsid w:val="009A6795"/>
    <w:rsid w:val="009A695F"/>
    <w:rsid w:val="009A69BE"/>
    <w:rsid w:val="009A6EF2"/>
    <w:rsid w:val="009A715E"/>
    <w:rsid w:val="009A7373"/>
    <w:rsid w:val="009B04D1"/>
    <w:rsid w:val="009B1E2E"/>
    <w:rsid w:val="009B220C"/>
    <w:rsid w:val="009B2C86"/>
    <w:rsid w:val="009B5449"/>
    <w:rsid w:val="009B58DA"/>
    <w:rsid w:val="009B5972"/>
    <w:rsid w:val="009B5B96"/>
    <w:rsid w:val="009B708B"/>
    <w:rsid w:val="009C2141"/>
    <w:rsid w:val="009C43CB"/>
    <w:rsid w:val="009C4EAD"/>
    <w:rsid w:val="009C5CAF"/>
    <w:rsid w:val="009C6163"/>
    <w:rsid w:val="009C7332"/>
    <w:rsid w:val="009C7CAA"/>
    <w:rsid w:val="009D1047"/>
    <w:rsid w:val="009D27B1"/>
    <w:rsid w:val="009D3373"/>
    <w:rsid w:val="009D48A0"/>
    <w:rsid w:val="009D6539"/>
    <w:rsid w:val="009D67FA"/>
    <w:rsid w:val="009D6B8B"/>
    <w:rsid w:val="009E1616"/>
    <w:rsid w:val="009E1F3D"/>
    <w:rsid w:val="009E26F1"/>
    <w:rsid w:val="009E3399"/>
    <w:rsid w:val="009E4B80"/>
    <w:rsid w:val="009E4F9F"/>
    <w:rsid w:val="009E55EC"/>
    <w:rsid w:val="009E66D6"/>
    <w:rsid w:val="009E680B"/>
    <w:rsid w:val="009E6DEC"/>
    <w:rsid w:val="009E7DF5"/>
    <w:rsid w:val="009F12D3"/>
    <w:rsid w:val="009F163A"/>
    <w:rsid w:val="009F1831"/>
    <w:rsid w:val="009F1A1C"/>
    <w:rsid w:val="009F230A"/>
    <w:rsid w:val="009F45AB"/>
    <w:rsid w:val="009F76C7"/>
    <w:rsid w:val="009F7E36"/>
    <w:rsid w:val="00A001EB"/>
    <w:rsid w:val="00A02EAC"/>
    <w:rsid w:val="00A06290"/>
    <w:rsid w:val="00A10DA0"/>
    <w:rsid w:val="00A11725"/>
    <w:rsid w:val="00A11828"/>
    <w:rsid w:val="00A12135"/>
    <w:rsid w:val="00A12D64"/>
    <w:rsid w:val="00A13389"/>
    <w:rsid w:val="00A149F6"/>
    <w:rsid w:val="00A15A1F"/>
    <w:rsid w:val="00A15BFC"/>
    <w:rsid w:val="00A24805"/>
    <w:rsid w:val="00A25852"/>
    <w:rsid w:val="00A25B1F"/>
    <w:rsid w:val="00A25D1F"/>
    <w:rsid w:val="00A269BB"/>
    <w:rsid w:val="00A270C3"/>
    <w:rsid w:val="00A31775"/>
    <w:rsid w:val="00A318ED"/>
    <w:rsid w:val="00A321D7"/>
    <w:rsid w:val="00A32360"/>
    <w:rsid w:val="00A3270A"/>
    <w:rsid w:val="00A3285B"/>
    <w:rsid w:val="00A3325A"/>
    <w:rsid w:val="00A3357E"/>
    <w:rsid w:val="00A340CF"/>
    <w:rsid w:val="00A3459B"/>
    <w:rsid w:val="00A34FCD"/>
    <w:rsid w:val="00A36C06"/>
    <w:rsid w:val="00A37A94"/>
    <w:rsid w:val="00A37B9A"/>
    <w:rsid w:val="00A40850"/>
    <w:rsid w:val="00A40A50"/>
    <w:rsid w:val="00A43013"/>
    <w:rsid w:val="00A4324B"/>
    <w:rsid w:val="00A43C28"/>
    <w:rsid w:val="00A44C2C"/>
    <w:rsid w:val="00A45B44"/>
    <w:rsid w:val="00A4754B"/>
    <w:rsid w:val="00A475FB"/>
    <w:rsid w:val="00A50021"/>
    <w:rsid w:val="00A5079E"/>
    <w:rsid w:val="00A52400"/>
    <w:rsid w:val="00A53A3C"/>
    <w:rsid w:val="00A546B1"/>
    <w:rsid w:val="00A55408"/>
    <w:rsid w:val="00A56047"/>
    <w:rsid w:val="00A56186"/>
    <w:rsid w:val="00A56376"/>
    <w:rsid w:val="00A56A3E"/>
    <w:rsid w:val="00A56C59"/>
    <w:rsid w:val="00A57561"/>
    <w:rsid w:val="00A609E2"/>
    <w:rsid w:val="00A6101B"/>
    <w:rsid w:val="00A61DE3"/>
    <w:rsid w:val="00A64995"/>
    <w:rsid w:val="00A64C6A"/>
    <w:rsid w:val="00A66FD5"/>
    <w:rsid w:val="00A701A4"/>
    <w:rsid w:val="00A725F2"/>
    <w:rsid w:val="00A76B5F"/>
    <w:rsid w:val="00A8177B"/>
    <w:rsid w:val="00A828DE"/>
    <w:rsid w:val="00A82C82"/>
    <w:rsid w:val="00A830D4"/>
    <w:rsid w:val="00A84663"/>
    <w:rsid w:val="00A85226"/>
    <w:rsid w:val="00A85499"/>
    <w:rsid w:val="00A864A8"/>
    <w:rsid w:val="00A91A30"/>
    <w:rsid w:val="00A9366F"/>
    <w:rsid w:val="00A9377B"/>
    <w:rsid w:val="00A93E8C"/>
    <w:rsid w:val="00A94F08"/>
    <w:rsid w:val="00A969AD"/>
    <w:rsid w:val="00A96A9A"/>
    <w:rsid w:val="00AA005A"/>
    <w:rsid w:val="00AA0504"/>
    <w:rsid w:val="00AA4912"/>
    <w:rsid w:val="00AA4D8F"/>
    <w:rsid w:val="00AA5FC9"/>
    <w:rsid w:val="00AA64DA"/>
    <w:rsid w:val="00AA7F41"/>
    <w:rsid w:val="00AB07FC"/>
    <w:rsid w:val="00AB0ADC"/>
    <w:rsid w:val="00AB0BF2"/>
    <w:rsid w:val="00AB1806"/>
    <w:rsid w:val="00AB57E2"/>
    <w:rsid w:val="00AB6791"/>
    <w:rsid w:val="00AC008D"/>
    <w:rsid w:val="00AC03E1"/>
    <w:rsid w:val="00AC0793"/>
    <w:rsid w:val="00AC11BD"/>
    <w:rsid w:val="00AC1384"/>
    <w:rsid w:val="00AC1E51"/>
    <w:rsid w:val="00AC2838"/>
    <w:rsid w:val="00AC3238"/>
    <w:rsid w:val="00AC3B7A"/>
    <w:rsid w:val="00AC59AE"/>
    <w:rsid w:val="00AC679B"/>
    <w:rsid w:val="00AC7935"/>
    <w:rsid w:val="00AD1807"/>
    <w:rsid w:val="00AD22F9"/>
    <w:rsid w:val="00AD2525"/>
    <w:rsid w:val="00AD2879"/>
    <w:rsid w:val="00AD2960"/>
    <w:rsid w:val="00AD3141"/>
    <w:rsid w:val="00AD4CEB"/>
    <w:rsid w:val="00AD6AB0"/>
    <w:rsid w:val="00AD739A"/>
    <w:rsid w:val="00AE069B"/>
    <w:rsid w:val="00AE1252"/>
    <w:rsid w:val="00AE2BC6"/>
    <w:rsid w:val="00AE3244"/>
    <w:rsid w:val="00AE3979"/>
    <w:rsid w:val="00AE47A0"/>
    <w:rsid w:val="00AE4FB8"/>
    <w:rsid w:val="00AE56CE"/>
    <w:rsid w:val="00AE64C6"/>
    <w:rsid w:val="00AE690F"/>
    <w:rsid w:val="00AE6FB5"/>
    <w:rsid w:val="00AE7907"/>
    <w:rsid w:val="00AF00B6"/>
    <w:rsid w:val="00AF06EF"/>
    <w:rsid w:val="00AF0A43"/>
    <w:rsid w:val="00AF0C17"/>
    <w:rsid w:val="00AF108A"/>
    <w:rsid w:val="00AF1C5D"/>
    <w:rsid w:val="00AF4259"/>
    <w:rsid w:val="00AF63FD"/>
    <w:rsid w:val="00AF6524"/>
    <w:rsid w:val="00AF653C"/>
    <w:rsid w:val="00B0169A"/>
    <w:rsid w:val="00B02E55"/>
    <w:rsid w:val="00B036C1"/>
    <w:rsid w:val="00B03ACF"/>
    <w:rsid w:val="00B047D3"/>
    <w:rsid w:val="00B04F00"/>
    <w:rsid w:val="00B05BE8"/>
    <w:rsid w:val="00B11D74"/>
    <w:rsid w:val="00B14DEC"/>
    <w:rsid w:val="00B14FCC"/>
    <w:rsid w:val="00B16368"/>
    <w:rsid w:val="00B17AC3"/>
    <w:rsid w:val="00B20D65"/>
    <w:rsid w:val="00B21D51"/>
    <w:rsid w:val="00B22766"/>
    <w:rsid w:val="00B22A96"/>
    <w:rsid w:val="00B24A74"/>
    <w:rsid w:val="00B26253"/>
    <w:rsid w:val="00B27531"/>
    <w:rsid w:val="00B27B8E"/>
    <w:rsid w:val="00B332B3"/>
    <w:rsid w:val="00B337D0"/>
    <w:rsid w:val="00B33930"/>
    <w:rsid w:val="00B34227"/>
    <w:rsid w:val="00B35618"/>
    <w:rsid w:val="00B36BA3"/>
    <w:rsid w:val="00B40734"/>
    <w:rsid w:val="00B42ED6"/>
    <w:rsid w:val="00B46DB4"/>
    <w:rsid w:val="00B47103"/>
    <w:rsid w:val="00B50160"/>
    <w:rsid w:val="00B508A2"/>
    <w:rsid w:val="00B51572"/>
    <w:rsid w:val="00B51AD9"/>
    <w:rsid w:val="00B5212E"/>
    <w:rsid w:val="00B52F66"/>
    <w:rsid w:val="00B53B67"/>
    <w:rsid w:val="00B5431F"/>
    <w:rsid w:val="00B61470"/>
    <w:rsid w:val="00B61A8E"/>
    <w:rsid w:val="00B626FC"/>
    <w:rsid w:val="00B63B89"/>
    <w:rsid w:val="00B645AC"/>
    <w:rsid w:val="00B65A11"/>
    <w:rsid w:val="00B65C92"/>
    <w:rsid w:val="00B66138"/>
    <w:rsid w:val="00B67120"/>
    <w:rsid w:val="00B67AEA"/>
    <w:rsid w:val="00B7018B"/>
    <w:rsid w:val="00B70829"/>
    <w:rsid w:val="00B710FA"/>
    <w:rsid w:val="00B71D57"/>
    <w:rsid w:val="00B72078"/>
    <w:rsid w:val="00B74740"/>
    <w:rsid w:val="00B751B0"/>
    <w:rsid w:val="00B76393"/>
    <w:rsid w:val="00B765D0"/>
    <w:rsid w:val="00B7672A"/>
    <w:rsid w:val="00B769E5"/>
    <w:rsid w:val="00B7732C"/>
    <w:rsid w:val="00B777AF"/>
    <w:rsid w:val="00B77ABE"/>
    <w:rsid w:val="00B804A3"/>
    <w:rsid w:val="00B80A20"/>
    <w:rsid w:val="00B8150F"/>
    <w:rsid w:val="00B81A3F"/>
    <w:rsid w:val="00B81C44"/>
    <w:rsid w:val="00B820C9"/>
    <w:rsid w:val="00B83647"/>
    <w:rsid w:val="00B839BB"/>
    <w:rsid w:val="00B84AA7"/>
    <w:rsid w:val="00B84D85"/>
    <w:rsid w:val="00B853D7"/>
    <w:rsid w:val="00B859FD"/>
    <w:rsid w:val="00B87C94"/>
    <w:rsid w:val="00B87EF4"/>
    <w:rsid w:val="00B90EA3"/>
    <w:rsid w:val="00B9190A"/>
    <w:rsid w:val="00B92EA4"/>
    <w:rsid w:val="00B93216"/>
    <w:rsid w:val="00B937C1"/>
    <w:rsid w:val="00B9485B"/>
    <w:rsid w:val="00B95206"/>
    <w:rsid w:val="00B95C30"/>
    <w:rsid w:val="00B96318"/>
    <w:rsid w:val="00B96B72"/>
    <w:rsid w:val="00B970BD"/>
    <w:rsid w:val="00BA02A9"/>
    <w:rsid w:val="00BA15CC"/>
    <w:rsid w:val="00BA1877"/>
    <w:rsid w:val="00BA218A"/>
    <w:rsid w:val="00BA3816"/>
    <w:rsid w:val="00BA4350"/>
    <w:rsid w:val="00BA7436"/>
    <w:rsid w:val="00BA7715"/>
    <w:rsid w:val="00BB3F5B"/>
    <w:rsid w:val="00BB40CA"/>
    <w:rsid w:val="00BB5297"/>
    <w:rsid w:val="00BB6336"/>
    <w:rsid w:val="00BB6361"/>
    <w:rsid w:val="00BB6641"/>
    <w:rsid w:val="00BC184B"/>
    <w:rsid w:val="00BC3A7E"/>
    <w:rsid w:val="00BC4445"/>
    <w:rsid w:val="00BC47C2"/>
    <w:rsid w:val="00BC4DE1"/>
    <w:rsid w:val="00BC4FB2"/>
    <w:rsid w:val="00BC57BB"/>
    <w:rsid w:val="00BC5C09"/>
    <w:rsid w:val="00BC6864"/>
    <w:rsid w:val="00BC775D"/>
    <w:rsid w:val="00BC7AC2"/>
    <w:rsid w:val="00BD129E"/>
    <w:rsid w:val="00BD2284"/>
    <w:rsid w:val="00BD33FD"/>
    <w:rsid w:val="00BD5259"/>
    <w:rsid w:val="00BD5C3A"/>
    <w:rsid w:val="00BD69FE"/>
    <w:rsid w:val="00BD6A44"/>
    <w:rsid w:val="00BD7BD8"/>
    <w:rsid w:val="00BE0EEC"/>
    <w:rsid w:val="00BE36DB"/>
    <w:rsid w:val="00BE4434"/>
    <w:rsid w:val="00BE44EC"/>
    <w:rsid w:val="00BE5130"/>
    <w:rsid w:val="00BE6726"/>
    <w:rsid w:val="00BE6996"/>
    <w:rsid w:val="00BF1071"/>
    <w:rsid w:val="00BF4113"/>
    <w:rsid w:val="00BF445B"/>
    <w:rsid w:val="00BF5662"/>
    <w:rsid w:val="00BF72C5"/>
    <w:rsid w:val="00BF7FE0"/>
    <w:rsid w:val="00C00107"/>
    <w:rsid w:val="00C005E7"/>
    <w:rsid w:val="00C00841"/>
    <w:rsid w:val="00C00B85"/>
    <w:rsid w:val="00C01752"/>
    <w:rsid w:val="00C01B87"/>
    <w:rsid w:val="00C03635"/>
    <w:rsid w:val="00C04730"/>
    <w:rsid w:val="00C04B12"/>
    <w:rsid w:val="00C072D6"/>
    <w:rsid w:val="00C11323"/>
    <w:rsid w:val="00C114A3"/>
    <w:rsid w:val="00C11E01"/>
    <w:rsid w:val="00C11EF4"/>
    <w:rsid w:val="00C1213B"/>
    <w:rsid w:val="00C12621"/>
    <w:rsid w:val="00C133EB"/>
    <w:rsid w:val="00C136B5"/>
    <w:rsid w:val="00C136C3"/>
    <w:rsid w:val="00C13F4B"/>
    <w:rsid w:val="00C14054"/>
    <w:rsid w:val="00C14589"/>
    <w:rsid w:val="00C147DF"/>
    <w:rsid w:val="00C14FE4"/>
    <w:rsid w:val="00C15270"/>
    <w:rsid w:val="00C1571E"/>
    <w:rsid w:val="00C16937"/>
    <w:rsid w:val="00C16989"/>
    <w:rsid w:val="00C16BEF"/>
    <w:rsid w:val="00C200CF"/>
    <w:rsid w:val="00C218AD"/>
    <w:rsid w:val="00C21F82"/>
    <w:rsid w:val="00C2428A"/>
    <w:rsid w:val="00C24E8D"/>
    <w:rsid w:val="00C25BF8"/>
    <w:rsid w:val="00C266D9"/>
    <w:rsid w:val="00C27C22"/>
    <w:rsid w:val="00C331FA"/>
    <w:rsid w:val="00C33253"/>
    <w:rsid w:val="00C338DB"/>
    <w:rsid w:val="00C33990"/>
    <w:rsid w:val="00C33AF6"/>
    <w:rsid w:val="00C3428C"/>
    <w:rsid w:val="00C3466A"/>
    <w:rsid w:val="00C36044"/>
    <w:rsid w:val="00C36616"/>
    <w:rsid w:val="00C368DF"/>
    <w:rsid w:val="00C3690F"/>
    <w:rsid w:val="00C37DF3"/>
    <w:rsid w:val="00C40462"/>
    <w:rsid w:val="00C40D0D"/>
    <w:rsid w:val="00C43646"/>
    <w:rsid w:val="00C458DF"/>
    <w:rsid w:val="00C45F1A"/>
    <w:rsid w:val="00C4767B"/>
    <w:rsid w:val="00C47934"/>
    <w:rsid w:val="00C47C76"/>
    <w:rsid w:val="00C47D05"/>
    <w:rsid w:val="00C47DD8"/>
    <w:rsid w:val="00C47E75"/>
    <w:rsid w:val="00C47ECA"/>
    <w:rsid w:val="00C518E0"/>
    <w:rsid w:val="00C5274F"/>
    <w:rsid w:val="00C53748"/>
    <w:rsid w:val="00C5469F"/>
    <w:rsid w:val="00C5474F"/>
    <w:rsid w:val="00C561E2"/>
    <w:rsid w:val="00C56BA6"/>
    <w:rsid w:val="00C60352"/>
    <w:rsid w:val="00C60FFC"/>
    <w:rsid w:val="00C616E0"/>
    <w:rsid w:val="00C62E6F"/>
    <w:rsid w:val="00C631F1"/>
    <w:rsid w:val="00C67B62"/>
    <w:rsid w:val="00C70D52"/>
    <w:rsid w:val="00C720BF"/>
    <w:rsid w:val="00C72328"/>
    <w:rsid w:val="00C72552"/>
    <w:rsid w:val="00C75530"/>
    <w:rsid w:val="00C76701"/>
    <w:rsid w:val="00C77C66"/>
    <w:rsid w:val="00C80FE2"/>
    <w:rsid w:val="00C82D63"/>
    <w:rsid w:val="00C82D72"/>
    <w:rsid w:val="00C82E67"/>
    <w:rsid w:val="00C83749"/>
    <w:rsid w:val="00C84F10"/>
    <w:rsid w:val="00C85682"/>
    <w:rsid w:val="00C85ABE"/>
    <w:rsid w:val="00C85C40"/>
    <w:rsid w:val="00C90659"/>
    <w:rsid w:val="00C907F0"/>
    <w:rsid w:val="00C909DC"/>
    <w:rsid w:val="00C90CDD"/>
    <w:rsid w:val="00C91B72"/>
    <w:rsid w:val="00C92A16"/>
    <w:rsid w:val="00C93327"/>
    <w:rsid w:val="00C96411"/>
    <w:rsid w:val="00C964E6"/>
    <w:rsid w:val="00CA15A0"/>
    <w:rsid w:val="00CA2F83"/>
    <w:rsid w:val="00CA318A"/>
    <w:rsid w:val="00CA4BD3"/>
    <w:rsid w:val="00CA5F85"/>
    <w:rsid w:val="00CA62E1"/>
    <w:rsid w:val="00CB09E1"/>
    <w:rsid w:val="00CB1FD4"/>
    <w:rsid w:val="00CB21FF"/>
    <w:rsid w:val="00CB2369"/>
    <w:rsid w:val="00CB393F"/>
    <w:rsid w:val="00CB42DB"/>
    <w:rsid w:val="00CB43C2"/>
    <w:rsid w:val="00CB4FD4"/>
    <w:rsid w:val="00CB54D3"/>
    <w:rsid w:val="00CB6256"/>
    <w:rsid w:val="00CB6B10"/>
    <w:rsid w:val="00CB72B9"/>
    <w:rsid w:val="00CC03C0"/>
    <w:rsid w:val="00CC21A3"/>
    <w:rsid w:val="00CC21F4"/>
    <w:rsid w:val="00CC2B83"/>
    <w:rsid w:val="00CC44E2"/>
    <w:rsid w:val="00CC4862"/>
    <w:rsid w:val="00CD08B0"/>
    <w:rsid w:val="00CD1211"/>
    <w:rsid w:val="00CD1B49"/>
    <w:rsid w:val="00CD2395"/>
    <w:rsid w:val="00CD33B6"/>
    <w:rsid w:val="00CD36FD"/>
    <w:rsid w:val="00CD3D72"/>
    <w:rsid w:val="00CD4269"/>
    <w:rsid w:val="00CD4736"/>
    <w:rsid w:val="00CD47D3"/>
    <w:rsid w:val="00CD5A13"/>
    <w:rsid w:val="00CD5E11"/>
    <w:rsid w:val="00CD6844"/>
    <w:rsid w:val="00CD756B"/>
    <w:rsid w:val="00CE0F0C"/>
    <w:rsid w:val="00CE26D5"/>
    <w:rsid w:val="00CE37D2"/>
    <w:rsid w:val="00CE3F95"/>
    <w:rsid w:val="00CE5D5E"/>
    <w:rsid w:val="00CF0041"/>
    <w:rsid w:val="00CF29BC"/>
    <w:rsid w:val="00CF2E5C"/>
    <w:rsid w:val="00CF4241"/>
    <w:rsid w:val="00CF58B7"/>
    <w:rsid w:val="00CF7E20"/>
    <w:rsid w:val="00D00CD3"/>
    <w:rsid w:val="00D021AE"/>
    <w:rsid w:val="00D02A8F"/>
    <w:rsid w:val="00D02F6F"/>
    <w:rsid w:val="00D05347"/>
    <w:rsid w:val="00D061C3"/>
    <w:rsid w:val="00D06A67"/>
    <w:rsid w:val="00D114B7"/>
    <w:rsid w:val="00D11CBC"/>
    <w:rsid w:val="00D12E1C"/>
    <w:rsid w:val="00D12F84"/>
    <w:rsid w:val="00D12FD3"/>
    <w:rsid w:val="00D14E3D"/>
    <w:rsid w:val="00D1699D"/>
    <w:rsid w:val="00D17366"/>
    <w:rsid w:val="00D200AD"/>
    <w:rsid w:val="00D20217"/>
    <w:rsid w:val="00D20797"/>
    <w:rsid w:val="00D23D16"/>
    <w:rsid w:val="00D2421F"/>
    <w:rsid w:val="00D24E87"/>
    <w:rsid w:val="00D25EBB"/>
    <w:rsid w:val="00D263BF"/>
    <w:rsid w:val="00D26F54"/>
    <w:rsid w:val="00D274F8"/>
    <w:rsid w:val="00D300AC"/>
    <w:rsid w:val="00D308E7"/>
    <w:rsid w:val="00D31BAE"/>
    <w:rsid w:val="00D33784"/>
    <w:rsid w:val="00D34177"/>
    <w:rsid w:val="00D34946"/>
    <w:rsid w:val="00D34F0B"/>
    <w:rsid w:val="00D351C1"/>
    <w:rsid w:val="00D35542"/>
    <w:rsid w:val="00D356CD"/>
    <w:rsid w:val="00D357A8"/>
    <w:rsid w:val="00D35EFB"/>
    <w:rsid w:val="00D367E1"/>
    <w:rsid w:val="00D37588"/>
    <w:rsid w:val="00D40A78"/>
    <w:rsid w:val="00D46300"/>
    <w:rsid w:val="00D478F6"/>
    <w:rsid w:val="00D47A5B"/>
    <w:rsid w:val="00D47BAA"/>
    <w:rsid w:val="00D47D55"/>
    <w:rsid w:val="00D504B3"/>
    <w:rsid w:val="00D51ED4"/>
    <w:rsid w:val="00D523B4"/>
    <w:rsid w:val="00D528E4"/>
    <w:rsid w:val="00D52C57"/>
    <w:rsid w:val="00D541EA"/>
    <w:rsid w:val="00D55C51"/>
    <w:rsid w:val="00D55CD8"/>
    <w:rsid w:val="00D55D8F"/>
    <w:rsid w:val="00D57160"/>
    <w:rsid w:val="00D57ABC"/>
    <w:rsid w:val="00D60BE4"/>
    <w:rsid w:val="00D62AD8"/>
    <w:rsid w:val="00D63B3D"/>
    <w:rsid w:val="00D664D5"/>
    <w:rsid w:val="00D665FE"/>
    <w:rsid w:val="00D71365"/>
    <w:rsid w:val="00D72E7A"/>
    <w:rsid w:val="00D730A5"/>
    <w:rsid w:val="00D73614"/>
    <w:rsid w:val="00D73975"/>
    <w:rsid w:val="00D7409A"/>
    <w:rsid w:val="00D75283"/>
    <w:rsid w:val="00D759B3"/>
    <w:rsid w:val="00D77441"/>
    <w:rsid w:val="00D77E08"/>
    <w:rsid w:val="00D80821"/>
    <w:rsid w:val="00D80905"/>
    <w:rsid w:val="00D80BDD"/>
    <w:rsid w:val="00D82035"/>
    <w:rsid w:val="00D8284D"/>
    <w:rsid w:val="00D83895"/>
    <w:rsid w:val="00D83C58"/>
    <w:rsid w:val="00D83F6C"/>
    <w:rsid w:val="00D85256"/>
    <w:rsid w:val="00D85418"/>
    <w:rsid w:val="00D85870"/>
    <w:rsid w:val="00D85A4E"/>
    <w:rsid w:val="00D86BF0"/>
    <w:rsid w:val="00D877F7"/>
    <w:rsid w:val="00D8783B"/>
    <w:rsid w:val="00D87A9B"/>
    <w:rsid w:val="00D923AE"/>
    <w:rsid w:val="00D92675"/>
    <w:rsid w:val="00D92D39"/>
    <w:rsid w:val="00D948FE"/>
    <w:rsid w:val="00D95F92"/>
    <w:rsid w:val="00D96DC8"/>
    <w:rsid w:val="00DA087A"/>
    <w:rsid w:val="00DA1A42"/>
    <w:rsid w:val="00DA276E"/>
    <w:rsid w:val="00DA2CD5"/>
    <w:rsid w:val="00DA4426"/>
    <w:rsid w:val="00DA58F3"/>
    <w:rsid w:val="00DA6512"/>
    <w:rsid w:val="00DA6CDF"/>
    <w:rsid w:val="00DA6FF2"/>
    <w:rsid w:val="00DB0A5B"/>
    <w:rsid w:val="00DB14E1"/>
    <w:rsid w:val="00DB2357"/>
    <w:rsid w:val="00DB35F9"/>
    <w:rsid w:val="00DC0F07"/>
    <w:rsid w:val="00DC2050"/>
    <w:rsid w:val="00DC3ADC"/>
    <w:rsid w:val="00DC4A10"/>
    <w:rsid w:val="00DC58A2"/>
    <w:rsid w:val="00DC6A4C"/>
    <w:rsid w:val="00DC6E70"/>
    <w:rsid w:val="00DC7A07"/>
    <w:rsid w:val="00DD0E19"/>
    <w:rsid w:val="00DD10A6"/>
    <w:rsid w:val="00DD13E1"/>
    <w:rsid w:val="00DD1726"/>
    <w:rsid w:val="00DD1CBB"/>
    <w:rsid w:val="00DD231E"/>
    <w:rsid w:val="00DE2C9B"/>
    <w:rsid w:val="00DE4A55"/>
    <w:rsid w:val="00DE56BD"/>
    <w:rsid w:val="00DE59E7"/>
    <w:rsid w:val="00DF094B"/>
    <w:rsid w:val="00DF265A"/>
    <w:rsid w:val="00DF378E"/>
    <w:rsid w:val="00DF5161"/>
    <w:rsid w:val="00DF6436"/>
    <w:rsid w:val="00DF66D0"/>
    <w:rsid w:val="00DF7AA4"/>
    <w:rsid w:val="00E0195F"/>
    <w:rsid w:val="00E02844"/>
    <w:rsid w:val="00E0447F"/>
    <w:rsid w:val="00E04DD6"/>
    <w:rsid w:val="00E05A10"/>
    <w:rsid w:val="00E103E7"/>
    <w:rsid w:val="00E106F5"/>
    <w:rsid w:val="00E10839"/>
    <w:rsid w:val="00E11642"/>
    <w:rsid w:val="00E11790"/>
    <w:rsid w:val="00E1273D"/>
    <w:rsid w:val="00E13109"/>
    <w:rsid w:val="00E13467"/>
    <w:rsid w:val="00E14A1E"/>
    <w:rsid w:val="00E154CF"/>
    <w:rsid w:val="00E155EA"/>
    <w:rsid w:val="00E1681F"/>
    <w:rsid w:val="00E20CC7"/>
    <w:rsid w:val="00E211BA"/>
    <w:rsid w:val="00E2287A"/>
    <w:rsid w:val="00E230EB"/>
    <w:rsid w:val="00E238FB"/>
    <w:rsid w:val="00E24C64"/>
    <w:rsid w:val="00E24CD8"/>
    <w:rsid w:val="00E25943"/>
    <w:rsid w:val="00E26A12"/>
    <w:rsid w:val="00E26E19"/>
    <w:rsid w:val="00E270C5"/>
    <w:rsid w:val="00E274E4"/>
    <w:rsid w:val="00E279A6"/>
    <w:rsid w:val="00E3157B"/>
    <w:rsid w:val="00E31B21"/>
    <w:rsid w:val="00E3263A"/>
    <w:rsid w:val="00E3393D"/>
    <w:rsid w:val="00E33EDE"/>
    <w:rsid w:val="00E35681"/>
    <w:rsid w:val="00E357E0"/>
    <w:rsid w:val="00E35B9B"/>
    <w:rsid w:val="00E3705A"/>
    <w:rsid w:val="00E37296"/>
    <w:rsid w:val="00E3731B"/>
    <w:rsid w:val="00E3777E"/>
    <w:rsid w:val="00E4034B"/>
    <w:rsid w:val="00E40AFE"/>
    <w:rsid w:val="00E413CA"/>
    <w:rsid w:val="00E41CEF"/>
    <w:rsid w:val="00E41DC7"/>
    <w:rsid w:val="00E42D6A"/>
    <w:rsid w:val="00E431F8"/>
    <w:rsid w:val="00E44322"/>
    <w:rsid w:val="00E449C1"/>
    <w:rsid w:val="00E46829"/>
    <w:rsid w:val="00E46A45"/>
    <w:rsid w:val="00E46EC6"/>
    <w:rsid w:val="00E50580"/>
    <w:rsid w:val="00E50DFA"/>
    <w:rsid w:val="00E51079"/>
    <w:rsid w:val="00E51920"/>
    <w:rsid w:val="00E51938"/>
    <w:rsid w:val="00E52AB3"/>
    <w:rsid w:val="00E53B23"/>
    <w:rsid w:val="00E540F1"/>
    <w:rsid w:val="00E55686"/>
    <w:rsid w:val="00E560A4"/>
    <w:rsid w:val="00E56FF7"/>
    <w:rsid w:val="00E5777C"/>
    <w:rsid w:val="00E603AB"/>
    <w:rsid w:val="00E635F6"/>
    <w:rsid w:val="00E64120"/>
    <w:rsid w:val="00E660A1"/>
    <w:rsid w:val="00E66FB5"/>
    <w:rsid w:val="00E67B3D"/>
    <w:rsid w:val="00E70737"/>
    <w:rsid w:val="00E715D3"/>
    <w:rsid w:val="00E728C0"/>
    <w:rsid w:val="00E72AE9"/>
    <w:rsid w:val="00E73D36"/>
    <w:rsid w:val="00E73F21"/>
    <w:rsid w:val="00E73F3D"/>
    <w:rsid w:val="00E75D40"/>
    <w:rsid w:val="00E769D3"/>
    <w:rsid w:val="00E7733B"/>
    <w:rsid w:val="00E77F42"/>
    <w:rsid w:val="00E804F9"/>
    <w:rsid w:val="00E80A1D"/>
    <w:rsid w:val="00E81136"/>
    <w:rsid w:val="00E8296B"/>
    <w:rsid w:val="00E84212"/>
    <w:rsid w:val="00E851C4"/>
    <w:rsid w:val="00E858D9"/>
    <w:rsid w:val="00E86047"/>
    <w:rsid w:val="00E86B9E"/>
    <w:rsid w:val="00E90269"/>
    <w:rsid w:val="00E907B7"/>
    <w:rsid w:val="00E9171E"/>
    <w:rsid w:val="00E924A4"/>
    <w:rsid w:val="00E92F13"/>
    <w:rsid w:val="00E95AC7"/>
    <w:rsid w:val="00E968E9"/>
    <w:rsid w:val="00E971EF"/>
    <w:rsid w:val="00E976D3"/>
    <w:rsid w:val="00EA10C9"/>
    <w:rsid w:val="00EA1CF6"/>
    <w:rsid w:val="00EA1DFB"/>
    <w:rsid w:val="00EA29B2"/>
    <w:rsid w:val="00EA5152"/>
    <w:rsid w:val="00EA5375"/>
    <w:rsid w:val="00EA5C2D"/>
    <w:rsid w:val="00EA5EF3"/>
    <w:rsid w:val="00EA6547"/>
    <w:rsid w:val="00EA790E"/>
    <w:rsid w:val="00EB096F"/>
    <w:rsid w:val="00EB17DA"/>
    <w:rsid w:val="00EB1997"/>
    <w:rsid w:val="00EB1D18"/>
    <w:rsid w:val="00EB3486"/>
    <w:rsid w:val="00EB3FF1"/>
    <w:rsid w:val="00EB4131"/>
    <w:rsid w:val="00EB46DE"/>
    <w:rsid w:val="00EB69CB"/>
    <w:rsid w:val="00EB6ABE"/>
    <w:rsid w:val="00EC21F5"/>
    <w:rsid w:val="00EC336C"/>
    <w:rsid w:val="00EC3A86"/>
    <w:rsid w:val="00EC3AF5"/>
    <w:rsid w:val="00EC45FE"/>
    <w:rsid w:val="00EC4967"/>
    <w:rsid w:val="00EC67F5"/>
    <w:rsid w:val="00EC6A35"/>
    <w:rsid w:val="00EC781A"/>
    <w:rsid w:val="00ED027B"/>
    <w:rsid w:val="00ED0C5F"/>
    <w:rsid w:val="00ED1812"/>
    <w:rsid w:val="00ED2472"/>
    <w:rsid w:val="00ED28B0"/>
    <w:rsid w:val="00ED408C"/>
    <w:rsid w:val="00ED4FB7"/>
    <w:rsid w:val="00ED6037"/>
    <w:rsid w:val="00ED7198"/>
    <w:rsid w:val="00ED78BC"/>
    <w:rsid w:val="00EE0B62"/>
    <w:rsid w:val="00EE15FE"/>
    <w:rsid w:val="00EE176C"/>
    <w:rsid w:val="00EE2277"/>
    <w:rsid w:val="00EE247A"/>
    <w:rsid w:val="00EE2B5B"/>
    <w:rsid w:val="00EE2F8C"/>
    <w:rsid w:val="00EE30E2"/>
    <w:rsid w:val="00EE422C"/>
    <w:rsid w:val="00EE4299"/>
    <w:rsid w:val="00EE5FFF"/>
    <w:rsid w:val="00EE665B"/>
    <w:rsid w:val="00EF0031"/>
    <w:rsid w:val="00EF0848"/>
    <w:rsid w:val="00EF0CD8"/>
    <w:rsid w:val="00EF1D99"/>
    <w:rsid w:val="00EF493E"/>
    <w:rsid w:val="00EF5121"/>
    <w:rsid w:val="00EF5172"/>
    <w:rsid w:val="00EF641E"/>
    <w:rsid w:val="00EF7A67"/>
    <w:rsid w:val="00EF7E68"/>
    <w:rsid w:val="00F00EF1"/>
    <w:rsid w:val="00F00F48"/>
    <w:rsid w:val="00F03813"/>
    <w:rsid w:val="00F05058"/>
    <w:rsid w:val="00F0550D"/>
    <w:rsid w:val="00F055F1"/>
    <w:rsid w:val="00F05666"/>
    <w:rsid w:val="00F06AC3"/>
    <w:rsid w:val="00F07002"/>
    <w:rsid w:val="00F077BD"/>
    <w:rsid w:val="00F07E3D"/>
    <w:rsid w:val="00F10004"/>
    <w:rsid w:val="00F102C7"/>
    <w:rsid w:val="00F105BF"/>
    <w:rsid w:val="00F11DD9"/>
    <w:rsid w:val="00F12D5E"/>
    <w:rsid w:val="00F13D9D"/>
    <w:rsid w:val="00F15939"/>
    <w:rsid w:val="00F15E78"/>
    <w:rsid w:val="00F20594"/>
    <w:rsid w:val="00F2223E"/>
    <w:rsid w:val="00F24646"/>
    <w:rsid w:val="00F24896"/>
    <w:rsid w:val="00F27895"/>
    <w:rsid w:val="00F31284"/>
    <w:rsid w:val="00F31BDF"/>
    <w:rsid w:val="00F32813"/>
    <w:rsid w:val="00F33F33"/>
    <w:rsid w:val="00F343C6"/>
    <w:rsid w:val="00F347A5"/>
    <w:rsid w:val="00F34DAC"/>
    <w:rsid w:val="00F357A8"/>
    <w:rsid w:val="00F357C2"/>
    <w:rsid w:val="00F35B1B"/>
    <w:rsid w:val="00F37A1C"/>
    <w:rsid w:val="00F41D5B"/>
    <w:rsid w:val="00F428D5"/>
    <w:rsid w:val="00F44281"/>
    <w:rsid w:val="00F46B63"/>
    <w:rsid w:val="00F47D9F"/>
    <w:rsid w:val="00F47F0D"/>
    <w:rsid w:val="00F51724"/>
    <w:rsid w:val="00F53CD3"/>
    <w:rsid w:val="00F540D1"/>
    <w:rsid w:val="00F542C8"/>
    <w:rsid w:val="00F547E3"/>
    <w:rsid w:val="00F549BE"/>
    <w:rsid w:val="00F5531B"/>
    <w:rsid w:val="00F55CCA"/>
    <w:rsid w:val="00F60EF5"/>
    <w:rsid w:val="00F610AF"/>
    <w:rsid w:val="00F6348D"/>
    <w:rsid w:val="00F679EA"/>
    <w:rsid w:val="00F707D1"/>
    <w:rsid w:val="00F70CE9"/>
    <w:rsid w:val="00F73FF9"/>
    <w:rsid w:val="00F74180"/>
    <w:rsid w:val="00F76C4F"/>
    <w:rsid w:val="00F76CFA"/>
    <w:rsid w:val="00F77952"/>
    <w:rsid w:val="00F82B72"/>
    <w:rsid w:val="00F82F6F"/>
    <w:rsid w:val="00F83573"/>
    <w:rsid w:val="00F83A77"/>
    <w:rsid w:val="00F83D42"/>
    <w:rsid w:val="00F84270"/>
    <w:rsid w:val="00F84DBB"/>
    <w:rsid w:val="00F85B91"/>
    <w:rsid w:val="00F868CE"/>
    <w:rsid w:val="00F86C4F"/>
    <w:rsid w:val="00F90330"/>
    <w:rsid w:val="00F9056B"/>
    <w:rsid w:val="00F92AF5"/>
    <w:rsid w:val="00F94F99"/>
    <w:rsid w:val="00F957C5"/>
    <w:rsid w:val="00F95C9E"/>
    <w:rsid w:val="00F9667D"/>
    <w:rsid w:val="00F967CC"/>
    <w:rsid w:val="00F96F5D"/>
    <w:rsid w:val="00F97772"/>
    <w:rsid w:val="00F97DE5"/>
    <w:rsid w:val="00F97F8D"/>
    <w:rsid w:val="00FA0DAE"/>
    <w:rsid w:val="00FA0EF1"/>
    <w:rsid w:val="00FA1140"/>
    <w:rsid w:val="00FA1842"/>
    <w:rsid w:val="00FA18F2"/>
    <w:rsid w:val="00FA1E4A"/>
    <w:rsid w:val="00FA2543"/>
    <w:rsid w:val="00FA2574"/>
    <w:rsid w:val="00FA26C4"/>
    <w:rsid w:val="00FA2C5A"/>
    <w:rsid w:val="00FA3A11"/>
    <w:rsid w:val="00FA4B51"/>
    <w:rsid w:val="00FB175D"/>
    <w:rsid w:val="00FB1E8F"/>
    <w:rsid w:val="00FB4DCB"/>
    <w:rsid w:val="00FB574E"/>
    <w:rsid w:val="00FB6654"/>
    <w:rsid w:val="00FB6701"/>
    <w:rsid w:val="00FB7FE4"/>
    <w:rsid w:val="00FC1537"/>
    <w:rsid w:val="00FC2D11"/>
    <w:rsid w:val="00FC35CC"/>
    <w:rsid w:val="00FC4BE7"/>
    <w:rsid w:val="00FC52CC"/>
    <w:rsid w:val="00FC6230"/>
    <w:rsid w:val="00FC6254"/>
    <w:rsid w:val="00FD0178"/>
    <w:rsid w:val="00FD0266"/>
    <w:rsid w:val="00FD08D5"/>
    <w:rsid w:val="00FD2A6E"/>
    <w:rsid w:val="00FD332A"/>
    <w:rsid w:val="00FD3884"/>
    <w:rsid w:val="00FD3F0E"/>
    <w:rsid w:val="00FD414C"/>
    <w:rsid w:val="00FD56D1"/>
    <w:rsid w:val="00FD7252"/>
    <w:rsid w:val="00FD781C"/>
    <w:rsid w:val="00FE1019"/>
    <w:rsid w:val="00FE1A18"/>
    <w:rsid w:val="00FE1C52"/>
    <w:rsid w:val="00FE1CDD"/>
    <w:rsid w:val="00FE2C67"/>
    <w:rsid w:val="00FE39AA"/>
    <w:rsid w:val="00FE457E"/>
    <w:rsid w:val="00FE59F1"/>
    <w:rsid w:val="00FF0186"/>
    <w:rsid w:val="00FF0381"/>
    <w:rsid w:val="00FF05FD"/>
    <w:rsid w:val="00FF398D"/>
    <w:rsid w:val="00FF579C"/>
    <w:rsid w:val="00FF582E"/>
    <w:rsid w:val="00FF61E7"/>
    <w:rsid w:val="00FF71E6"/>
    <w:rsid w:val="00FF7BFC"/>
    <w:rsid w:val="074D629E"/>
    <w:rsid w:val="07574135"/>
    <w:rsid w:val="0F564CF3"/>
    <w:rsid w:val="184ABF34"/>
    <w:rsid w:val="6D8C4F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C42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376"/>
  </w:style>
  <w:style w:type="paragraph" w:styleId="Heading1">
    <w:name w:val="heading 1"/>
    <w:basedOn w:val="Normal"/>
    <w:next w:val="Normal"/>
    <w:link w:val="Heading1Char"/>
    <w:qFormat/>
    <w:rsid w:val="00A475FB"/>
    <w:pPr>
      <w:keepNext/>
      <w:numPr>
        <w:numId w:val="6"/>
      </w:numPr>
      <w:spacing w:before="240" w:after="120" w:line="360" w:lineRule="auto"/>
      <w:ind w:left="426" w:hanging="426"/>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nhideWhenUsed/>
    <w:qFormat/>
    <w:rsid w:val="004F53E3"/>
    <w:pPr>
      <w:keepNext/>
      <w:spacing w:before="240" w:after="60" w:line="360" w:lineRule="auto"/>
      <w:outlineLvl w:val="1"/>
    </w:pPr>
    <w:rPr>
      <w:rFonts w:ascii="Arial" w:eastAsia="Times New Roman" w:hAnsi="Arial" w:cs="Arial"/>
      <w:b/>
      <w:bCs/>
      <w:color w:val="228096"/>
      <w:sz w:val="28"/>
      <w:szCs w:val="28"/>
      <w:lang w:eastAsia="en-US"/>
    </w:rPr>
  </w:style>
  <w:style w:type="paragraph" w:styleId="Heading3">
    <w:name w:val="heading 3"/>
    <w:basedOn w:val="Normal"/>
    <w:next w:val="Normal"/>
    <w:link w:val="Heading3Char"/>
    <w:uiPriority w:val="9"/>
    <w:unhideWhenUsed/>
    <w:qFormat/>
    <w:rsid w:val="00A56376"/>
    <w:pPr>
      <w:keepNext/>
      <w:keepLines/>
      <w:numPr>
        <w:ilvl w:val="2"/>
        <w:numId w:val="6"/>
      </w:numPr>
      <w:spacing w:before="40" w:after="0" w:line="240" w:lineRule="auto"/>
      <w:outlineLvl w:val="2"/>
    </w:pPr>
    <w:rPr>
      <w:rFonts w:asciiTheme="majorHAnsi" w:eastAsiaTheme="majorEastAsia" w:hAnsiTheme="majorHAnsi" w:cstheme="majorBidi"/>
      <w:color w:val="195F70" w:themeColor="accent1" w:themeShade="BF"/>
      <w:sz w:val="28"/>
      <w:szCs w:val="28"/>
    </w:rPr>
  </w:style>
  <w:style w:type="paragraph" w:styleId="Heading4">
    <w:name w:val="heading 4"/>
    <w:basedOn w:val="Normal"/>
    <w:next w:val="Normal"/>
    <w:link w:val="Heading4Char"/>
    <w:uiPriority w:val="9"/>
    <w:unhideWhenUsed/>
    <w:qFormat/>
    <w:rsid w:val="00A56376"/>
    <w:pPr>
      <w:keepNext/>
      <w:keepLines/>
      <w:numPr>
        <w:ilvl w:val="3"/>
        <w:numId w:val="6"/>
      </w:numPr>
      <w:spacing w:before="40" w:after="0"/>
      <w:outlineLvl w:val="3"/>
    </w:pPr>
    <w:rPr>
      <w:rFonts w:asciiTheme="majorHAnsi" w:eastAsiaTheme="majorEastAsia" w:hAnsiTheme="majorHAnsi" w:cstheme="majorBidi"/>
      <w:color w:val="195F70" w:themeColor="accent1" w:themeShade="BF"/>
      <w:sz w:val="24"/>
      <w:szCs w:val="24"/>
    </w:rPr>
  </w:style>
  <w:style w:type="paragraph" w:styleId="Heading5">
    <w:name w:val="heading 5"/>
    <w:basedOn w:val="Normal"/>
    <w:next w:val="Normal"/>
    <w:link w:val="Heading5Char"/>
    <w:uiPriority w:val="9"/>
    <w:semiHidden/>
    <w:unhideWhenUsed/>
    <w:qFormat/>
    <w:rsid w:val="00A56376"/>
    <w:pPr>
      <w:keepNext/>
      <w:keepLines/>
      <w:numPr>
        <w:ilvl w:val="4"/>
        <w:numId w:val="6"/>
      </w:numPr>
      <w:spacing w:before="40" w:after="0"/>
      <w:outlineLvl w:val="4"/>
    </w:pPr>
    <w:rPr>
      <w:rFonts w:asciiTheme="majorHAnsi" w:eastAsiaTheme="majorEastAsia" w:hAnsiTheme="majorHAnsi" w:cstheme="majorBidi"/>
      <w:caps/>
      <w:color w:val="195F70" w:themeColor="accent1" w:themeShade="BF"/>
    </w:rPr>
  </w:style>
  <w:style w:type="paragraph" w:styleId="Heading6">
    <w:name w:val="heading 6"/>
    <w:basedOn w:val="Normal"/>
    <w:next w:val="Normal"/>
    <w:link w:val="Heading6Char"/>
    <w:uiPriority w:val="9"/>
    <w:semiHidden/>
    <w:unhideWhenUsed/>
    <w:qFormat/>
    <w:rsid w:val="00A56376"/>
    <w:pPr>
      <w:keepNext/>
      <w:keepLines/>
      <w:numPr>
        <w:ilvl w:val="5"/>
        <w:numId w:val="6"/>
      </w:numPr>
      <w:spacing w:before="40" w:after="0"/>
      <w:outlineLvl w:val="5"/>
    </w:pPr>
    <w:rPr>
      <w:rFonts w:asciiTheme="majorHAnsi" w:eastAsiaTheme="majorEastAsia" w:hAnsiTheme="majorHAnsi" w:cstheme="majorBidi"/>
      <w:i/>
      <w:iCs/>
      <w:caps/>
      <w:color w:val="11404B" w:themeColor="accent1" w:themeShade="80"/>
    </w:rPr>
  </w:style>
  <w:style w:type="paragraph" w:styleId="Heading7">
    <w:name w:val="heading 7"/>
    <w:basedOn w:val="Normal"/>
    <w:next w:val="Normal"/>
    <w:link w:val="Heading7Char"/>
    <w:uiPriority w:val="9"/>
    <w:semiHidden/>
    <w:unhideWhenUsed/>
    <w:qFormat/>
    <w:rsid w:val="00A56376"/>
    <w:pPr>
      <w:keepNext/>
      <w:keepLines/>
      <w:numPr>
        <w:ilvl w:val="6"/>
        <w:numId w:val="6"/>
      </w:numPr>
      <w:spacing w:before="40" w:after="0"/>
      <w:outlineLvl w:val="6"/>
    </w:pPr>
    <w:rPr>
      <w:rFonts w:asciiTheme="majorHAnsi" w:eastAsiaTheme="majorEastAsia" w:hAnsiTheme="majorHAnsi" w:cstheme="majorBidi"/>
      <w:b/>
      <w:bCs/>
      <w:color w:val="11404B" w:themeColor="accent1" w:themeShade="80"/>
    </w:rPr>
  </w:style>
  <w:style w:type="paragraph" w:styleId="Heading8">
    <w:name w:val="heading 8"/>
    <w:basedOn w:val="Normal"/>
    <w:next w:val="Normal"/>
    <w:link w:val="Heading8Char"/>
    <w:uiPriority w:val="9"/>
    <w:semiHidden/>
    <w:unhideWhenUsed/>
    <w:qFormat/>
    <w:rsid w:val="00A56376"/>
    <w:pPr>
      <w:keepNext/>
      <w:keepLines/>
      <w:numPr>
        <w:ilvl w:val="7"/>
        <w:numId w:val="6"/>
      </w:numPr>
      <w:spacing w:before="40" w:after="0"/>
      <w:outlineLvl w:val="7"/>
    </w:pPr>
    <w:rPr>
      <w:rFonts w:asciiTheme="majorHAnsi" w:eastAsiaTheme="majorEastAsia" w:hAnsiTheme="majorHAnsi" w:cstheme="majorBidi"/>
      <w:b/>
      <w:bCs/>
      <w:i/>
      <w:iCs/>
      <w:color w:val="11404B" w:themeColor="accent1" w:themeShade="80"/>
    </w:rPr>
  </w:style>
  <w:style w:type="paragraph" w:styleId="Heading9">
    <w:name w:val="heading 9"/>
    <w:basedOn w:val="Normal"/>
    <w:next w:val="Normal"/>
    <w:link w:val="Heading9Char"/>
    <w:uiPriority w:val="9"/>
    <w:semiHidden/>
    <w:unhideWhenUsed/>
    <w:qFormat/>
    <w:rsid w:val="00A56376"/>
    <w:pPr>
      <w:keepNext/>
      <w:keepLines/>
      <w:numPr>
        <w:ilvl w:val="8"/>
        <w:numId w:val="6"/>
      </w:numPr>
      <w:spacing w:before="40" w:after="0"/>
      <w:outlineLvl w:val="8"/>
    </w:pPr>
    <w:rPr>
      <w:rFonts w:asciiTheme="majorHAnsi" w:eastAsiaTheme="majorEastAsia" w:hAnsiTheme="majorHAnsi" w:cstheme="majorBidi"/>
      <w:i/>
      <w:iCs/>
      <w:color w:val="11404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rsid w:val="00624140"/>
    <w:pPr>
      <w:numPr>
        <w:numId w:val="1"/>
      </w:numPr>
      <w:tabs>
        <w:tab w:val="left" w:pos="426"/>
      </w:tabs>
      <w:spacing w:after="240" w:line="360" w:lineRule="auto"/>
      <w:ind w:left="425" w:hanging="425"/>
    </w:pPr>
    <w:rPr>
      <w:rFonts w:ascii="Arial" w:hAnsi="Arial"/>
      <w:lang w:eastAsia="en-US"/>
    </w:rPr>
  </w:style>
  <w:style w:type="paragraph" w:styleId="Title">
    <w:name w:val="Title"/>
    <w:basedOn w:val="Normal"/>
    <w:next w:val="Normal"/>
    <w:link w:val="TitleChar"/>
    <w:uiPriority w:val="10"/>
    <w:qFormat/>
    <w:rsid w:val="00A56376"/>
    <w:pPr>
      <w:spacing w:after="0" w:line="204" w:lineRule="auto"/>
      <w:contextualSpacing/>
    </w:pPr>
    <w:rPr>
      <w:rFonts w:asciiTheme="majorHAnsi" w:eastAsiaTheme="majorEastAsia" w:hAnsiTheme="majorHAnsi" w:cstheme="majorBidi"/>
      <w:caps/>
      <w:color w:val="00436C" w:themeColor="text2"/>
      <w:spacing w:val="-15"/>
      <w:sz w:val="72"/>
      <w:szCs w:val="72"/>
    </w:rPr>
  </w:style>
  <w:style w:type="character" w:customStyle="1" w:styleId="TitleChar">
    <w:name w:val="Title Char"/>
    <w:basedOn w:val="DefaultParagraphFont"/>
    <w:link w:val="Title"/>
    <w:uiPriority w:val="10"/>
    <w:rsid w:val="00A56376"/>
    <w:rPr>
      <w:rFonts w:asciiTheme="majorHAnsi" w:eastAsiaTheme="majorEastAsia" w:hAnsiTheme="majorHAnsi" w:cstheme="majorBidi"/>
      <w:caps/>
      <w:color w:val="00436C" w:themeColor="text2"/>
      <w:spacing w:val="-15"/>
      <w:sz w:val="72"/>
      <w:szCs w:val="72"/>
    </w:rPr>
  </w:style>
  <w:style w:type="character" w:customStyle="1" w:styleId="Heading1Char">
    <w:name w:val="Heading 1 Char"/>
    <w:basedOn w:val="DefaultParagraphFont"/>
    <w:link w:val="Heading1"/>
    <w:rsid w:val="00A475FB"/>
    <w:rPr>
      <w:rFonts w:ascii="Arial" w:eastAsia="Times New Roman" w:hAnsi="Arial" w:cs="Arial"/>
      <w:b/>
      <w:bCs/>
      <w:kern w:val="32"/>
      <w:sz w:val="32"/>
      <w:szCs w:val="32"/>
      <w:lang w:eastAsia="en-US"/>
    </w:rPr>
  </w:style>
  <w:style w:type="paragraph" w:customStyle="1" w:styleId="Bullets">
    <w:name w:val="Bullets"/>
    <w:basedOn w:val="Normal"/>
    <w:uiPriority w:val="5"/>
    <w:rsid w:val="00C85682"/>
    <w:pPr>
      <w:numPr>
        <w:numId w:val="2"/>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4F53E3"/>
    <w:rPr>
      <w:rFonts w:ascii="Arial" w:eastAsia="Times New Roman" w:hAnsi="Arial" w:cs="Arial"/>
      <w:b/>
      <w:bCs/>
      <w:color w:val="228096"/>
      <w:sz w:val="28"/>
      <w:szCs w:val="28"/>
      <w:lang w:eastAsia="en-US"/>
    </w:rPr>
  </w:style>
  <w:style w:type="character" w:customStyle="1" w:styleId="Heading3Char">
    <w:name w:val="Heading 3 Char"/>
    <w:basedOn w:val="DefaultParagraphFont"/>
    <w:link w:val="Heading3"/>
    <w:uiPriority w:val="9"/>
    <w:rsid w:val="00A56376"/>
    <w:rPr>
      <w:rFonts w:asciiTheme="majorHAnsi" w:eastAsiaTheme="majorEastAsia" w:hAnsiTheme="majorHAnsi" w:cstheme="majorBidi"/>
      <w:color w:val="195F70" w:themeColor="accent1" w:themeShade="BF"/>
      <w:sz w:val="28"/>
      <w:szCs w:val="28"/>
    </w:rPr>
  </w:style>
  <w:style w:type="paragraph" w:customStyle="1" w:styleId="Subbullets">
    <w:name w:val="Sub bullets"/>
    <w:basedOn w:val="Normal"/>
    <w:uiPriority w:val="6"/>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aliases w:val="Heading"/>
    <w:basedOn w:val="Normal"/>
    <w:next w:val="Normal"/>
    <w:autoRedefine/>
    <w:uiPriority w:val="39"/>
    <w:rsid w:val="004B1F7E"/>
    <w:pPr>
      <w:spacing w:before="240" w:after="120" w:line="240" w:lineRule="auto"/>
    </w:pPr>
    <w:rPr>
      <w:rFonts w:ascii="Arial" w:hAnsi="Arial"/>
      <w:b/>
    </w:rPr>
  </w:style>
  <w:style w:type="paragraph" w:styleId="TOC2">
    <w:name w:val="toc 2"/>
    <w:basedOn w:val="Normal"/>
    <w:next w:val="Normal"/>
    <w:autoRedefine/>
    <w:uiPriority w:val="39"/>
    <w:rsid w:val="004B1F7E"/>
    <w:pPr>
      <w:spacing w:after="0" w:line="240" w:lineRule="auto"/>
      <w:ind w:left="238"/>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uiPriority w:val="9"/>
    <w:rsid w:val="00A56376"/>
    <w:rPr>
      <w:rFonts w:asciiTheme="majorHAnsi" w:eastAsiaTheme="majorEastAsia" w:hAnsiTheme="majorHAnsi" w:cstheme="majorBidi"/>
      <w:color w:val="195F70" w:themeColor="accent1" w:themeShade="BF"/>
      <w:sz w:val="24"/>
      <w:szCs w:val="24"/>
    </w:rPr>
  </w:style>
  <w:style w:type="paragraph" w:styleId="Caption">
    <w:name w:val="caption"/>
    <w:basedOn w:val="Normal"/>
    <w:next w:val="Normal"/>
    <w:uiPriority w:val="35"/>
    <w:unhideWhenUsed/>
    <w:qFormat/>
    <w:rsid w:val="00A56376"/>
    <w:pPr>
      <w:spacing w:line="240" w:lineRule="auto"/>
    </w:pPr>
    <w:rPr>
      <w:b/>
      <w:bCs/>
      <w:smallCaps/>
      <w:color w:val="00436C" w:themeColor="text2"/>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lang w:eastAsia="en-US"/>
    </w:rPr>
  </w:style>
  <w:style w:type="paragraph" w:customStyle="1" w:styleId="Tablebullet">
    <w:name w:val="Table bullet"/>
    <w:basedOn w:val="Tabletext"/>
    <w:rsid w:val="00833D8A"/>
    <w:pPr>
      <w:numPr>
        <w:numId w:val="4"/>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rsid w:val="00C85682"/>
    <w:pPr>
      <w:numPr>
        <w:numId w:val="5"/>
      </w:numPr>
      <w:ind w:left="993" w:hanging="426"/>
    </w:pPr>
  </w:style>
  <w:style w:type="paragraph" w:customStyle="1" w:styleId="Panelwhitetext">
    <w:name w:val="Panel white text"/>
    <w:basedOn w:val="Paragraph"/>
    <w:rsid w:val="00D1699D"/>
    <w:rPr>
      <w:b/>
      <w:color w:val="FFFFFF"/>
    </w:rPr>
  </w:style>
  <w:style w:type="paragraph" w:customStyle="1" w:styleId="Title2">
    <w:name w:val="Title 2"/>
    <w:basedOn w:val="Title"/>
    <w:rsid w:val="00157BBE"/>
    <w:rPr>
      <w:color w:val="228096" w:themeColor="accent1"/>
      <w:sz w:val="32"/>
    </w:rPr>
  </w:style>
  <w:style w:type="paragraph" w:customStyle="1" w:styleId="Paragraphindent">
    <w:name w:val="Paragraph indent"/>
    <w:basedOn w:val="Paragraph"/>
    <w:next w:val="Paragraph"/>
    <w:rsid w:val="001A6635"/>
    <w:pPr>
      <w:tabs>
        <w:tab w:val="left" w:pos="567"/>
      </w:tabs>
      <w:ind w:left="567"/>
    </w:pPr>
  </w:style>
  <w:style w:type="paragraph" w:styleId="TOCHeading">
    <w:name w:val="TOC Heading"/>
    <w:basedOn w:val="Title"/>
    <w:next w:val="Normal"/>
    <w:uiPriority w:val="39"/>
    <w:unhideWhenUsed/>
    <w:qFormat/>
    <w:rsid w:val="00A56376"/>
  </w:style>
  <w:style w:type="paragraph" w:customStyle="1" w:styleId="Pullquote">
    <w:name w:val="Pull quote"/>
    <w:basedOn w:val="Paragraph"/>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uiPriority w:val="9"/>
    <w:semiHidden/>
    <w:rsid w:val="00A56376"/>
    <w:rPr>
      <w:rFonts w:asciiTheme="majorHAnsi" w:eastAsiaTheme="majorEastAsia" w:hAnsiTheme="majorHAnsi" w:cstheme="majorBidi"/>
      <w:caps/>
      <w:color w:val="195F70" w:themeColor="accent1" w:themeShade="BF"/>
    </w:rPr>
  </w:style>
  <w:style w:type="character" w:customStyle="1" w:styleId="Heading6Char">
    <w:name w:val="Heading 6 Char"/>
    <w:basedOn w:val="DefaultParagraphFont"/>
    <w:link w:val="Heading6"/>
    <w:uiPriority w:val="9"/>
    <w:semiHidden/>
    <w:rsid w:val="00A56376"/>
    <w:rPr>
      <w:rFonts w:asciiTheme="majorHAnsi" w:eastAsiaTheme="majorEastAsia" w:hAnsiTheme="majorHAnsi" w:cstheme="majorBidi"/>
      <w:i/>
      <w:iCs/>
      <w:caps/>
      <w:color w:val="11404B" w:themeColor="accent1" w:themeShade="80"/>
    </w:rPr>
  </w:style>
  <w:style w:type="character" w:customStyle="1" w:styleId="Heading7Char">
    <w:name w:val="Heading 7 Char"/>
    <w:basedOn w:val="DefaultParagraphFont"/>
    <w:link w:val="Heading7"/>
    <w:uiPriority w:val="9"/>
    <w:semiHidden/>
    <w:rsid w:val="00A56376"/>
    <w:rPr>
      <w:rFonts w:asciiTheme="majorHAnsi" w:eastAsiaTheme="majorEastAsia" w:hAnsiTheme="majorHAnsi" w:cstheme="majorBidi"/>
      <w:b/>
      <w:bCs/>
      <w:color w:val="11404B" w:themeColor="accent1" w:themeShade="80"/>
    </w:rPr>
  </w:style>
  <w:style w:type="character" w:customStyle="1" w:styleId="Heading8Char">
    <w:name w:val="Heading 8 Char"/>
    <w:basedOn w:val="DefaultParagraphFont"/>
    <w:link w:val="Heading8"/>
    <w:uiPriority w:val="9"/>
    <w:semiHidden/>
    <w:rsid w:val="00A56376"/>
    <w:rPr>
      <w:rFonts w:asciiTheme="majorHAnsi" w:eastAsiaTheme="majorEastAsia" w:hAnsiTheme="majorHAnsi" w:cstheme="majorBidi"/>
      <w:b/>
      <w:bCs/>
      <w:i/>
      <w:iCs/>
      <w:color w:val="11404B" w:themeColor="accent1" w:themeShade="80"/>
    </w:rPr>
  </w:style>
  <w:style w:type="character" w:customStyle="1" w:styleId="Heading9Char">
    <w:name w:val="Heading 9 Char"/>
    <w:basedOn w:val="DefaultParagraphFont"/>
    <w:link w:val="Heading9"/>
    <w:uiPriority w:val="9"/>
    <w:semiHidden/>
    <w:rsid w:val="00A56376"/>
    <w:rPr>
      <w:rFonts w:asciiTheme="majorHAnsi" w:eastAsiaTheme="majorEastAsia" w:hAnsiTheme="majorHAnsi" w:cstheme="majorBidi"/>
      <w:i/>
      <w:iCs/>
      <w:color w:val="11404B" w:themeColor="accent1" w:themeShade="80"/>
    </w:rPr>
  </w:style>
  <w:style w:type="paragraph" w:styleId="Subtitle">
    <w:name w:val="Subtitle"/>
    <w:basedOn w:val="Normal"/>
    <w:next w:val="Normal"/>
    <w:link w:val="SubtitleChar"/>
    <w:uiPriority w:val="11"/>
    <w:qFormat/>
    <w:rsid w:val="00A56376"/>
    <w:pPr>
      <w:numPr>
        <w:ilvl w:val="1"/>
      </w:numPr>
      <w:spacing w:after="240" w:line="240" w:lineRule="auto"/>
    </w:pPr>
    <w:rPr>
      <w:rFonts w:asciiTheme="majorHAnsi" w:eastAsiaTheme="majorEastAsia" w:hAnsiTheme="majorHAnsi" w:cstheme="majorBidi"/>
      <w:color w:val="228096" w:themeColor="accent1"/>
      <w:sz w:val="28"/>
      <w:szCs w:val="28"/>
    </w:rPr>
  </w:style>
  <w:style w:type="character" w:customStyle="1" w:styleId="SubtitleChar">
    <w:name w:val="Subtitle Char"/>
    <w:basedOn w:val="DefaultParagraphFont"/>
    <w:link w:val="Subtitle"/>
    <w:uiPriority w:val="11"/>
    <w:rsid w:val="00A56376"/>
    <w:rPr>
      <w:rFonts w:asciiTheme="majorHAnsi" w:eastAsiaTheme="majorEastAsia" w:hAnsiTheme="majorHAnsi" w:cstheme="majorBidi"/>
      <w:color w:val="228096" w:themeColor="accent1"/>
      <w:sz w:val="28"/>
      <w:szCs w:val="28"/>
    </w:rPr>
  </w:style>
  <w:style w:type="paragraph" w:styleId="Quote">
    <w:name w:val="Quote"/>
    <w:basedOn w:val="Normal"/>
    <w:next w:val="Normal"/>
    <w:link w:val="QuoteChar"/>
    <w:uiPriority w:val="29"/>
    <w:qFormat/>
    <w:rsid w:val="00A56376"/>
    <w:pPr>
      <w:spacing w:before="120" w:after="120"/>
      <w:ind w:left="720"/>
    </w:pPr>
    <w:rPr>
      <w:color w:val="00436C" w:themeColor="text2"/>
      <w:sz w:val="24"/>
      <w:szCs w:val="24"/>
    </w:rPr>
  </w:style>
  <w:style w:type="character" w:customStyle="1" w:styleId="QuoteChar">
    <w:name w:val="Quote Char"/>
    <w:basedOn w:val="DefaultParagraphFont"/>
    <w:link w:val="Quote"/>
    <w:uiPriority w:val="29"/>
    <w:rsid w:val="00A56376"/>
    <w:rPr>
      <w:color w:val="00436C" w:themeColor="text2"/>
      <w:sz w:val="24"/>
      <w:szCs w:val="24"/>
    </w:rPr>
  </w:style>
  <w:style w:type="paragraph" w:styleId="ListParagraph">
    <w:name w:val="List Paragraph"/>
    <w:basedOn w:val="Normal"/>
    <w:uiPriority w:val="34"/>
    <w:qFormat/>
    <w:rsid w:val="00B96318"/>
    <w:pPr>
      <w:ind w:left="720"/>
      <w:contextualSpacing/>
    </w:pPr>
  </w:style>
  <w:style w:type="character" w:styleId="IntenseEmphasis">
    <w:name w:val="Intense Emphasis"/>
    <w:basedOn w:val="DefaultParagraphFont"/>
    <w:uiPriority w:val="21"/>
    <w:qFormat/>
    <w:rsid w:val="00A56376"/>
    <w:rPr>
      <w:b/>
      <w:bCs/>
      <w:i/>
      <w:iCs/>
    </w:rPr>
  </w:style>
  <w:style w:type="paragraph" w:styleId="IntenseQuote">
    <w:name w:val="Intense Quote"/>
    <w:basedOn w:val="Normal"/>
    <w:next w:val="Normal"/>
    <w:link w:val="IntenseQuoteChar"/>
    <w:uiPriority w:val="30"/>
    <w:qFormat/>
    <w:rsid w:val="00A56376"/>
    <w:pPr>
      <w:spacing w:before="100" w:beforeAutospacing="1" w:after="240" w:line="240" w:lineRule="auto"/>
      <w:ind w:left="720"/>
      <w:jc w:val="center"/>
    </w:pPr>
    <w:rPr>
      <w:rFonts w:asciiTheme="majorHAnsi" w:eastAsiaTheme="majorEastAsia" w:hAnsiTheme="majorHAnsi" w:cstheme="majorBidi"/>
      <w:color w:val="00436C" w:themeColor="text2"/>
      <w:spacing w:val="-6"/>
      <w:sz w:val="32"/>
      <w:szCs w:val="32"/>
    </w:rPr>
  </w:style>
  <w:style w:type="character" w:customStyle="1" w:styleId="IntenseQuoteChar">
    <w:name w:val="Intense Quote Char"/>
    <w:basedOn w:val="DefaultParagraphFont"/>
    <w:link w:val="IntenseQuote"/>
    <w:uiPriority w:val="30"/>
    <w:rsid w:val="00A56376"/>
    <w:rPr>
      <w:rFonts w:asciiTheme="majorHAnsi" w:eastAsiaTheme="majorEastAsia" w:hAnsiTheme="majorHAnsi" w:cstheme="majorBidi"/>
      <w:color w:val="00436C" w:themeColor="text2"/>
      <w:spacing w:val="-6"/>
      <w:sz w:val="32"/>
      <w:szCs w:val="32"/>
    </w:rPr>
  </w:style>
  <w:style w:type="character" w:styleId="IntenseReference">
    <w:name w:val="Intense Reference"/>
    <w:basedOn w:val="DefaultParagraphFont"/>
    <w:uiPriority w:val="32"/>
    <w:qFormat/>
    <w:rsid w:val="00A56376"/>
    <w:rPr>
      <w:b/>
      <w:bCs/>
      <w:smallCaps/>
      <w:color w:val="00436C" w:themeColor="text2"/>
      <w:u w:val="single"/>
    </w:rPr>
  </w:style>
  <w:style w:type="character" w:styleId="Strong">
    <w:name w:val="Strong"/>
    <w:basedOn w:val="DefaultParagraphFont"/>
    <w:uiPriority w:val="22"/>
    <w:qFormat/>
    <w:rsid w:val="00A56376"/>
    <w:rPr>
      <w:b/>
      <w:bCs/>
    </w:rPr>
  </w:style>
  <w:style w:type="character" w:styleId="Emphasis">
    <w:name w:val="Emphasis"/>
    <w:basedOn w:val="DefaultParagraphFont"/>
    <w:uiPriority w:val="20"/>
    <w:qFormat/>
    <w:rsid w:val="00A56376"/>
    <w:rPr>
      <w:i/>
      <w:iCs/>
    </w:rPr>
  </w:style>
  <w:style w:type="paragraph" w:styleId="NoSpacing">
    <w:name w:val="No Spacing"/>
    <w:uiPriority w:val="1"/>
    <w:qFormat/>
    <w:rsid w:val="00A56376"/>
    <w:pPr>
      <w:spacing w:after="0" w:line="240" w:lineRule="auto"/>
    </w:pPr>
  </w:style>
  <w:style w:type="character" w:styleId="SubtleEmphasis">
    <w:name w:val="Subtle Emphasis"/>
    <w:basedOn w:val="DefaultParagraphFont"/>
    <w:uiPriority w:val="19"/>
    <w:qFormat/>
    <w:rsid w:val="00A56376"/>
    <w:rPr>
      <w:i/>
      <w:iCs/>
      <w:color w:val="595959" w:themeColor="text1" w:themeTint="A6"/>
    </w:rPr>
  </w:style>
  <w:style w:type="character" w:styleId="SubtleReference">
    <w:name w:val="Subtle Reference"/>
    <w:basedOn w:val="DefaultParagraphFont"/>
    <w:uiPriority w:val="31"/>
    <w:qFormat/>
    <w:rsid w:val="00A5637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56376"/>
    <w:rPr>
      <w:b/>
      <w:bCs/>
      <w:smallCaps/>
      <w:spacing w:val="10"/>
    </w:rPr>
  </w:style>
  <w:style w:type="paragraph" w:styleId="NormalWeb">
    <w:name w:val="Normal (Web)"/>
    <w:basedOn w:val="Normal"/>
    <w:uiPriority w:val="99"/>
    <w:unhideWhenUsed/>
    <w:rsid w:val="002334E8"/>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D0F97"/>
    <w:rPr>
      <w:color w:val="2B579A"/>
      <w:shd w:val="clear" w:color="auto" w:fill="E1DFDD"/>
    </w:rPr>
  </w:style>
  <w:style w:type="paragraph" w:styleId="Revision">
    <w:name w:val="Revision"/>
    <w:hidden/>
    <w:uiPriority w:val="99"/>
    <w:semiHidden/>
    <w:rsid w:val="0010504A"/>
    <w:pPr>
      <w:spacing w:after="0" w:line="240" w:lineRule="auto"/>
    </w:pPr>
  </w:style>
  <w:style w:type="paragraph" w:styleId="FootnoteText">
    <w:name w:val="footnote text"/>
    <w:basedOn w:val="Normal"/>
    <w:link w:val="FootnoteTextChar"/>
    <w:semiHidden/>
    <w:rsid w:val="000C2027"/>
    <w:pPr>
      <w:spacing w:after="0" w:line="240" w:lineRule="auto"/>
    </w:pPr>
    <w:rPr>
      <w:sz w:val="20"/>
      <w:szCs w:val="20"/>
    </w:rPr>
  </w:style>
  <w:style w:type="character" w:customStyle="1" w:styleId="FootnoteTextChar">
    <w:name w:val="Footnote Text Char"/>
    <w:basedOn w:val="DefaultParagraphFont"/>
    <w:link w:val="FootnoteText"/>
    <w:semiHidden/>
    <w:rsid w:val="000C2027"/>
    <w:rPr>
      <w:sz w:val="20"/>
      <w:szCs w:val="20"/>
    </w:rPr>
  </w:style>
  <w:style w:type="character" w:styleId="FootnoteReference">
    <w:name w:val="footnote reference"/>
    <w:basedOn w:val="DefaultParagraphFont"/>
    <w:semiHidden/>
    <w:rsid w:val="000C2027"/>
    <w:rPr>
      <w:vertAlign w:val="superscript"/>
    </w:rPr>
  </w:style>
  <w:style w:type="character" w:styleId="PlaceholderText">
    <w:name w:val="Placeholder Text"/>
    <w:basedOn w:val="DefaultParagraphFont"/>
    <w:uiPriority w:val="99"/>
    <w:semiHidden/>
    <w:rsid w:val="000C20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2607</Words>
  <Characters>16269</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18839</CharactersWithSpaces>
  <SharedDoc>false</SharedDoc>
  <HLinks>
    <vt:vector size="30" baseType="variant">
      <vt:variant>
        <vt:i4>1048624</vt:i4>
      </vt:variant>
      <vt:variant>
        <vt:i4>26</vt:i4>
      </vt:variant>
      <vt:variant>
        <vt:i4>0</vt:i4>
      </vt:variant>
      <vt:variant>
        <vt:i4>5</vt:i4>
      </vt:variant>
      <vt:variant>
        <vt:lpwstr/>
      </vt:variant>
      <vt:variant>
        <vt:lpwstr>_Toc229498293</vt:lpwstr>
      </vt:variant>
      <vt:variant>
        <vt:i4>1048624</vt:i4>
      </vt:variant>
      <vt:variant>
        <vt:i4>20</vt:i4>
      </vt:variant>
      <vt:variant>
        <vt:i4>0</vt:i4>
      </vt:variant>
      <vt:variant>
        <vt:i4>5</vt:i4>
      </vt:variant>
      <vt:variant>
        <vt:lpwstr/>
      </vt:variant>
      <vt:variant>
        <vt:lpwstr>_Toc229498292</vt:lpwstr>
      </vt:variant>
      <vt:variant>
        <vt:i4>1048624</vt:i4>
      </vt:variant>
      <vt:variant>
        <vt:i4>14</vt:i4>
      </vt:variant>
      <vt:variant>
        <vt:i4>0</vt:i4>
      </vt:variant>
      <vt:variant>
        <vt:i4>5</vt:i4>
      </vt:variant>
      <vt:variant>
        <vt:lpwstr/>
      </vt:variant>
      <vt:variant>
        <vt:lpwstr>_Toc229498291</vt:lpwstr>
      </vt:variant>
      <vt:variant>
        <vt:i4>1048624</vt:i4>
      </vt:variant>
      <vt:variant>
        <vt:i4>8</vt:i4>
      </vt:variant>
      <vt:variant>
        <vt:i4>0</vt:i4>
      </vt:variant>
      <vt:variant>
        <vt:i4>5</vt:i4>
      </vt:variant>
      <vt:variant>
        <vt:lpwstr/>
      </vt:variant>
      <vt:variant>
        <vt:lpwstr>_Toc229498290</vt:lpwstr>
      </vt:variant>
      <vt:variant>
        <vt:i4>1114160</vt:i4>
      </vt:variant>
      <vt:variant>
        <vt:i4>2</vt:i4>
      </vt:variant>
      <vt:variant>
        <vt:i4>0</vt:i4>
      </vt:variant>
      <vt:variant>
        <vt:i4>5</vt:i4>
      </vt:variant>
      <vt:variant>
        <vt:lpwstr/>
      </vt:variant>
      <vt:variant>
        <vt:lpwstr>_Toc229498289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2026-05-14T10:26:00Z</dcterms:created>
  <dcterms:modified xsi:type="dcterms:W3CDTF">2026-05-14T10:26:00Z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2026-05-14T10:26:51Z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b4feed2a-9edd-4ab8-840e-3596d4b07970</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