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2C8C" w14:textId="5568034E" w:rsidR="007933C2" w:rsidRPr="000143F7" w:rsidRDefault="007933C2" w:rsidP="00C163EF">
      <w:pPr>
        <w:pStyle w:val="Title"/>
        <w:numPr>
          <w:ilvl w:val="0"/>
          <w:numId w:val="59"/>
        </w:numPr>
        <w:contextualSpacing w:val="0"/>
        <w:rPr>
          <w:sz w:val="56"/>
          <w:szCs w:val="56"/>
        </w:rPr>
      </w:pPr>
    </w:p>
    <w:p w14:paraId="215B792C" w14:textId="1D227BE0" w:rsidR="00EE172A" w:rsidRPr="00E95342" w:rsidRDefault="00C163EF" w:rsidP="004C719C">
      <w:pPr>
        <w:jc w:val="center"/>
        <w:rPr>
          <w:b/>
          <w:color w:val="FF0000"/>
          <w:sz w:val="72"/>
          <w:szCs w:val="72"/>
        </w:rPr>
      </w:pPr>
      <w:r>
        <w:rPr>
          <w:b/>
          <w:color w:val="FF0000"/>
          <w:sz w:val="72"/>
          <w:szCs w:val="72"/>
        </w:rPr>
        <w:t xml:space="preserve"> </w:t>
      </w:r>
    </w:p>
    <w:p w14:paraId="7D07C67A" w14:textId="25CF8567" w:rsidR="00E15E1E" w:rsidRPr="00D46651" w:rsidRDefault="00E15E1E" w:rsidP="00EA6F3B">
      <w:pPr>
        <w:pStyle w:val="Title"/>
        <w:spacing w:before="120" w:after="120" w:line="240" w:lineRule="auto"/>
        <w:contextualSpacing w:val="0"/>
        <w:jc w:val="center"/>
        <w:rPr>
          <w:rFonts w:ascii="Arial" w:hAnsi="Arial" w:cs="Arial"/>
          <w:b/>
          <w:caps w:val="0"/>
          <w:sz w:val="96"/>
          <w:szCs w:val="96"/>
        </w:rPr>
      </w:pPr>
      <w:r w:rsidRPr="00D46651">
        <w:rPr>
          <w:rFonts w:ascii="Arial" w:hAnsi="Arial" w:cs="Arial"/>
          <w:b/>
          <w:caps w:val="0"/>
          <w:sz w:val="96"/>
          <w:szCs w:val="96"/>
        </w:rPr>
        <w:t>Integrated Performance Report (IPR)</w:t>
      </w:r>
    </w:p>
    <w:p w14:paraId="48E23DAF" w14:textId="77777777" w:rsidR="004572BE" w:rsidRPr="00F204AD" w:rsidRDefault="004572BE" w:rsidP="00EA6F3B">
      <w:pPr>
        <w:pStyle w:val="Title"/>
        <w:spacing w:before="120" w:after="120" w:line="240" w:lineRule="auto"/>
        <w:contextualSpacing w:val="0"/>
        <w:jc w:val="center"/>
        <w:rPr>
          <w:rFonts w:ascii="Arial" w:hAnsi="Arial" w:cs="Arial"/>
          <w:caps w:val="0"/>
          <w:color w:val="auto"/>
          <w:sz w:val="44"/>
          <w:szCs w:val="44"/>
        </w:rPr>
      </w:pPr>
    </w:p>
    <w:p w14:paraId="2CD403BF" w14:textId="1D0923EE" w:rsidR="00CE44C3" w:rsidRDefault="00581FBC" w:rsidP="00EA6F3B">
      <w:pPr>
        <w:pStyle w:val="Title"/>
        <w:spacing w:before="120" w:after="120" w:line="240" w:lineRule="auto"/>
        <w:contextualSpacing w:val="0"/>
        <w:jc w:val="center"/>
        <w:rPr>
          <w:rFonts w:ascii="Arial" w:hAnsi="Arial" w:cs="Arial"/>
          <w:caps w:val="0"/>
          <w:color w:val="auto"/>
          <w:sz w:val="56"/>
          <w:szCs w:val="56"/>
        </w:rPr>
      </w:pPr>
      <w:r w:rsidRPr="005818DD">
        <w:rPr>
          <w:rFonts w:ascii="Arial" w:hAnsi="Arial" w:cs="Arial"/>
          <w:caps w:val="0"/>
          <w:color w:val="auto"/>
          <w:sz w:val="56"/>
          <w:szCs w:val="56"/>
        </w:rPr>
        <w:t>Date reported:</w:t>
      </w:r>
    </w:p>
    <w:p w14:paraId="405EE45B" w14:textId="1BE6F334" w:rsidR="004E691A" w:rsidRPr="009064E3" w:rsidRDefault="00B97094" w:rsidP="00EA6F3B">
      <w:pPr>
        <w:pStyle w:val="Title"/>
        <w:spacing w:before="120" w:after="120" w:line="240" w:lineRule="auto"/>
        <w:contextualSpacing w:val="0"/>
        <w:jc w:val="center"/>
        <w:rPr>
          <w:rFonts w:ascii="Arial" w:hAnsi="Arial" w:cs="Arial"/>
          <w:b/>
          <w:bCs/>
          <w:sz w:val="52"/>
          <w:szCs w:val="52"/>
        </w:rPr>
      </w:pPr>
      <w:r>
        <w:rPr>
          <w:rFonts w:ascii="Arial" w:hAnsi="Arial" w:cs="Arial"/>
          <w:b/>
          <w:bCs/>
          <w:caps w:val="0"/>
          <w:color w:val="auto"/>
          <w:sz w:val="56"/>
          <w:szCs w:val="56"/>
        </w:rPr>
        <w:t>7</w:t>
      </w:r>
      <w:r w:rsidR="00581FBC" w:rsidRPr="009064E3">
        <w:rPr>
          <w:rFonts w:ascii="Arial" w:hAnsi="Arial" w:cs="Arial"/>
          <w:b/>
          <w:bCs/>
          <w:caps w:val="0"/>
          <w:color w:val="auto"/>
          <w:sz w:val="56"/>
          <w:szCs w:val="56"/>
        </w:rPr>
        <w:t xml:space="preserve"> </w:t>
      </w:r>
      <w:r w:rsidR="008E552C" w:rsidRPr="009064E3">
        <w:rPr>
          <w:rFonts w:ascii="Arial" w:hAnsi="Arial" w:cs="Arial"/>
          <w:b/>
          <w:bCs/>
          <w:caps w:val="0"/>
          <w:color w:val="auto"/>
          <w:sz w:val="56"/>
          <w:szCs w:val="56"/>
        </w:rPr>
        <w:t>July</w:t>
      </w:r>
      <w:r w:rsidR="00581FBC" w:rsidRPr="009064E3">
        <w:rPr>
          <w:rFonts w:ascii="Arial" w:hAnsi="Arial" w:cs="Arial"/>
          <w:b/>
          <w:bCs/>
          <w:caps w:val="0"/>
          <w:color w:val="auto"/>
          <w:sz w:val="56"/>
          <w:szCs w:val="56"/>
        </w:rPr>
        <w:t xml:space="preserve"> 2026</w:t>
      </w:r>
    </w:p>
    <w:p w14:paraId="70F0507A" w14:textId="77777777" w:rsidR="00EE172A" w:rsidRPr="00B64192" w:rsidRDefault="00EE172A" w:rsidP="004572BE">
      <w:pPr>
        <w:spacing w:after="0" w:line="360" w:lineRule="auto"/>
        <w:rPr>
          <w:rFonts w:ascii="Arial" w:eastAsia="Times New Roman" w:hAnsi="Arial" w:cs="Times New Roman"/>
          <w:sz w:val="36"/>
          <w:szCs w:val="36"/>
          <w:lang w:eastAsia="en-US"/>
        </w:rPr>
      </w:pPr>
    </w:p>
    <w:p w14:paraId="3A3E3B34" w14:textId="2F5BD467" w:rsidR="004572BE" w:rsidRPr="00B64192" w:rsidRDefault="004572BE" w:rsidP="00B64192">
      <w:pPr>
        <w:rPr>
          <w:rFonts w:ascii="Inter" w:eastAsia="MS Mincho" w:hAnsi="Inter" w:cs="Times New Roman"/>
        </w:rPr>
      </w:pPr>
      <w:r w:rsidRPr="00B64192">
        <w:rPr>
          <w:rFonts w:ascii="Inter" w:eastAsia="MS Mincho" w:hAnsi="Inter" w:cs="Times New Roman"/>
        </w:rPr>
        <w:t>This report sets out:</w:t>
      </w:r>
    </w:p>
    <w:p w14:paraId="73E72DCC" w14:textId="32C62A5A" w:rsidR="00067186" w:rsidRPr="00F204AD" w:rsidRDefault="00067186" w:rsidP="00F204AD">
      <w:pPr>
        <w:numPr>
          <w:ilvl w:val="0"/>
          <w:numId w:val="7"/>
        </w:numPr>
        <w:spacing w:after="120" w:line="264" w:lineRule="auto"/>
        <w:ind w:left="307" w:hanging="284"/>
        <w:rPr>
          <w:rFonts w:cs="Arial"/>
        </w:rPr>
      </w:pPr>
      <w:r w:rsidRPr="00F204AD">
        <w:rPr>
          <w:rFonts w:cs="Arial"/>
        </w:rPr>
        <w:t>Performance against key performance indicators (KPIs) up to the end of May 2026</w:t>
      </w:r>
    </w:p>
    <w:p w14:paraId="257CE2A6" w14:textId="58A7F2F1" w:rsidR="00067186" w:rsidRPr="00F204AD" w:rsidRDefault="00AF519A" w:rsidP="00F204AD">
      <w:pPr>
        <w:numPr>
          <w:ilvl w:val="0"/>
          <w:numId w:val="7"/>
        </w:numPr>
        <w:spacing w:before="120" w:after="120" w:line="264" w:lineRule="auto"/>
        <w:ind w:left="307" w:hanging="284"/>
        <w:rPr>
          <w:rFonts w:cs="Arial"/>
        </w:rPr>
      </w:pPr>
      <w:r w:rsidRPr="00F204AD">
        <w:rPr>
          <w:rFonts w:cs="Arial"/>
        </w:rPr>
        <w:t xml:space="preserve">A summary of key guidance </w:t>
      </w:r>
      <w:r w:rsidR="0061707E" w:rsidRPr="00F204AD">
        <w:rPr>
          <w:rFonts w:cs="Arial"/>
        </w:rPr>
        <w:t xml:space="preserve">topics </w:t>
      </w:r>
      <w:r w:rsidR="006C7DEB" w:rsidRPr="00F204AD">
        <w:rPr>
          <w:rFonts w:cs="Arial"/>
        </w:rPr>
        <w:t>published since the last board meeting</w:t>
      </w:r>
    </w:p>
    <w:p w14:paraId="00721575" w14:textId="77ED1B7E" w:rsidR="004572BE" w:rsidRPr="00F204AD" w:rsidRDefault="00FE4190" w:rsidP="00F204AD">
      <w:pPr>
        <w:numPr>
          <w:ilvl w:val="0"/>
          <w:numId w:val="7"/>
        </w:numPr>
        <w:spacing w:before="120" w:after="120" w:line="264" w:lineRule="auto"/>
        <w:ind w:left="307" w:hanging="284"/>
        <w:rPr>
          <w:rFonts w:cs="Arial"/>
        </w:rPr>
      </w:pPr>
      <w:r w:rsidRPr="00F204AD">
        <w:rPr>
          <w:rFonts w:cs="Arial"/>
        </w:rPr>
        <w:t xml:space="preserve">An update on the </w:t>
      </w:r>
      <w:r w:rsidR="00CF0503" w:rsidRPr="00F204AD">
        <w:rPr>
          <w:rFonts w:cs="Arial"/>
        </w:rPr>
        <w:t xml:space="preserve">current status of </w:t>
      </w:r>
      <w:r w:rsidR="00CA4D44" w:rsidRPr="00F204AD">
        <w:rPr>
          <w:rFonts w:cs="Arial"/>
        </w:rPr>
        <w:t xml:space="preserve">the </w:t>
      </w:r>
      <w:r w:rsidR="00301FCE" w:rsidRPr="00F204AD">
        <w:rPr>
          <w:rFonts w:cs="Arial"/>
        </w:rPr>
        <w:t xml:space="preserve">corporate </w:t>
      </w:r>
      <w:r w:rsidR="004572BE" w:rsidRPr="00F204AD">
        <w:rPr>
          <w:rFonts w:cs="Arial"/>
        </w:rPr>
        <w:t>business plan</w:t>
      </w:r>
      <w:r w:rsidR="009064E3" w:rsidRPr="00F204AD">
        <w:rPr>
          <w:rFonts w:cs="Arial"/>
        </w:rPr>
        <w:t xml:space="preserve"> projects</w:t>
      </w:r>
    </w:p>
    <w:p w14:paraId="71120BF6" w14:textId="62792C36" w:rsidR="00D91300" w:rsidRPr="00D91300" w:rsidRDefault="004572BE" w:rsidP="00F204AD">
      <w:pPr>
        <w:numPr>
          <w:ilvl w:val="0"/>
          <w:numId w:val="7"/>
        </w:numPr>
        <w:spacing w:before="120" w:after="120" w:line="264" w:lineRule="auto"/>
        <w:ind w:left="307" w:hanging="284"/>
        <w:rPr>
          <w:rFonts w:ascii="Arial" w:eastAsia="Times New Roman" w:hAnsi="Arial" w:cs="Times New Roman"/>
          <w:sz w:val="24"/>
          <w:szCs w:val="24"/>
          <w:lang w:eastAsia="en-US"/>
        </w:rPr>
      </w:pPr>
      <w:r w:rsidRPr="00F204AD">
        <w:rPr>
          <w:rFonts w:cs="Arial"/>
        </w:rPr>
        <w:t xml:space="preserve">A finance report for </w:t>
      </w:r>
      <w:r w:rsidR="0020028F" w:rsidRPr="00F204AD">
        <w:rPr>
          <w:rFonts w:cs="Arial"/>
        </w:rPr>
        <w:t>the</w:t>
      </w:r>
      <w:r w:rsidR="0020028F" w:rsidRPr="00D91300">
        <w:rPr>
          <w:rFonts w:ascii="Arial" w:eastAsia="Times New Roman" w:hAnsi="Arial" w:cs="Times New Roman"/>
          <w:sz w:val="24"/>
          <w:szCs w:val="24"/>
          <w:lang w:eastAsia="en-US"/>
        </w:rPr>
        <w:t xml:space="preserve"> end of May </w:t>
      </w:r>
      <w:r w:rsidRPr="00D91300">
        <w:rPr>
          <w:rFonts w:ascii="Arial" w:eastAsia="Times New Roman" w:hAnsi="Arial" w:cs="Times New Roman"/>
          <w:sz w:val="24"/>
          <w:szCs w:val="24"/>
          <w:lang w:eastAsia="en-US"/>
        </w:rPr>
        <w:t>2026</w:t>
      </w:r>
      <w:r w:rsidR="0020028F" w:rsidRPr="00D91300">
        <w:rPr>
          <w:rFonts w:ascii="Arial" w:eastAsia="Times New Roman" w:hAnsi="Arial" w:cs="Times New Roman"/>
          <w:sz w:val="24"/>
          <w:szCs w:val="24"/>
          <w:lang w:eastAsia="en-US"/>
        </w:rPr>
        <w:t>.</w:t>
      </w:r>
      <w:r w:rsidR="00D91300" w:rsidRPr="00D91300">
        <w:rPr>
          <w:rFonts w:ascii="Arial" w:eastAsia="Times New Roman" w:hAnsi="Arial" w:cs="Times New Roman"/>
          <w:sz w:val="24"/>
          <w:szCs w:val="24"/>
          <w:lang w:eastAsia="en-US"/>
        </w:rPr>
        <w:br w:type="page"/>
      </w:r>
    </w:p>
    <w:sdt>
      <w:sdtPr>
        <w:rPr>
          <w:rFonts w:asciiTheme="minorHAnsi" w:eastAsiaTheme="minorEastAsia" w:hAnsiTheme="minorHAnsi" w:cstheme="minorBidi"/>
          <w:caps w:val="0"/>
          <w:color w:val="auto"/>
          <w:spacing w:val="0"/>
          <w:sz w:val="22"/>
          <w:szCs w:val="22"/>
        </w:rPr>
        <w:id w:val="-1443990306"/>
        <w:docPartObj>
          <w:docPartGallery w:val="Table of Contents"/>
          <w:docPartUnique/>
        </w:docPartObj>
      </w:sdtPr>
      <w:sdtEndPr>
        <w:rPr>
          <w:rFonts w:asciiTheme="majorHAnsi" w:eastAsiaTheme="majorEastAsia" w:hAnsiTheme="majorHAnsi" w:cstheme="majorBidi"/>
          <w:b/>
          <w:bCs/>
          <w:caps/>
          <w:color w:val="00436C" w:themeColor="text2"/>
          <w:spacing w:val="-15"/>
          <w:sz w:val="72"/>
          <w:szCs w:val="72"/>
        </w:rPr>
      </w:sdtEndPr>
      <w:sdtContent>
        <w:p w14:paraId="18897B9F" w14:textId="4B11C8C7" w:rsidR="00F04664" w:rsidRPr="009D45C6" w:rsidRDefault="00931ADD" w:rsidP="006F1339">
          <w:pPr>
            <w:pStyle w:val="TOCHeading"/>
            <w:spacing w:after="240"/>
            <w:rPr>
              <w:rFonts w:ascii="Inter" w:hAnsi="Inter" w:cs="Arial"/>
              <w:b/>
              <w:sz w:val="36"/>
              <w:szCs w:val="36"/>
            </w:rPr>
          </w:pPr>
          <w:r>
            <w:rPr>
              <w:rFonts w:ascii="Inter" w:hAnsi="Inter" w:cs="Arial"/>
              <w:b/>
              <w:sz w:val="36"/>
              <w:szCs w:val="36"/>
            </w:rPr>
            <w:t>Contents</w:t>
          </w:r>
        </w:p>
      </w:sdtContent>
    </w:sdt>
    <w:p w14:paraId="72753564" w14:textId="5AA644B0" w:rsidR="008A7073" w:rsidRDefault="002B7735">
      <w:pPr>
        <w:pStyle w:val="TOC1"/>
        <w:rPr>
          <w:rFonts w:asciiTheme="minorHAnsi" w:hAnsiTheme="minorHAnsi"/>
          <w:b w:val="0"/>
          <w:noProof/>
          <w:kern w:val="2"/>
          <w:sz w:val="24"/>
          <w:szCs w:val="24"/>
          <w14:ligatures w14:val="standardContextual"/>
        </w:rPr>
      </w:pPr>
      <w:r>
        <w:rPr>
          <w:rFonts w:ascii="Arial" w:hAnsi="Arial"/>
        </w:rPr>
        <w:fldChar w:fldCharType="begin"/>
      </w:r>
      <w:r>
        <w:rPr>
          <w:rFonts w:ascii="Arial" w:hAnsi="Arial"/>
        </w:rPr>
        <w:instrText xml:space="preserve"> TOC \o "1-2" \h \z \u </w:instrText>
      </w:r>
      <w:r>
        <w:rPr>
          <w:rFonts w:ascii="Arial" w:hAnsi="Arial"/>
        </w:rPr>
        <w:fldChar w:fldCharType="separate"/>
      </w:r>
      <w:hyperlink w:anchor="_Toc234391362" w:history="1">
        <w:r w:rsidR="008A7073" w:rsidRPr="007F7610">
          <w:rPr>
            <w:rStyle w:val="Hyperlink"/>
            <w:noProof/>
          </w:rPr>
          <w:t>1</w:t>
        </w:r>
        <w:r w:rsidR="008A7073">
          <w:rPr>
            <w:rFonts w:asciiTheme="minorHAnsi" w:hAnsiTheme="minorHAnsi"/>
            <w:b w:val="0"/>
            <w:noProof/>
            <w:kern w:val="2"/>
            <w:sz w:val="24"/>
            <w:szCs w:val="24"/>
            <w14:ligatures w14:val="standardContextual"/>
          </w:rPr>
          <w:tab/>
        </w:r>
        <w:r w:rsidR="008A7073" w:rsidRPr="007F7610">
          <w:rPr>
            <w:rStyle w:val="Hyperlink"/>
            <w:noProof/>
          </w:rPr>
          <w:t>Summary</w:t>
        </w:r>
        <w:r w:rsidR="008A7073">
          <w:rPr>
            <w:noProof/>
            <w:webHidden/>
          </w:rPr>
          <w:tab/>
        </w:r>
        <w:r w:rsidR="008A7073">
          <w:rPr>
            <w:noProof/>
            <w:webHidden/>
          </w:rPr>
          <w:fldChar w:fldCharType="begin"/>
        </w:r>
        <w:r w:rsidR="008A7073">
          <w:rPr>
            <w:noProof/>
            <w:webHidden/>
          </w:rPr>
          <w:instrText xml:space="preserve"> PAGEREF _Toc234391362 \h </w:instrText>
        </w:r>
        <w:r w:rsidR="008A7073">
          <w:rPr>
            <w:noProof/>
            <w:webHidden/>
          </w:rPr>
        </w:r>
        <w:r w:rsidR="008A7073">
          <w:rPr>
            <w:noProof/>
            <w:webHidden/>
          </w:rPr>
          <w:fldChar w:fldCharType="separate"/>
        </w:r>
        <w:r w:rsidR="008A7073">
          <w:rPr>
            <w:noProof/>
            <w:webHidden/>
          </w:rPr>
          <w:t>4</w:t>
        </w:r>
        <w:r w:rsidR="008A7073">
          <w:rPr>
            <w:noProof/>
            <w:webHidden/>
          </w:rPr>
          <w:fldChar w:fldCharType="end"/>
        </w:r>
      </w:hyperlink>
    </w:p>
    <w:p w14:paraId="158E343E" w14:textId="73522074" w:rsidR="008A7073" w:rsidRDefault="008A7073">
      <w:pPr>
        <w:pStyle w:val="TOC1"/>
        <w:rPr>
          <w:rFonts w:asciiTheme="minorHAnsi" w:hAnsiTheme="minorHAnsi"/>
          <w:b w:val="0"/>
          <w:noProof/>
          <w:kern w:val="2"/>
          <w:sz w:val="24"/>
          <w:szCs w:val="24"/>
          <w14:ligatures w14:val="standardContextual"/>
        </w:rPr>
      </w:pPr>
      <w:hyperlink w:anchor="_Toc234391363" w:history="1">
        <w:r w:rsidRPr="007F7610">
          <w:rPr>
            <w:rStyle w:val="Hyperlink"/>
            <w:noProof/>
          </w:rPr>
          <w:t>2</w:t>
        </w:r>
        <w:r>
          <w:rPr>
            <w:rFonts w:asciiTheme="minorHAnsi" w:hAnsiTheme="minorHAnsi"/>
            <w:b w:val="0"/>
            <w:noProof/>
            <w:kern w:val="2"/>
            <w:sz w:val="24"/>
            <w:szCs w:val="24"/>
            <w14:ligatures w14:val="standardContextual"/>
          </w:rPr>
          <w:tab/>
        </w:r>
        <w:r w:rsidRPr="007F7610">
          <w:rPr>
            <w:rStyle w:val="Hyperlink"/>
            <w:noProof/>
          </w:rPr>
          <w:t>Key guidance</w:t>
        </w:r>
        <w:r>
          <w:rPr>
            <w:noProof/>
            <w:webHidden/>
          </w:rPr>
          <w:tab/>
        </w:r>
        <w:r>
          <w:rPr>
            <w:noProof/>
            <w:webHidden/>
          </w:rPr>
          <w:fldChar w:fldCharType="begin"/>
        </w:r>
        <w:r>
          <w:rPr>
            <w:noProof/>
            <w:webHidden/>
          </w:rPr>
          <w:instrText xml:space="preserve"> PAGEREF _Toc234391363 \h </w:instrText>
        </w:r>
        <w:r>
          <w:rPr>
            <w:noProof/>
            <w:webHidden/>
          </w:rPr>
        </w:r>
        <w:r>
          <w:rPr>
            <w:noProof/>
            <w:webHidden/>
          </w:rPr>
          <w:fldChar w:fldCharType="separate"/>
        </w:r>
        <w:r>
          <w:rPr>
            <w:noProof/>
            <w:webHidden/>
          </w:rPr>
          <w:t>5</w:t>
        </w:r>
        <w:r>
          <w:rPr>
            <w:noProof/>
            <w:webHidden/>
          </w:rPr>
          <w:fldChar w:fldCharType="end"/>
        </w:r>
      </w:hyperlink>
    </w:p>
    <w:p w14:paraId="0B76EC31" w14:textId="0426E32A" w:rsidR="008A7073" w:rsidRDefault="008A7073">
      <w:pPr>
        <w:pStyle w:val="TOC1"/>
        <w:rPr>
          <w:rFonts w:asciiTheme="minorHAnsi" w:hAnsiTheme="minorHAnsi"/>
          <w:b w:val="0"/>
          <w:noProof/>
          <w:kern w:val="2"/>
          <w:sz w:val="24"/>
          <w:szCs w:val="24"/>
          <w14:ligatures w14:val="standardContextual"/>
        </w:rPr>
      </w:pPr>
      <w:hyperlink w:anchor="_Toc234391364" w:history="1">
        <w:r w:rsidRPr="007F7610">
          <w:rPr>
            <w:rStyle w:val="Hyperlink"/>
            <w:noProof/>
          </w:rPr>
          <w:t>3</w:t>
        </w:r>
        <w:r>
          <w:rPr>
            <w:rFonts w:asciiTheme="minorHAnsi" w:hAnsiTheme="minorHAnsi"/>
            <w:b w:val="0"/>
            <w:noProof/>
            <w:kern w:val="2"/>
            <w:sz w:val="24"/>
            <w:szCs w:val="24"/>
            <w14:ligatures w14:val="standardContextual"/>
          </w:rPr>
          <w:tab/>
        </w:r>
        <w:r w:rsidRPr="007F7610">
          <w:rPr>
            <w:rStyle w:val="Hyperlink"/>
            <w:noProof/>
          </w:rPr>
          <w:t>Key performance indicators (KPIs)</w:t>
        </w:r>
        <w:r>
          <w:rPr>
            <w:noProof/>
            <w:webHidden/>
          </w:rPr>
          <w:tab/>
        </w:r>
        <w:r>
          <w:rPr>
            <w:noProof/>
            <w:webHidden/>
          </w:rPr>
          <w:fldChar w:fldCharType="begin"/>
        </w:r>
        <w:r>
          <w:rPr>
            <w:noProof/>
            <w:webHidden/>
          </w:rPr>
          <w:instrText xml:space="preserve"> PAGEREF _Toc234391364 \h </w:instrText>
        </w:r>
        <w:r>
          <w:rPr>
            <w:noProof/>
            <w:webHidden/>
          </w:rPr>
        </w:r>
        <w:r>
          <w:rPr>
            <w:noProof/>
            <w:webHidden/>
          </w:rPr>
          <w:fldChar w:fldCharType="separate"/>
        </w:r>
        <w:r>
          <w:rPr>
            <w:noProof/>
            <w:webHidden/>
          </w:rPr>
          <w:t>6</w:t>
        </w:r>
        <w:r>
          <w:rPr>
            <w:noProof/>
            <w:webHidden/>
          </w:rPr>
          <w:fldChar w:fldCharType="end"/>
        </w:r>
      </w:hyperlink>
    </w:p>
    <w:p w14:paraId="6C4FDA15" w14:textId="1A9CFF8C"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65" w:history="1">
        <w:r w:rsidRPr="007F7610">
          <w:rPr>
            <w:rStyle w:val="Hyperlink"/>
            <w:noProof/>
          </w:rPr>
          <w:t>3.1</w:t>
        </w:r>
        <w:r>
          <w:rPr>
            <w:rFonts w:asciiTheme="minorHAnsi" w:hAnsiTheme="minorHAnsi"/>
            <w:noProof/>
            <w:kern w:val="2"/>
            <w:sz w:val="24"/>
            <w:szCs w:val="24"/>
            <w14:ligatures w14:val="standardContextual"/>
          </w:rPr>
          <w:tab/>
        </w:r>
        <w:r w:rsidRPr="007F7610">
          <w:rPr>
            <w:rStyle w:val="Hyperlink"/>
            <w:noProof/>
          </w:rPr>
          <w:t>Better guidance</w:t>
        </w:r>
        <w:r>
          <w:rPr>
            <w:noProof/>
            <w:webHidden/>
          </w:rPr>
          <w:tab/>
        </w:r>
        <w:r>
          <w:rPr>
            <w:noProof/>
            <w:webHidden/>
          </w:rPr>
          <w:fldChar w:fldCharType="begin"/>
        </w:r>
        <w:r>
          <w:rPr>
            <w:noProof/>
            <w:webHidden/>
          </w:rPr>
          <w:instrText xml:space="preserve"> PAGEREF _Toc234391365 \h </w:instrText>
        </w:r>
        <w:r>
          <w:rPr>
            <w:noProof/>
            <w:webHidden/>
          </w:rPr>
        </w:r>
        <w:r>
          <w:rPr>
            <w:noProof/>
            <w:webHidden/>
          </w:rPr>
          <w:fldChar w:fldCharType="separate"/>
        </w:r>
        <w:r>
          <w:rPr>
            <w:noProof/>
            <w:webHidden/>
          </w:rPr>
          <w:t>6</w:t>
        </w:r>
        <w:r>
          <w:rPr>
            <w:noProof/>
            <w:webHidden/>
          </w:rPr>
          <w:fldChar w:fldCharType="end"/>
        </w:r>
      </w:hyperlink>
    </w:p>
    <w:p w14:paraId="4E6E4001" w14:textId="0407898C"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66" w:history="1">
        <w:r w:rsidRPr="007F7610">
          <w:rPr>
            <w:rStyle w:val="Hyperlink"/>
            <w:noProof/>
          </w:rPr>
          <w:t>3.2</w:t>
        </w:r>
        <w:r>
          <w:rPr>
            <w:rFonts w:asciiTheme="minorHAnsi" w:hAnsiTheme="minorHAnsi"/>
            <w:noProof/>
            <w:kern w:val="2"/>
            <w:sz w:val="24"/>
            <w:szCs w:val="24"/>
            <w14:ligatures w14:val="standardContextual"/>
          </w:rPr>
          <w:tab/>
        </w:r>
        <w:r w:rsidRPr="007F7610">
          <w:rPr>
            <w:rStyle w:val="Hyperlink"/>
            <w:noProof/>
          </w:rPr>
          <w:t>Faster access</w:t>
        </w:r>
        <w:r>
          <w:rPr>
            <w:noProof/>
            <w:webHidden/>
          </w:rPr>
          <w:tab/>
        </w:r>
        <w:r>
          <w:rPr>
            <w:noProof/>
            <w:webHidden/>
          </w:rPr>
          <w:fldChar w:fldCharType="begin"/>
        </w:r>
        <w:r>
          <w:rPr>
            <w:noProof/>
            <w:webHidden/>
          </w:rPr>
          <w:instrText xml:space="preserve"> PAGEREF _Toc234391366 \h </w:instrText>
        </w:r>
        <w:r>
          <w:rPr>
            <w:noProof/>
            <w:webHidden/>
          </w:rPr>
        </w:r>
        <w:r>
          <w:rPr>
            <w:noProof/>
            <w:webHidden/>
          </w:rPr>
          <w:fldChar w:fldCharType="separate"/>
        </w:r>
        <w:r>
          <w:rPr>
            <w:noProof/>
            <w:webHidden/>
          </w:rPr>
          <w:t>6</w:t>
        </w:r>
        <w:r>
          <w:rPr>
            <w:noProof/>
            <w:webHidden/>
          </w:rPr>
          <w:fldChar w:fldCharType="end"/>
        </w:r>
      </w:hyperlink>
    </w:p>
    <w:p w14:paraId="769A4140" w14:textId="69198650"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67" w:history="1">
        <w:r w:rsidRPr="007F7610">
          <w:rPr>
            <w:rStyle w:val="Hyperlink"/>
            <w:noProof/>
          </w:rPr>
          <w:t>3.3</w:t>
        </w:r>
        <w:r>
          <w:rPr>
            <w:rFonts w:asciiTheme="minorHAnsi" w:hAnsiTheme="minorHAnsi"/>
            <w:noProof/>
            <w:kern w:val="2"/>
            <w:sz w:val="24"/>
            <w:szCs w:val="24"/>
            <w14:ligatures w14:val="standardContextual"/>
          </w:rPr>
          <w:tab/>
        </w:r>
        <w:r w:rsidRPr="007F7610">
          <w:rPr>
            <w:rStyle w:val="Hyperlink"/>
            <w:noProof/>
          </w:rPr>
          <w:t>Stronger NICE</w:t>
        </w:r>
        <w:r>
          <w:rPr>
            <w:noProof/>
            <w:webHidden/>
          </w:rPr>
          <w:tab/>
        </w:r>
        <w:r>
          <w:rPr>
            <w:noProof/>
            <w:webHidden/>
          </w:rPr>
          <w:fldChar w:fldCharType="begin"/>
        </w:r>
        <w:r>
          <w:rPr>
            <w:noProof/>
            <w:webHidden/>
          </w:rPr>
          <w:instrText xml:space="preserve"> PAGEREF _Toc234391367 \h </w:instrText>
        </w:r>
        <w:r>
          <w:rPr>
            <w:noProof/>
            <w:webHidden/>
          </w:rPr>
        </w:r>
        <w:r>
          <w:rPr>
            <w:noProof/>
            <w:webHidden/>
          </w:rPr>
          <w:fldChar w:fldCharType="separate"/>
        </w:r>
        <w:r>
          <w:rPr>
            <w:noProof/>
            <w:webHidden/>
          </w:rPr>
          <w:t>11</w:t>
        </w:r>
        <w:r>
          <w:rPr>
            <w:noProof/>
            <w:webHidden/>
          </w:rPr>
          <w:fldChar w:fldCharType="end"/>
        </w:r>
      </w:hyperlink>
    </w:p>
    <w:p w14:paraId="16C61AC1" w14:textId="7FF8FE23" w:rsidR="008A7073" w:rsidRDefault="008A7073">
      <w:pPr>
        <w:pStyle w:val="TOC1"/>
        <w:rPr>
          <w:rFonts w:asciiTheme="minorHAnsi" w:hAnsiTheme="minorHAnsi"/>
          <w:b w:val="0"/>
          <w:noProof/>
          <w:kern w:val="2"/>
          <w:sz w:val="24"/>
          <w:szCs w:val="24"/>
          <w14:ligatures w14:val="standardContextual"/>
        </w:rPr>
      </w:pPr>
      <w:hyperlink w:anchor="_Toc234391368" w:history="1">
        <w:r w:rsidRPr="007F7610">
          <w:rPr>
            <w:rStyle w:val="Hyperlink"/>
            <w:noProof/>
          </w:rPr>
          <w:t>4</w:t>
        </w:r>
        <w:r>
          <w:rPr>
            <w:rFonts w:asciiTheme="minorHAnsi" w:hAnsiTheme="minorHAnsi"/>
            <w:b w:val="0"/>
            <w:noProof/>
            <w:kern w:val="2"/>
            <w:sz w:val="24"/>
            <w:szCs w:val="24"/>
            <w14:ligatures w14:val="standardContextual"/>
          </w:rPr>
          <w:tab/>
        </w:r>
        <w:r w:rsidRPr="007F7610">
          <w:rPr>
            <w:rStyle w:val="Hyperlink"/>
            <w:noProof/>
          </w:rPr>
          <w:t>Corporate projects</w:t>
        </w:r>
        <w:r>
          <w:rPr>
            <w:noProof/>
            <w:webHidden/>
          </w:rPr>
          <w:tab/>
        </w:r>
        <w:r>
          <w:rPr>
            <w:noProof/>
            <w:webHidden/>
          </w:rPr>
          <w:fldChar w:fldCharType="begin"/>
        </w:r>
        <w:r>
          <w:rPr>
            <w:noProof/>
            <w:webHidden/>
          </w:rPr>
          <w:instrText xml:space="preserve"> PAGEREF _Toc234391368 \h </w:instrText>
        </w:r>
        <w:r>
          <w:rPr>
            <w:noProof/>
            <w:webHidden/>
          </w:rPr>
        </w:r>
        <w:r>
          <w:rPr>
            <w:noProof/>
            <w:webHidden/>
          </w:rPr>
          <w:fldChar w:fldCharType="separate"/>
        </w:r>
        <w:r>
          <w:rPr>
            <w:noProof/>
            <w:webHidden/>
          </w:rPr>
          <w:t>12</w:t>
        </w:r>
        <w:r>
          <w:rPr>
            <w:noProof/>
            <w:webHidden/>
          </w:rPr>
          <w:fldChar w:fldCharType="end"/>
        </w:r>
      </w:hyperlink>
    </w:p>
    <w:p w14:paraId="48FD242C" w14:textId="77C78925"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69" w:history="1">
        <w:r w:rsidRPr="007F7610">
          <w:rPr>
            <w:rStyle w:val="Hyperlink"/>
            <w:noProof/>
          </w:rPr>
          <w:t>4.1</w:t>
        </w:r>
        <w:r>
          <w:rPr>
            <w:rFonts w:asciiTheme="minorHAnsi" w:hAnsiTheme="minorHAnsi"/>
            <w:noProof/>
            <w:kern w:val="2"/>
            <w:sz w:val="24"/>
            <w:szCs w:val="24"/>
            <w14:ligatures w14:val="standardContextual"/>
          </w:rPr>
          <w:tab/>
        </w:r>
        <w:r w:rsidRPr="007F7610">
          <w:rPr>
            <w:rStyle w:val="Hyperlink"/>
            <w:noProof/>
          </w:rPr>
          <w:t>Whole lifecycle approach</w:t>
        </w:r>
        <w:r>
          <w:rPr>
            <w:noProof/>
            <w:webHidden/>
          </w:rPr>
          <w:tab/>
        </w:r>
        <w:r>
          <w:rPr>
            <w:noProof/>
            <w:webHidden/>
          </w:rPr>
          <w:fldChar w:fldCharType="begin"/>
        </w:r>
        <w:r>
          <w:rPr>
            <w:noProof/>
            <w:webHidden/>
          </w:rPr>
          <w:instrText xml:space="preserve"> PAGEREF _Toc234391369 \h </w:instrText>
        </w:r>
        <w:r>
          <w:rPr>
            <w:noProof/>
            <w:webHidden/>
          </w:rPr>
        </w:r>
        <w:r>
          <w:rPr>
            <w:noProof/>
            <w:webHidden/>
          </w:rPr>
          <w:fldChar w:fldCharType="separate"/>
        </w:r>
        <w:r>
          <w:rPr>
            <w:noProof/>
            <w:webHidden/>
          </w:rPr>
          <w:t>12</w:t>
        </w:r>
        <w:r>
          <w:rPr>
            <w:noProof/>
            <w:webHidden/>
          </w:rPr>
          <w:fldChar w:fldCharType="end"/>
        </w:r>
      </w:hyperlink>
    </w:p>
    <w:p w14:paraId="32617F75" w14:textId="429BCF8D"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70" w:history="1">
        <w:r w:rsidRPr="007F7610">
          <w:rPr>
            <w:rStyle w:val="Hyperlink"/>
            <w:noProof/>
          </w:rPr>
          <w:t>4.2</w:t>
        </w:r>
        <w:r>
          <w:rPr>
            <w:rFonts w:asciiTheme="minorHAnsi" w:hAnsiTheme="minorHAnsi"/>
            <w:noProof/>
            <w:kern w:val="2"/>
            <w:sz w:val="24"/>
            <w:szCs w:val="24"/>
            <w14:ligatures w14:val="standardContextual"/>
          </w:rPr>
          <w:tab/>
        </w:r>
        <w:r w:rsidRPr="007F7610">
          <w:rPr>
            <w:rStyle w:val="Hyperlink"/>
            <w:noProof/>
          </w:rPr>
          <w:t>Planning and scheduling management</w:t>
        </w:r>
        <w:r>
          <w:rPr>
            <w:noProof/>
            <w:webHidden/>
          </w:rPr>
          <w:tab/>
        </w:r>
        <w:r>
          <w:rPr>
            <w:noProof/>
            <w:webHidden/>
          </w:rPr>
          <w:fldChar w:fldCharType="begin"/>
        </w:r>
        <w:r>
          <w:rPr>
            <w:noProof/>
            <w:webHidden/>
          </w:rPr>
          <w:instrText xml:space="preserve"> PAGEREF _Toc234391370 \h </w:instrText>
        </w:r>
        <w:r>
          <w:rPr>
            <w:noProof/>
            <w:webHidden/>
          </w:rPr>
        </w:r>
        <w:r>
          <w:rPr>
            <w:noProof/>
            <w:webHidden/>
          </w:rPr>
          <w:fldChar w:fldCharType="separate"/>
        </w:r>
        <w:r>
          <w:rPr>
            <w:noProof/>
            <w:webHidden/>
          </w:rPr>
          <w:t>13</w:t>
        </w:r>
        <w:r>
          <w:rPr>
            <w:noProof/>
            <w:webHidden/>
          </w:rPr>
          <w:fldChar w:fldCharType="end"/>
        </w:r>
      </w:hyperlink>
    </w:p>
    <w:p w14:paraId="61636C51" w14:textId="45989B95"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71" w:history="1">
        <w:r w:rsidRPr="007F7610">
          <w:rPr>
            <w:rStyle w:val="Hyperlink"/>
            <w:noProof/>
          </w:rPr>
          <w:t>4.3</w:t>
        </w:r>
        <w:r>
          <w:rPr>
            <w:rFonts w:asciiTheme="minorHAnsi" w:hAnsiTheme="minorHAnsi"/>
            <w:noProof/>
            <w:kern w:val="2"/>
            <w:sz w:val="24"/>
            <w:szCs w:val="24"/>
            <w14:ligatures w14:val="standardContextual"/>
          </w:rPr>
          <w:tab/>
        </w:r>
        <w:r w:rsidRPr="007F7610">
          <w:rPr>
            <w:rStyle w:val="Hyperlink"/>
            <w:noProof/>
          </w:rPr>
          <w:t>Knowledge transformation</w:t>
        </w:r>
        <w:r>
          <w:rPr>
            <w:noProof/>
            <w:webHidden/>
          </w:rPr>
          <w:tab/>
        </w:r>
        <w:r>
          <w:rPr>
            <w:noProof/>
            <w:webHidden/>
          </w:rPr>
          <w:fldChar w:fldCharType="begin"/>
        </w:r>
        <w:r>
          <w:rPr>
            <w:noProof/>
            <w:webHidden/>
          </w:rPr>
          <w:instrText xml:space="preserve"> PAGEREF _Toc234391371 \h </w:instrText>
        </w:r>
        <w:r>
          <w:rPr>
            <w:noProof/>
            <w:webHidden/>
          </w:rPr>
        </w:r>
        <w:r>
          <w:rPr>
            <w:noProof/>
            <w:webHidden/>
          </w:rPr>
          <w:fldChar w:fldCharType="separate"/>
        </w:r>
        <w:r>
          <w:rPr>
            <w:noProof/>
            <w:webHidden/>
          </w:rPr>
          <w:t>14</w:t>
        </w:r>
        <w:r>
          <w:rPr>
            <w:noProof/>
            <w:webHidden/>
          </w:rPr>
          <w:fldChar w:fldCharType="end"/>
        </w:r>
      </w:hyperlink>
    </w:p>
    <w:p w14:paraId="3E3F3DD6" w14:textId="222D5BAF"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72" w:history="1">
        <w:r w:rsidRPr="007F7610">
          <w:rPr>
            <w:rStyle w:val="Hyperlink"/>
            <w:noProof/>
          </w:rPr>
          <w:t>4.4</w:t>
        </w:r>
        <w:r>
          <w:rPr>
            <w:rFonts w:asciiTheme="minorHAnsi" w:hAnsiTheme="minorHAnsi"/>
            <w:noProof/>
            <w:kern w:val="2"/>
            <w:sz w:val="24"/>
            <w:szCs w:val="24"/>
            <w14:ligatures w14:val="standardContextual"/>
          </w:rPr>
          <w:tab/>
        </w:r>
        <w:r w:rsidRPr="007F7610">
          <w:rPr>
            <w:rStyle w:val="Hyperlink"/>
            <w:noProof/>
          </w:rPr>
          <w:t>Artificial intelligence and data</w:t>
        </w:r>
        <w:r>
          <w:rPr>
            <w:noProof/>
            <w:webHidden/>
          </w:rPr>
          <w:tab/>
        </w:r>
        <w:r>
          <w:rPr>
            <w:noProof/>
            <w:webHidden/>
          </w:rPr>
          <w:fldChar w:fldCharType="begin"/>
        </w:r>
        <w:r>
          <w:rPr>
            <w:noProof/>
            <w:webHidden/>
          </w:rPr>
          <w:instrText xml:space="preserve"> PAGEREF _Toc234391372 \h </w:instrText>
        </w:r>
        <w:r>
          <w:rPr>
            <w:noProof/>
            <w:webHidden/>
          </w:rPr>
        </w:r>
        <w:r>
          <w:rPr>
            <w:noProof/>
            <w:webHidden/>
          </w:rPr>
          <w:fldChar w:fldCharType="separate"/>
        </w:r>
        <w:r>
          <w:rPr>
            <w:noProof/>
            <w:webHidden/>
          </w:rPr>
          <w:t>15</w:t>
        </w:r>
        <w:r>
          <w:rPr>
            <w:noProof/>
            <w:webHidden/>
          </w:rPr>
          <w:fldChar w:fldCharType="end"/>
        </w:r>
      </w:hyperlink>
    </w:p>
    <w:p w14:paraId="1B340F7D" w14:textId="793A2D37"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73" w:history="1">
        <w:r w:rsidRPr="007F7610">
          <w:rPr>
            <w:rStyle w:val="Hyperlink"/>
            <w:noProof/>
          </w:rPr>
          <w:t>4.5</w:t>
        </w:r>
        <w:r>
          <w:rPr>
            <w:rFonts w:asciiTheme="minorHAnsi" w:hAnsiTheme="minorHAnsi"/>
            <w:noProof/>
            <w:kern w:val="2"/>
            <w:sz w:val="24"/>
            <w:szCs w:val="24"/>
            <w14:ligatures w14:val="standardContextual"/>
          </w:rPr>
          <w:tab/>
        </w:r>
        <w:r w:rsidRPr="007F7610">
          <w:rPr>
            <w:rStyle w:val="Hyperlink"/>
            <w:noProof/>
          </w:rPr>
          <w:t>National HealthTech Access Programme (NHAP)</w:t>
        </w:r>
        <w:r>
          <w:rPr>
            <w:noProof/>
            <w:webHidden/>
          </w:rPr>
          <w:tab/>
        </w:r>
        <w:r>
          <w:rPr>
            <w:noProof/>
            <w:webHidden/>
          </w:rPr>
          <w:fldChar w:fldCharType="begin"/>
        </w:r>
        <w:r>
          <w:rPr>
            <w:noProof/>
            <w:webHidden/>
          </w:rPr>
          <w:instrText xml:space="preserve"> PAGEREF _Toc234391373 \h </w:instrText>
        </w:r>
        <w:r>
          <w:rPr>
            <w:noProof/>
            <w:webHidden/>
          </w:rPr>
        </w:r>
        <w:r>
          <w:rPr>
            <w:noProof/>
            <w:webHidden/>
          </w:rPr>
          <w:fldChar w:fldCharType="separate"/>
        </w:r>
        <w:r>
          <w:rPr>
            <w:noProof/>
            <w:webHidden/>
          </w:rPr>
          <w:t>16</w:t>
        </w:r>
        <w:r>
          <w:rPr>
            <w:noProof/>
            <w:webHidden/>
          </w:rPr>
          <w:fldChar w:fldCharType="end"/>
        </w:r>
      </w:hyperlink>
    </w:p>
    <w:p w14:paraId="3742F299" w14:textId="4C928715"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74" w:history="1">
        <w:r w:rsidRPr="007F7610">
          <w:rPr>
            <w:rStyle w:val="Hyperlink"/>
            <w:noProof/>
          </w:rPr>
          <w:t>4.6</w:t>
        </w:r>
        <w:r>
          <w:rPr>
            <w:rFonts w:asciiTheme="minorHAnsi" w:hAnsiTheme="minorHAnsi"/>
            <w:noProof/>
            <w:kern w:val="2"/>
            <w:sz w:val="24"/>
            <w:szCs w:val="24"/>
            <w14:ligatures w14:val="standardContextual"/>
          </w:rPr>
          <w:tab/>
        </w:r>
        <w:r w:rsidRPr="007F7610">
          <w:rPr>
            <w:rStyle w:val="Hyperlink"/>
            <w:noProof/>
          </w:rPr>
          <w:t>NICE / MHRA aligned pathway</w:t>
        </w:r>
        <w:r>
          <w:rPr>
            <w:noProof/>
            <w:webHidden/>
          </w:rPr>
          <w:tab/>
        </w:r>
        <w:r>
          <w:rPr>
            <w:noProof/>
            <w:webHidden/>
          </w:rPr>
          <w:fldChar w:fldCharType="begin"/>
        </w:r>
        <w:r>
          <w:rPr>
            <w:noProof/>
            <w:webHidden/>
          </w:rPr>
          <w:instrText xml:space="preserve"> PAGEREF _Toc234391374 \h </w:instrText>
        </w:r>
        <w:r>
          <w:rPr>
            <w:noProof/>
            <w:webHidden/>
          </w:rPr>
        </w:r>
        <w:r>
          <w:rPr>
            <w:noProof/>
            <w:webHidden/>
          </w:rPr>
          <w:fldChar w:fldCharType="separate"/>
        </w:r>
        <w:r>
          <w:rPr>
            <w:noProof/>
            <w:webHidden/>
          </w:rPr>
          <w:t>17</w:t>
        </w:r>
        <w:r>
          <w:rPr>
            <w:noProof/>
            <w:webHidden/>
          </w:rPr>
          <w:fldChar w:fldCharType="end"/>
        </w:r>
      </w:hyperlink>
    </w:p>
    <w:p w14:paraId="1E61964D" w14:textId="549C597B"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75" w:history="1">
        <w:r w:rsidRPr="007F7610">
          <w:rPr>
            <w:rStyle w:val="Hyperlink"/>
            <w:noProof/>
          </w:rPr>
          <w:t>4.7</w:t>
        </w:r>
        <w:r>
          <w:rPr>
            <w:rFonts w:asciiTheme="minorHAnsi" w:hAnsiTheme="minorHAnsi"/>
            <w:noProof/>
            <w:kern w:val="2"/>
            <w:sz w:val="24"/>
            <w:szCs w:val="24"/>
            <w14:ligatures w14:val="standardContextual"/>
          </w:rPr>
          <w:tab/>
        </w:r>
        <w:r w:rsidRPr="007F7610">
          <w:rPr>
            <w:rStyle w:val="Hyperlink"/>
            <w:noProof/>
          </w:rPr>
          <w:t>Common commercial approach</w:t>
        </w:r>
        <w:r>
          <w:rPr>
            <w:noProof/>
            <w:webHidden/>
          </w:rPr>
          <w:tab/>
        </w:r>
        <w:r>
          <w:rPr>
            <w:noProof/>
            <w:webHidden/>
          </w:rPr>
          <w:fldChar w:fldCharType="begin"/>
        </w:r>
        <w:r>
          <w:rPr>
            <w:noProof/>
            <w:webHidden/>
          </w:rPr>
          <w:instrText xml:space="preserve"> PAGEREF _Toc234391375 \h </w:instrText>
        </w:r>
        <w:r>
          <w:rPr>
            <w:noProof/>
            <w:webHidden/>
          </w:rPr>
        </w:r>
        <w:r>
          <w:rPr>
            <w:noProof/>
            <w:webHidden/>
          </w:rPr>
          <w:fldChar w:fldCharType="separate"/>
        </w:r>
        <w:r>
          <w:rPr>
            <w:noProof/>
            <w:webHidden/>
          </w:rPr>
          <w:t>18</w:t>
        </w:r>
        <w:r>
          <w:rPr>
            <w:noProof/>
            <w:webHidden/>
          </w:rPr>
          <w:fldChar w:fldCharType="end"/>
        </w:r>
      </w:hyperlink>
    </w:p>
    <w:p w14:paraId="20CFBCB9" w14:textId="605F6FEC"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76" w:history="1">
        <w:r w:rsidRPr="007F7610">
          <w:rPr>
            <w:rStyle w:val="Hyperlink"/>
            <w:noProof/>
          </w:rPr>
          <w:t>4.8</w:t>
        </w:r>
        <w:r>
          <w:rPr>
            <w:rFonts w:asciiTheme="minorHAnsi" w:hAnsiTheme="minorHAnsi"/>
            <w:noProof/>
            <w:kern w:val="2"/>
            <w:sz w:val="24"/>
            <w:szCs w:val="24"/>
            <w14:ligatures w14:val="standardContextual"/>
          </w:rPr>
          <w:tab/>
        </w:r>
        <w:r w:rsidRPr="007F7610">
          <w:rPr>
            <w:rStyle w:val="Hyperlink"/>
            <w:noProof/>
          </w:rPr>
          <w:t>NICE methods manual</w:t>
        </w:r>
        <w:r>
          <w:rPr>
            <w:noProof/>
            <w:webHidden/>
          </w:rPr>
          <w:tab/>
        </w:r>
        <w:r>
          <w:rPr>
            <w:noProof/>
            <w:webHidden/>
          </w:rPr>
          <w:fldChar w:fldCharType="begin"/>
        </w:r>
        <w:r>
          <w:rPr>
            <w:noProof/>
            <w:webHidden/>
          </w:rPr>
          <w:instrText xml:space="preserve"> PAGEREF _Toc234391376 \h </w:instrText>
        </w:r>
        <w:r>
          <w:rPr>
            <w:noProof/>
            <w:webHidden/>
          </w:rPr>
        </w:r>
        <w:r>
          <w:rPr>
            <w:noProof/>
            <w:webHidden/>
          </w:rPr>
          <w:fldChar w:fldCharType="separate"/>
        </w:r>
        <w:r>
          <w:rPr>
            <w:noProof/>
            <w:webHidden/>
          </w:rPr>
          <w:t>19</w:t>
        </w:r>
        <w:r>
          <w:rPr>
            <w:noProof/>
            <w:webHidden/>
          </w:rPr>
          <w:fldChar w:fldCharType="end"/>
        </w:r>
      </w:hyperlink>
    </w:p>
    <w:p w14:paraId="5C87DA40" w14:textId="19C8207E"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77" w:history="1">
        <w:r w:rsidRPr="007F7610">
          <w:rPr>
            <w:rStyle w:val="Hyperlink"/>
            <w:noProof/>
          </w:rPr>
          <w:t>4.9</w:t>
        </w:r>
        <w:r>
          <w:rPr>
            <w:rFonts w:asciiTheme="minorHAnsi" w:hAnsiTheme="minorHAnsi"/>
            <w:noProof/>
            <w:kern w:val="2"/>
            <w:sz w:val="24"/>
            <w:szCs w:val="24"/>
            <w14:ligatures w14:val="standardContextual"/>
          </w:rPr>
          <w:tab/>
        </w:r>
        <w:r w:rsidRPr="007F7610">
          <w:rPr>
            <w:rStyle w:val="Hyperlink"/>
            <w:noProof/>
          </w:rPr>
          <w:t>Quality and safety</w:t>
        </w:r>
        <w:r>
          <w:rPr>
            <w:noProof/>
            <w:webHidden/>
          </w:rPr>
          <w:tab/>
        </w:r>
        <w:r>
          <w:rPr>
            <w:noProof/>
            <w:webHidden/>
          </w:rPr>
          <w:fldChar w:fldCharType="begin"/>
        </w:r>
        <w:r>
          <w:rPr>
            <w:noProof/>
            <w:webHidden/>
          </w:rPr>
          <w:instrText xml:space="preserve"> PAGEREF _Toc234391377 \h </w:instrText>
        </w:r>
        <w:r>
          <w:rPr>
            <w:noProof/>
            <w:webHidden/>
          </w:rPr>
        </w:r>
        <w:r>
          <w:rPr>
            <w:noProof/>
            <w:webHidden/>
          </w:rPr>
          <w:fldChar w:fldCharType="separate"/>
        </w:r>
        <w:r>
          <w:rPr>
            <w:noProof/>
            <w:webHidden/>
          </w:rPr>
          <w:t>20</w:t>
        </w:r>
        <w:r>
          <w:rPr>
            <w:noProof/>
            <w:webHidden/>
          </w:rPr>
          <w:fldChar w:fldCharType="end"/>
        </w:r>
      </w:hyperlink>
    </w:p>
    <w:p w14:paraId="62CCA94E" w14:textId="054EB454"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78" w:history="1">
        <w:r w:rsidRPr="007F7610">
          <w:rPr>
            <w:rStyle w:val="Hyperlink"/>
            <w:noProof/>
          </w:rPr>
          <w:t>4.10</w:t>
        </w:r>
        <w:r>
          <w:rPr>
            <w:rFonts w:asciiTheme="minorHAnsi" w:hAnsiTheme="minorHAnsi"/>
            <w:noProof/>
            <w:kern w:val="2"/>
            <w:sz w:val="24"/>
            <w:szCs w:val="24"/>
            <w14:ligatures w14:val="standardContextual"/>
          </w:rPr>
          <w:tab/>
        </w:r>
        <w:r w:rsidRPr="007F7610">
          <w:rPr>
            <w:rStyle w:val="Hyperlink"/>
            <w:noProof/>
          </w:rPr>
          <w:t>Leadership and culture</w:t>
        </w:r>
        <w:r>
          <w:rPr>
            <w:noProof/>
            <w:webHidden/>
          </w:rPr>
          <w:tab/>
        </w:r>
        <w:r>
          <w:rPr>
            <w:noProof/>
            <w:webHidden/>
          </w:rPr>
          <w:fldChar w:fldCharType="begin"/>
        </w:r>
        <w:r>
          <w:rPr>
            <w:noProof/>
            <w:webHidden/>
          </w:rPr>
          <w:instrText xml:space="preserve"> PAGEREF _Toc234391378 \h </w:instrText>
        </w:r>
        <w:r>
          <w:rPr>
            <w:noProof/>
            <w:webHidden/>
          </w:rPr>
        </w:r>
        <w:r>
          <w:rPr>
            <w:noProof/>
            <w:webHidden/>
          </w:rPr>
          <w:fldChar w:fldCharType="separate"/>
        </w:r>
        <w:r>
          <w:rPr>
            <w:noProof/>
            <w:webHidden/>
          </w:rPr>
          <w:t>21</w:t>
        </w:r>
        <w:r>
          <w:rPr>
            <w:noProof/>
            <w:webHidden/>
          </w:rPr>
          <w:fldChar w:fldCharType="end"/>
        </w:r>
      </w:hyperlink>
    </w:p>
    <w:p w14:paraId="6088104B" w14:textId="462F97B6"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79" w:history="1">
        <w:r w:rsidRPr="007F7610">
          <w:rPr>
            <w:rStyle w:val="Hyperlink"/>
            <w:noProof/>
          </w:rPr>
          <w:t>4.11</w:t>
        </w:r>
        <w:r>
          <w:rPr>
            <w:rFonts w:asciiTheme="minorHAnsi" w:hAnsiTheme="minorHAnsi"/>
            <w:noProof/>
            <w:kern w:val="2"/>
            <w:sz w:val="24"/>
            <w:szCs w:val="24"/>
            <w14:ligatures w14:val="standardContextual"/>
          </w:rPr>
          <w:tab/>
        </w:r>
        <w:r w:rsidRPr="007F7610">
          <w:rPr>
            <w:rStyle w:val="Hyperlink"/>
            <w:noProof/>
          </w:rPr>
          <w:t>Communications</w:t>
        </w:r>
        <w:r>
          <w:rPr>
            <w:noProof/>
            <w:webHidden/>
          </w:rPr>
          <w:tab/>
        </w:r>
        <w:r>
          <w:rPr>
            <w:noProof/>
            <w:webHidden/>
          </w:rPr>
          <w:fldChar w:fldCharType="begin"/>
        </w:r>
        <w:r>
          <w:rPr>
            <w:noProof/>
            <w:webHidden/>
          </w:rPr>
          <w:instrText xml:space="preserve"> PAGEREF _Toc234391379 \h </w:instrText>
        </w:r>
        <w:r>
          <w:rPr>
            <w:noProof/>
            <w:webHidden/>
          </w:rPr>
        </w:r>
        <w:r>
          <w:rPr>
            <w:noProof/>
            <w:webHidden/>
          </w:rPr>
          <w:fldChar w:fldCharType="separate"/>
        </w:r>
        <w:r>
          <w:rPr>
            <w:noProof/>
            <w:webHidden/>
          </w:rPr>
          <w:t>22</w:t>
        </w:r>
        <w:r>
          <w:rPr>
            <w:noProof/>
            <w:webHidden/>
          </w:rPr>
          <w:fldChar w:fldCharType="end"/>
        </w:r>
      </w:hyperlink>
    </w:p>
    <w:p w14:paraId="5EE5E9DB" w14:textId="55F4E6A1" w:rsidR="008A7073" w:rsidRDefault="008A7073">
      <w:pPr>
        <w:pStyle w:val="TOC1"/>
        <w:rPr>
          <w:rFonts w:asciiTheme="minorHAnsi" w:hAnsiTheme="minorHAnsi"/>
          <w:b w:val="0"/>
          <w:noProof/>
          <w:kern w:val="2"/>
          <w:sz w:val="24"/>
          <w:szCs w:val="24"/>
          <w14:ligatures w14:val="standardContextual"/>
        </w:rPr>
      </w:pPr>
      <w:hyperlink w:anchor="_Toc234391380" w:history="1">
        <w:r w:rsidRPr="007F7610">
          <w:rPr>
            <w:rStyle w:val="Hyperlink"/>
            <w:noProof/>
          </w:rPr>
          <w:t>5</w:t>
        </w:r>
        <w:r>
          <w:rPr>
            <w:rFonts w:asciiTheme="minorHAnsi" w:hAnsiTheme="minorHAnsi"/>
            <w:b w:val="0"/>
            <w:noProof/>
            <w:kern w:val="2"/>
            <w:sz w:val="24"/>
            <w:szCs w:val="24"/>
            <w14:ligatures w14:val="standardContextual"/>
          </w:rPr>
          <w:tab/>
        </w:r>
        <w:r w:rsidRPr="007F7610">
          <w:rPr>
            <w:rStyle w:val="Hyperlink"/>
            <w:noProof/>
          </w:rPr>
          <w:t>Finance report</w:t>
        </w:r>
        <w:r>
          <w:rPr>
            <w:noProof/>
            <w:webHidden/>
          </w:rPr>
          <w:tab/>
        </w:r>
        <w:r>
          <w:rPr>
            <w:noProof/>
            <w:webHidden/>
          </w:rPr>
          <w:fldChar w:fldCharType="begin"/>
        </w:r>
        <w:r>
          <w:rPr>
            <w:noProof/>
            <w:webHidden/>
          </w:rPr>
          <w:instrText xml:space="preserve"> PAGEREF _Toc234391380 \h </w:instrText>
        </w:r>
        <w:r>
          <w:rPr>
            <w:noProof/>
            <w:webHidden/>
          </w:rPr>
        </w:r>
        <w:r>
          <w:rPr>
            <w:noProof/>
            <w:webHidden/>
          </w:rPr>
          <w:fldChar w:fldCharType="separate"/>
        </w:r>
        <w:r>
          <w:rPr>
            <w:noProof/>
            <w:webHidden/>
          </w:rPr>
          <w:t>23</w:t>
        </w:r>
        <w:r>
          <w:rPr>
            <w:noProof/>
            <w:webHidden/>
          </w:rPr>
          <w:fldChar w:fldCharType="end"/>
        </w:r>
      </w:hyperlink>
    </w:p>
    <w:p w14:paraId="354963E1" w14:textId="5BAC19D0"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81" w:history="1">
        <w:r w:rsidRPr="007F7610">
          <w:rPr>
            <w:rStyle w:val="Hyperlink"/>
            <w:noProof/>
          </w:rPr>
          <w:t>5.1</w:t>
        </w:r>
        <w:r>
          <w:rPr>
            <w:rFonts w:asciiTheme="minorHAnsi" w:hAnsiTheme="minorHAnsi"/>
            <w:noProof/>
            <w:kern w:val="2"/>
            <w:sz w:val="24"/>
            <w:szCs w:val="24"/>
            <w14:ligatures w14:val="standardContextual"/>
          </w:rPr>
          <w:tab/>
        </w:r>
        <w:r w:rsidRPr="007F7610">
          <w:rPr>
            <w:rStyle w:val="Hyperlink"/>
            <w:noProof/>
          </w:rPr>
          <w:t>Overview as at Month 2 (end of May 2026)</w:t>
        </w:r>
        <w:r>
          <w:rPr>
            <w:noProof/>
            <w:webHidden/>
          </w:rPr>
          <w:tab/>
        </w:r>
        <w:r>
          <w:rPr>
            <w:noProof/>
            <w:webHidden/>
          </w:rPr>
          <w:fldChar w:fldCharType="begin"/>
        </w:r>
        <w:r>
          <w:rPr>
            <w:noProof/>
            <w:webHidden/>
          </w:rPr>
          <w:instrText xml:space="preserve"> PAGEREF _Toc234391381 \h </w:instrText>
        </w:r>
        <w:r>
          <w:rPr>
            <w:noProof/>
            <w:webHidden/>
          </w:rPr>
        </w:r>
        <w:r>
          <w:rPr>
            <w:noProof/>
            <w:webHidden/>
          </w:rPr>
          <w:fldChar w:fldCharType="separate"/>
        </w:r>
        <w:r>
          <w:rPr>
            <w:noProof/>
            <w:webHidden/>
          </w:rPr>
          <w:t>23</w:t>
        </w:r>
        <w:r>
          <w:rPr>
            <w:noProof/>
            <w:webHidden/>
          </w:rPr>
          <w:fldChar w:fldCharType="end"/>
        </w:r>
      </w:hyperlink>
    </w:p>
    <w:p w14:paraId="5B89891A" w14:textId="34BFB852" w:rsidR="008A7073" w:rsidRDefault="008A7073">
      <w:pPr>
        <w:pStyle w:val="TOC2"/>
        <w:tabs>
          <w:tab w:val="left" w:pos="960"/>
          <w:tab w:val="right" w:leader="dot" w:pos="14112"/>
        </w:tabs>
        <w:rPr>
          <w:rFonts w:asciiTheme="minorHAnsi" w:hAnsiTheme="minorHAnsi"/>
          <w:noProof/>
          <w:kern w:val="2"/>
          <w:sz w:val="24"/>
          <w:szCs w:val="24"/>
          <w14:ligatures w14:val="standardContextual"/>
        </w:rPr>
      </w:pPr>
      <w:hyperlink w:anchor="_Toc234391382" w:history="1">
        <w:r w:rsidRPr="007F7610">
          <w:rPr>
            <w:rStyle w:val="Hyperlink"/>
            <w:noProof/>
          </w:rPr>
          <w:t>5.2</w:t>
        </w:r>
        <w:r>
          <w:rPr>
            <w:rFonts w:asciiTheme="minorHAnsi" w:hAnsiTheme="minorHAnsi"/>
            <w:noProof/>
            <w:kern w:val="2"/>
            <w:sz w:val="24"/>
            <w:szCs w:val="24"/>
            <w14:ligatures w14:val="standardContextual"/>
          </w:rPr>
          <w:tab/>
        </w:r>
        <w:r w:rsidRPr="007F7610">
          <w:rPr>
            <w:rStyle w:val="Hyperlink"/>
            <w:noProof/>
          </w:rPr>
          <w:t>Analysis</w:t>
        </w:r>
        <w:r>
          <w:rPr>
            <w:noProof/>
            <w:webHidden/>
          </w:rPr>
          <w:tab/>
        </w:r>
        <w:r>
          <w:rPr>
            <w:noProof/>
            <w:webHidden/>
          </w:rPr>
          <w:fldChar w:fldCharType="begin"/>
        </w:r>
        <w:r>
          <w:rPr>
            <w:noProof/>
            <w:webHidden/>
          </w:rPr>
          <w:instrText xml:space="preserve"> PAGEREF _Toc234391382 \h </w:instrText>
        </w:r>
        <w:r>
          <w:rPr>
            <w:noProof/>
            <w:webHidden/>
          </w:rPr>
        </w:r>
        <w:r>
          <w:rPr>
            <w:noProof/>
            <w:webHidden/>
          </w:rPr>
          <w:fldChar w:fldCharType="separate"/>
        </w:r>
        <w:r>
          <w:rPr>
            <w:noProof/>
            <w:webHidden/>
          </w:rPr>
          <w:t>23</w:t>
        </w:r>
        <w:r>
          <w:rPr>
            <w:noProof/>
            <w:webHidden/>
          </w:rPr>
          <w:fldChar w:fldCharType="end"/>
        </w:r>
      </w:hyperlink>
    </w:p>
    <w:p w14:paraId="465D8688" w14:textId="6A6DF174" w:rsidR="008A7073" w:rsidRDefault="008A7073">
      <w:pPr>
        <w:pStyle w:val="TOC1"/>
        <w:rPr>
          <w:rFonts w:asciiTheme="minorHAnsi" w:hAnsiTheme="minorHAnsi"/>
          <w:b w:val="0"/>
          <w:noProof/>
          <w:kern w:val="2"/>
          <w:sz w:val="24"/>
          <w:szCs w:val="24"/>
          <w14:ligatures w14:val="standardContextual"/>
        </w:rPr>
      </w:pPr>
      <w:hyperlink w:anchor="_Toc234391383" w:history="1">
        <w:r w:rsidRPr="007F7610">
          <w:rPr>
            <w:rStyle w:val="Hyperlink"/>
            <w:noProof/>
          </w:rPr>
          <w:t>6</w:t>
        </w:r>
        <w:r>
          <w:rPr>
            <w:rFonts w:asciiTheme="minorHAnsi" w:hAnsiTheme="minorHAnsi"/>
            <w:b w:val="0"/>
            <w:noProof/>
            <w:kern w:val="2"/>
            <w:sz w:val="24"/>
            <w:szCs w:val="24"/>
            <w14:ligatures w14:val="standardContextual"/>
          </w:rPr>
          <w:tab/>
        </w:r>
        <w:r w:rsidRPr="007F7610">
          <w:rPr>
            <w:rStyle w:val="Hyperlink"/>
            <w:noProof/>
          </w:rPr>
          <w:t>Appendix A: Chart data tables</w:t>
        </w:r>
        <w:r>
          <w:rPr>
            <w:noProof/>
            <w:webHidden/>
          </w:rPr>
          <w:tab/>
        </w:r>
        <w:r>
          <w:rPr>
            <w:noProof/>
            <w:webHidden/>
          </w:rPr>
          <w:fldChar w:fldCharType="begin"/>
        </w:r>
        <w:r>
          <w:rPr>
            <w:noProof/>
            <w:webHidden/>
          </w:rPr>
          <w:instrText xml:space="preserve"> PAGEREF _Toc234391383 \h </w:instrText>
        </w:r>
        <w:r>
          <w:rPr>
            <w:noProof/>
            <w:webHidden/>
          </w:rPr>
        </w:r>
        <w:r>
          <w:rPr>
            <w:noProof/>
            <w:webHidden/>
          </w:rPr>
          <w:fldChar w:fldCharType="separate"/>
        </w:r>
        <w:r>
          <w:rPr>
            <w:noProof/>
            <w:webHidden/>
          </w:rPr>
          <w:t>25</w:t>
        </w:r>
        <w:r>
          <w:rPr>
            <w:noProof/>
            <w:webHidden/>
          </w:rPr>
          <w:fldChar w:fldCharType="end"/>
        </w:r>
      </w:hyperlink>
    </w:p>
    <w:p w14:paraId="34EC3DC8" w14:textId="05167F87" w:rsidR="00942540" w:rsidRPr="00AF1AFF" w:rsidRDefault="002B7735" w:rsidP="002B7735">
      <w:pPr>
        <w:pStyle w:val="TOC1"/>
      </w:pPr>
      <w:r>
        <w:rPr>
          <w:rFonts w:ascii="Arial" w:hAnsi="Arial"/>
        </w:rPr>
        <w:fldChar w:fldCharType="end"/>
      </w:r>
      <w:r w:rsidR="00942540">
        <w:br w:type="page"/>
      </w:r>
    </w:p>
    <w:p w14:paraId="4CFC6133" w14:textId="3AF9FAE4" w:rsidR="00E6687C" w:rsidRDefault="00517723" w:rsidP="0036419E">
      <w:pPr>
        <w:pStyle w:val="Heading1"/>
        <w:ind w:left="426" w:hanging="426"/>
      </w:pPr>
      <w:bookmarkStart w:id="0" w:name="_Toc229060280"/>
      <w:bookmarkStart w:id="1" w:name="_Toc234391362"/>
      <w:r>
        <w:t>S</w:t>
      </w:r>
      <w:r w:rsidR="00DA28A5" w:rsidRPr="00DC1A63">
        <w:t>ummary</w:t>
      </w:r>
      <w:bookmarkEnd w:id="0"/>
      <w:bookmarkEnd w:id="1"/>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gridCol w:w="5812"/>
      </w:tblGrid>
      <w:tr w:rsidR="00202903" w:rsidRPr="00202903" w14:paraId="7828C4F5" w14:textId="77777777" w:rsidTr="004C66B9">
        <w:tc>
          <w:tcPr>
            <w:tcW w:w="9356" w:type="dxa"/>
          </w:tcPr>
          <w:p w14:paraId="529A9482" w14:textId="77777777" w:rsidR="00202903" w:rsidRPr="00202903" w:rsidRDefault="00202903" w:rsidP="00F770F3">
            <w:pPr>
              <w:spacing w:after="120"/>
              <w:rPr>
                <w:rFonts w:ascii="Inter" w:eastAsia="MS Mincho" w:hAnsi="Inter" w:cs="Times New Roman"/>
              </w:rPr>
            </w:pPr>
            <w:r w:rsidRPr="00202903">
              <w:rPr>
                <w:rFonts w:ascii="Inter" w:eastAsia="MS Mincho" w:hAnsi="Inter" w:cs="Times New Roman"/>
              </w:rPr>
              <w:t>This report provides assurance to the NICE Board on delivery of the 2026/27 business plan. This shows that:</w:t>
            </w:r>
          </w:p>
          <w:p w14:paraId="0F401446" w14:textId="77777777" w:rsidR="00202903" w:rsidRPr="00202903" w:rsidRDefault="00202903" w:rsidP="00B55BDC">
            <w:pPr>
              <w:numPr>
                <w:ilvl w:val="0"/>
                <w:numId w:val="57"/>
              </w:numPr>
              <w:tabs>
                <w:tab w:val="num" w:pos="284"/>
              </w:tabs>
              <w:spacing w:before="60" w:after="60"/>
              <w:ind w:left="284" w:hanging="284"/>
              <w:rPr>
                <w:rFonts w:ascii="Inter" w:eastAsia="MS Mincho" w:hAnsi="Inter" w:cs="Times New Roman"/>
              </w:rPr>
            </w:pPr>
            <w:r w:rsidRPr="00202903">
              <w:rPr>
                <w:rFonts w:ascii="Inter" w:eastAsia="MS Mincho" w:hAnsi="Inter" w:cs="Times New Roman"/>
              </w:rPr>
              <w:t>8 out of 12 of Key Performance Indicators (KPIs) are rated</w:t>
            </w:r>
            <w:r w:rsidRPr="00F64278">
              <w:rPr>
                <w:rFonts w:ascii="Inter" w:eastAsia="MS Mincho" w:hAnsi="Inter" w:cs="Times New Roman"/>
                <w:b/>
                <w:bCs/>
              </w:rPr>
              <w:t xml:space="preserve"> </w:t>
            </w:r>
            <w:r w:rsidRPr="001F5F70">
              <w:rPr>
                <w:rFonts w:ascii="Inter" w:eastAsia="MS Mincho" w:hAnsi="Inter" w:cs="Times New Roman"/>
                <w:b/>
                <w:color w:val="006039"/>
              </w:rPr>
              <w:t>green</w:t>
            </w:r>
          </w:p>
          <w:p w14:paraId="28567B20" w14:textId="77777777" w:rsidR="00202903" w:rsidRPr="00202903" w:rsidRDefault="00202903" w:rsidP="00B55BDC">
            <w:pPr>
              <w:numPr>
                <w:ilvl w:val="0"/>
                <w:numId w:val="57"/>
              </w:numPr>
              <w:tabs>
                <w:tab w:val="num" w:pos="284"/>
              </w:tabs>
              <w:spacing w:before="60" w:after="60"/>
              <w:ind w:left="284" w:hanging="284"/>
              <w:rPr>
                <w:rFonts w:ascii="Inter" w:eastAsia="MS Mincho" w:hAnsi="Inter" w:cs="Times New Roman"/>
              </w:rPr>
            </w:pPr>
            <w:r w:rsidRPr="00202903">
              <w:rPr>
                <w:rFonts w:ascii="Inter" w:eastAsia="MS Mincho" w:hAnsi="Inter" w:cs="Times New Roman"/>
              </w:rPr>
              <w:t>10 out of 11 corporate business plan projects are rated</w:t>
            </w:r>
            <w:r w:rsidRPr="00F64278">
              <w:rPr>
                <w:rFonts w:ascii="Inter" w:eastAsia="MS Mincho" w:hAnsi="Inter" w:cs="Times New Roman"/>
                <w:b/>
                <w:bCs/>
              </w:rPr>
              <w:t xml:space="preserve"> </w:t>
            </w:r>
            <w:r w:rsidRPr="001F5F70">
              <w:rPr>
                <w:rFonts w:ascii="Inter" w:eastAsia="MS Mincho" w:hAnsi="Inter" w:cs="Times New Roman"/>
                <w:b/>
                <w:color w:val="006039"/>
              </w:rPr>
              <w:t>green</w:t>
            </w:r>
          </w:p>
          <w:p w14:paraId="18BE4F39" w14:textId="77777777" w:rsidR="00202903" w:rsidRPr="00202903" w:rsidRDefault="00202903" w:rsidP="00B55BDC">
            <w:pPr>
              <w:numPr>
                <w:ilvl w:val="0"/>
                <w:numId w:val="57"/>
              </w:numPr>
              <w:tabs>
                <w:tab w:val="num" w:pos="284"/>
              </w:tabs>
              <w:spacing w:before="60" w:after="60"/>
              <w:ind w:left="284" w:hanging="284"/>
              <w:rPr>
                <w:rFonts w:ascii="Inter" w:eastAsia="MS Mincho" w:hAnsi="Inter" w:cs="Times New Roman"/>
              </w:rPr>
            </w:pPr>
            <w:r w:rsidRPr="00202903">
              <w:rPr>
                <w:rFonts w:ascii="Inter" w:eastAsia="MS Mincho" w:hAnsi="Inter" w:cs="Times New Roman"/>
              </w:rPr>
              <w:t xml:space="preserve">Financial position rated </w:t>
            </w:r>
            <w:r w:rsidRPr="001F5F70">
              <w:rPr>
                <w:rFonts w:ascii="Inter" w:eastAsia="MS Mincho" w:hAnsi="Inter" w:cs="Times New Roman"/>
                <w:b/>
                <w:color w:val="B35C18"/>
              </w:rPr>
              <w:t>amber:</w:t>
            </w:r>
            <w:r w:rsidRPr="00202903">
              <w:rPr>
                <w:rFonts w:ascii="Inter" w:eastAsia="MS Mincho" w:hAnsi="Inter" w:cs="Times New Roman"/>
              </w:rPr>
              <w:t xml:space="preserve"> £0.9m year-to-date overspend but forecast to achieve breakeven position</w:t>
            </w:r>
          </w:p>
        </w:tc>
        <w:tc>
          <w:tcPr>
            <w:tcW w:w="5812" w:type="dxa"/>
          </w:tcPr>
          <w:p w14:paraId="57F1F3F4" w14:textId="0DD61871" w:rsidR="00202903" w:rsidRPr="00C172EC" w:rsidRDefault="00C172EC" w:rsidP="00F770F3">
            <w:pPr>
              <w:spacing w:after="0"/>
              <w:jc w:val="right"/>
              <w:rPr>
                <w:rFonts w:ascii="Aptos" w:eastAsia="Times New Roman" w:hAnsi="Aptos" w:cs="Times New Roman"/>
              </w:rPr>
            </w:pPr>
            <w:r w:rsidRPr="00C172EC">
              <w:rPr>
                <w:noProof/>
              </w:rPr>
              <w:drawing>
                <wp:inline distT="0" distB="0" distL="0" distR="0" wp14:anchorId="21B1F481" wp14:editId="406831CA">
                  <wp:extent cx="3529261" cy="1219200"/>
                  <wp:effectExtent l="0" t="0" r="0" b="0"/>
                  <wp:docPr id="1855102722" name="Picture 1" descr="Table listing definitions of RAG ratings.&#10;Red = significant risks / issues to highlight&#10;Amber = some risks / issues to highlight&#10;Green = on 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02722" name="Picture 1" descr="Table listing definitions of RAG ratings.&#10;Red = significant risks / issues to highlight&#10;Amber = some risks / issues to highlight&#10;Green = on track"/>
                          <pic:cNvPicPr/>
                        </pic:nvPicPr>
                        <pic:blipFill>
                          <a:blip r:embed="rId11"/>
                          <a:stretch>
                            <a:fillRect/>
                          </a:stretch>
                        </pic:blipFill>
                        <pic:spPr>
                          <a:xfrm>
                            <a:off x="0" y="0"/>
                            <a:ext cx="3576717" cy="1235594"/>
                          </a:xfrm>
                          <a:prstGeom prst="rect">
                            <a:avLst/>
                          </a:prstGeom>
                        </pic:spPr>
                      </pic:pic>
                    </a:graphicData>
                  </a:graphic>
                </wp:inline>
              </w:drawing>
            </w:r>
          </w:p>
        </w:tc>
      </w:tr>
    </w:tbl>
    <w:p w14:paraId="2C9BF768" w14:textId="77777777" w:rsidR="006B423B" w:rsidRPr="00D01EA7" w:rsidRDefault="006B423B" w:rsidP="00033AAA">
      <w:pPr>
        <w:pStyle w:val="ListParagraph"/>
        <w:spacing w:after="0"/>
        <w:ind w:left="284"/>
        <w:rPr>
          <w:rFonts w:ascii="Inter" w:hAnsi="Inter"/>
          <w:sz w:val="12"/>
          <w:szCs w:val="12"/>
        </w:rPr>
      </w:pPr>
    </w:p>
    <w:tbl>
      <w:tblPr>
        <w:tblStyle w:val="TableGrid"/>
        <w:tblW w:w="1501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022"/>
        <w:gridCol w:w="5989"/>
      </w:tblGrid>
      <w:tr w:rsidR="00C179EC" w14:paraId="4399CFA1" w14:textId="77777777" w:rsidTr="000901A9">
        <w:tc>
          <w:tcPr>
            <w:tcW w:w="9022" w:type="dxa"/>
            <w:shd w:val="clear" w:color="auto" w:fill="F7F4F1"/>
          </w:tcPr>
          <w:p w14:paraId="08FCD116" w14:textId="77777777" w:rsidR="00C179EC" w:rsidRDefault="00C179EC">
            <w:pPr>
              <w:pStyle w:val="Heading3"/>
              <w:spacing w:before="120"/>
            </w:pPr>
            <w:r>
              <w:t>Key performance indicators:</w:t>
            </w:r>
          </w:p>
          <w:tbl>
            <w:tblPr>
              <w:tblStyle w:val="TableGrid"/>
              <w:tblW w:w="8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7"/>
              <w:gridCol w:w="6939"/>
            </w:tblGrid>
            <w:tr w:rsidR="00C179EC" w14:paraId="1D9E8F9C" w14:textId="77777777" w:rsidTr="000901A9">
              <w:tc>
                <w:tcPr>
                  <w:tcW w:w="1867" w:type="dxa"/>
                  <w:tcBorders>
                    <w:top w:val="single" w:sz="8" w:space="0" w:color="auto"/>
                    <w:bottom w:val="single" w:sz="8" w:space="0" w:color="auto"/>
                  </w:tcBorders>
                </w:tcPr>
                <w:p w14:paraId="65EDFA54" w14:textId="77777777" w:rsidR="00C179EC" w:rsidRPr="00D01EA7" w:rsidRDefault="00C179EC">
                  <w:pPr>
                    <w:spacing w:before="120" w:after="120"/>
                    <w:rPr>
                      <w:rFonts w:ascii="Inter" w:hAnsi="Inter"/>
                      <w:b/>
                      <w:bCs/>
                    </w:rPr>
                  </w:pPr>
                  <w:r w:rsidRPr="00D01EA7">
                    <w:rPr>
                      <w:rFonts w:ascii="Inter" w:hAnsi="Inter"/>
                      <w:b/>
                      <w:bCs/>
                    </w:rPr>
                    <w:t>Better guidance</w:t>
                  </w:r>
                </w:p>
              </w:tc>
              <w:tc>
                <w:tcPr>
                  <w:tcW w:w="6939" w:type="dxa"/>
                  <w:tcBorders>
                    <w:top w:val="single" w:sz="8" w:space="0" w:color="auto"/>
                    <w:bottom w:val="single" w:sz="8" w:space="0" w:color="auto"/>
                  </w:tcBorders>
                </w:tcPr>
                <w:p w14:paraId="75A95156" w14:textId="77777777" w:rsidR="00C179EC" w:rsidRDefault="00C179EC">
                  <w:pPr>
                    <w:pStyle w:val="ListParagraph"/>
                    <w:numPr>
                      <w:ilvl w:val="0"/>
                      <w:numId w:val="57"/>
                    </w:numPr>
                    <w:tabs>
                      <w:tab w:val="clear" w:pos="720"/>
                      <w:tab w:val="num" w:pos="284"/>
                    </w:tabs>
                    <w:spacing w:before="120" w:after="120"/>
                    <w:ind w:left="284" w:hanging="284"/>
                    <w:rPr>
                      <w:rFonts w:ascii="Inter" w:hAnsi="Inter"/>
                    </w:rPr>
                  </w:pPr>
                  <w:r>
                    <w:rPr>
                      <w:rFonts w:ascii="Inter" w:hAnsi="Inter"/>
                    </w:rPr>
                    <w:t>No post-publication corrects to guidelines in April – May.</w:t>
                  </w:r>
                </w:p>
                <w:p w14:paraId="7BA254DD" w14:textId="77777777" w:rsidR="00C179EC" w:rsidRPr="00DE571D" w:rsidRDefault="00C179EC">
                  <w:pPr>
                    <w:pStyle w:val="ListParagraph"/>
                    <w:numPr>
                      <w:ilvl w:val="0"/>
                      <w:numId w:val="57"/>
                    </w:numPr>
                    <w:tabs>
                      <w:tab w:val="clear" w:pos="720"/>
                      <w:tab w:val="num" w:pos="284"/>
                    </w:tabs>
                    <w:spacing w:before="120" w:after="120"/>
                    <w:ind w:left="284" w:hanging="284"/>
                    <w:rPr>
                      <w:rFonts w:ascii="Inter" w:hAnsi="Inter"/>
                    </w:rPr>
                  </w:pPr>
                  <w:r>
                    <w:rPr>
                      <w:rFonts w:ascii="Inter" w:hAnsi="Inter"/>
                    </w:rPr>
                    <w:t>G</w:t>
                  </w:r>
                  <w:r w:rsidRPr="000639B0">
                    <w:rPr>
                      <w:rFonts w:ascii="Inter" w:hAnsi="Inter"/>
                    </w:rPr>
                    <w:t>uidance outputs continue to support faster access and improved outcomes</w:t>
                  </w:r>
                  <w:r>
                    <w:rPr>
                      <w:rFonts w:ascii="Inter" w:hAnsi="Inter"/>
                    </w:rPr>
                    <w:t xml:space="preserve"> (see section 2 for details)</w:t>
                  </w:r>
                </w:p>
              </w:tc>
            </w:tr>
            <w:tr w:rsidR="00C179EC" w14:paraId="654F90F6" w14:textId="77777777" w:rsidTr="000901A9">
              <w:tc>
                <w:tcPr>
                  <w:tcW w:w="1867" w:type="dxa"/>
                  <w:tcBorders>
                    <w:top w:val="single" w:sz="8" w:space="0" w:color="auto"/>
                    <w:bottom w:val="single" w:sz="8" w:space="0" w:color="auto"/>
                  </w:tcBorders>
                </w:tcPr>
                <w:p w14:paraId="66F807BF" w14:textId="77777777" w:rsidR="00C179EC" w:rsidRPr="00D01EA7" w:rsidRDefault="00C179EC">
                  <w:pPr>
                    <w:spacing w:before="120" w:after="120"/>
                    <w:rPr>
                      <w:rFonts w:ascii="Inter" w:hAnsi="Inter"/>
                      <w:b/>
                      <w:bCs/>
                    </w:rPr>
                  </w:pPr>
                  <w:r w:rsidRPr="00D01EA7">
                    <w:rPr>
                      <w:rFonts w:ascii="Inter" w:hAnsi="Inter"/>
                      <w:b/>
                      <w:bCs/>
                    </w:rPr>
                    <w:t>Faster access</w:t>
                  </w:r>
                </w:p>
              </w:tc>
              <w:tc>
                <w:tcPr>
                  <w:tcW w:w="6939" w:type="dxa"/>
                  <w:tcBorders>
                    <w:top w:val="single" w:sz="8" w:space="0" w:color="auto"/>
                    <w:bottom w:val="single" w:sz="8" w:space="0" w:color="auto"/>
                  </w:tcBorders>
                </w:tcPr>
                <w:p w14:paraId="544E0D71" w14:textId="77777777" w:rsidR="00C179EC" w:rsidRDefault="00C179EC">
                  <w:pPr>
                    <w:pStyle w:val="ListParagraph"/>
                    <w:numPr>
                      <w:ilvl w:val="0"/>
                      <w:numId w:val="57"/>
                    </w:numPr>
                    <w:tabs>
                      <w:tab w:val="clear" w:pos="720"/>
                      <w:tab w:val="num" w:pos="284"/>
                    </w:tabs>
                    <w:spacing w:before="120" w:after="120" w:line="240" w:lineRule="auto"/>
                    <w:ind w:left="284" w:hanging="284"/>
                    <w:rPr>
                      <w:rFonts w:ascii="Inter" w:hAnsi="Inter"/>
                    </w:rPr>
                  </w:pPr>
                  <w:r>
                    <w:rPr>
                      <w:rFonts w:ascii="Inter" w:hAnsi="Inter"/>
                    </w:rPr>
                    <w:t>Guidelines and HealthTech on track to meet timeline targets</w:t>
                  </w:r>
                </w:p>
                <w:p w14:paraId="516686D6" w14:textId="77777777" w:rsidR="00C179EC" w:rsidRPr="00DE571D" w:rsidRDefault="00C179EC">
                  <w:pPr>
                    <w:pStyle w:val="ListParagraph"/>
                    <w:numPr>
                      <w:ilvl w:val="0"/>
                      <w:numId w:val="57"/>
                    </w:numPr>
                    <w:tabs>
                      <w:tab w:val="clear" w:pos="720"/>
                      <w:tab w:val="num" w:pos="284"/>
                    </w:tabs>
                    <w:spacing w:before="120" w:after="120" w:line="240" w:lineRule="auto"/>
                    <w:ind w:left="284" w:hanging="284"/>
                    <w:rPr>
                      <w:rFonts w:ascii="Inter" w:hAnsi="Inter"/>
                    </w:rPr>
                  </w:pPr>
                  <w:r>
                    <w:rPr>
                      <w:rFonts w:ascii="Inter" w:hAnsi="Inter"/>
                    </w:rPr>
                    <w:t>Medicines evaluation timeline targets missed for April to May but expected to recover and meet annual target.</w:t>
                  </w:r>
                </w:p>
              </w:tc>
            </w:tr>
            <w:tr w:rsidR="00C179EC" w14:paraId="57FAE4E8" w14:textId="77777777" w:rsidTr="000901A9">
              <w:tc>
                <w:tcPr>
                  <w:tcW w:w="1867" w:type="dxa"/>
                  <w:tcBorders>
                    <w:top w:val="single" w:sz="8" w:space="0" w:color="auto"/>
                  </w:tcBorders>
                </w:tcPr>
                <w:p w14:paraId="387929AD" w14:textId="77777777" w:rsidR="00C179EC" w:rsidRPr="00D01EA7" w:rsidRDefault="00C179EC">
                  <w:pPr>
                    <w:spacing w:before="120" w:after="120"/>
                    <w:rPr>
                      <w:rFonts w:ascii="Inter" w:hAnsi="Inter"/>
                      <w:b/>
                      <w:bCs/>
                    </w:rPr>
                  </w:pPr>
                  <w:r w:rsidRPr="00D01EA7">
                    <w:rPr>
                      <w:rFonts w:ascii="Inter" w:hAnsi="Inter"/>
                      <w:b/>
                      <w:bCs/>
                    </w:rPr>
                    <w:t>Stronger NICE</w:t>
                  </w:r>
                </w:p>
              </w:tc>
              <w:tc>
                <w:tcPr>
                  <w:tcW w:w="6939" w:type="dxa"/>
                  <w:tcBorders>
                    <w:top w:val="single" w:sz="8" w:space="0" w:color="auto"/>
                  </w:tcBorders>
                </w:tcPr>
                <w:p w14:paraId="1B409270" w14:textId="77777777" w:rsidR="00C179EC" w:rsidRDefault="00C179EC">
                  <w:pPr>
                    <w:pStyle w:val="ListParagraph"/>
                    <w:numPr>
                      <w:ilvl w:val="0"/>
                      <w:numId w:val="57"/>
                    </w:numPr>
                    <w:tabs>
                      <w:tab w:val="clear" w:pos="720"/>
                      <w:tab w:val="num" w:pos="284"/>
                    </w:tabs>
                    <w:spacing w:before="120" w:after="120" w:line="240" w:lineRule="auto"/>
                    <w:ind w:left="284" w:hanging="284"/>
                    <w:rPr>
                      <w:rFonts w:ascii="Inter" w:hAnsi="Inter"/>
                    </w:rPr>
                  </w:pPr>
                  <w:r>
                    <w:rPr>
                      <w:rFonts w:ascii="Inter" w:hAnsi="Inter"/>
                    </w:rPr>
                    <w:t>No c</w:t>
                  </w:r>
                  <w:r w:rsidRPr="00D3210F">
                    <w:rPr>
                      <w:rFonts w:ascii="Inter" w:hAnsi="Inter"/>
                    </w:rPr>
                    <w:t xml:space="preserve">onfidentiality </w:t>
                  </w:r>
                  <w:r>
                    <w:rPr>
                      <w:rFonts w:ascii="Inter" w:hAnsi="Inter"/>
                    </w:rPr>
                    <w:t>breaches reported in April or May.</w:t>
                  </w:r>
                </w:p>
                <w:p w14:paraId="173E9C32" w14:textId="77777777" w:rsidR="00C179EC" w:rsidRPr="00DE571D" w:rsidRDefault="00C179EC">
                  <w:pPr>
                    <w:pStyle w:val="ListParagraph"/>
                    <w:numPr>
                      <w:ilvl w:val="0"/>
                      <w:numId w:val="57"/>
                    </w:numPr>
                    <w:tabs>
                      <w:tab w:val="clear" w:pos="720"/>
                      <w:tab w:val="num" w:pos="284"/>
                    </w:tabs>
                    <w:spacing w:before="120" w:after="120" w:line="240" w:lineRule="auto"/>
                    <w:ind w:left="284" w:hanging="284"/>
                    <w:rPr>
                      <w:rFonts w:ascii="Inter" w:hAnsi="Inter"/>
                    </w:rPr>
                  </w:pPr>
                  <w:r w:rsidRPr="00DE571D">
                    <w:rPr>
                      <w:rFonts w:ascii="Inter" w:hAnsi="Inter"/>
                    </w:rPr>
                    <w:t>Finance and cyber resilience KPIs are amber</w:t>
                  </w:r>
                </w:p>
              </w:tc>
            </w:tr>
          </w:tbl>
          <w:p w14:paraId="29521379" w14:textId="77777777" w:rsidR="00C179EC" w:rsidRPr="008E43E0" w:rsidRDefault="00C179EC">
            <w:pPr>
              <w:rPr>
                <w:rFonts w:ascii="Inter" w:hAnsi="Inter"/>
              </w:rPr>
            </w:pPr>
          </w:p>
        </w:tc>
        <w:tc>
          <w:tcPr>
            <w:tcW w:w="5989" w:type="dxa"/>
            <w:shd w:val="clear" w:color="auto" w:fill="F7F4F1"/>
            <w:vAlign w:val="center"/>
          </w:tcPr>
          <w:p w14:paraId="4CC1D875" w14:textId="432D1748" w:rsidR="00C179EC" w:rsidRDefault="004D6F53" w:rsidP="00D01EA7">
            <w:pPr>
              <w:spacing w:after="0" w:line="240" w:lineRule="auto"/>
              <w:jc w:val="center"/>
              <w:rPr>
                <w:b/>
                <w:bCs/>
              </w:rPr>
            </w:pPr>
            <w:r>
              <w:rPr>
                <w:b/>
                <w:bCs/>
                <w:noProof/>
              </w:rPr>
              <w:drawing>
                <wp:inline distT="0" distB="0" distL="0" distR="0" wp14:anchorId="03B3B5B2" wp14:editId="1129BA0C">
                  <wp:extent cx="3784407" cy="2161691"/>
                  <wp:effectExtent l="0" t="0" r="6985" b="0"/>
                  <wp:docPr id="1894734039" name="Picture 2" descr="Bar chart showing the number of KPIs rated red, amber and green, grouped into the three strategic aims. &#10;Full data provided at Appendix A, 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34039" name="Picture 2" descr="Bar chart showing the number of KPIs rated red, amber and green, grouped into the three strategic aims. &#10;Full data provided at Appendix A, tabl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2779" cy="2177898"/>
                          </a:xfrm>
                          <a:prstGeom prst="rect">
                            <a:avLst/>
                          </a:prstGeom>
                          <a:noFill/>
                        </pic:spPr>
                      </pic:pic>
                    </a:graphicData>
                  </a:graphic>
                </wp:inline>
              </w:drawing>
            </w:r>
          </w:p>
        </w:tc>
      </w:tr>
    </w:tbl>
    <w:p w14:paraId="54DCEF98" w14:textId="77777777" w:rsidR="003269C3" w:rsidRPr="00B64192" w:rsidRDefault="003269C3" w:rsidP="00202903">
      <w:pPr>
        <w:spacing w:after="0"/>
        <w:rPr>
          <w:rFonts w:ascii="Inter" w:hAnsi="Inter"/>
          <w:sz w:val="12"/>
          <w:szCs w:val="12"/>
        </w:rPr>
      </w:pPr>
    </w:p>
    <w:tbl>
      <w:tblPr>
        <w:tblStyle w:val="TableGrid"/>
        <w:tblW w:w="1501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525"/>
        <w:gridCol w:w="2422"/>
        <w:gridCol w:w="2629"/>
        <w:gridCol w:w="2332"/>
        <w:gridCol w:w="2719"/>
        <w:gridCol w:w="2384"/>
      </w:tblGrid>
      <w:tr w:rsidR="003269C3" w14:paraId="643AB2E7" w14:textId="77777777" w:rsidTr="000901A9">
        <w:trPr>
          <w:trHeight w:val="415"/>
        </w:trPr>
        <w:tc>
          <w:tcPr>
            <w:tcW w:w="2525" w:type="dxa"/>
            <w:shd w:val="clear" w:color="auto" w:fill="F7F4F1"/>
            <w:vAlign w:val="center"/>
          </w:tcPr>
          <w:p w14:paraId="6B727CA9" w14:textId="12EC52A4" w:rsidR="003269C3" w:rsidRPr="00D01EA7" w:rsidRDefault="003269C3" w:rsidP="00D01EA7">
            <w:pPr>
              <w:pStyle w:val="Heading3"/>
              <w:spacing w:before="120" w:after="120" w:line="240" w:lineRule="auto"/>
              <w:rPr>
                <w:sz w:val="22"/>
                <w:szCs w:val="22"/>
              </w:rPr>
            </w:pPr>
            <w:r w:rsidRPr="00E63E91">
              <w:t>Corporate projects</w:t>
            </w:r>
            <w:r w:rsidRPr="00D01EA7">
              <w:t>:</w:t>
            </w:r>
          </w:p>
        </w:tc>
        <w:tc>
          <w:tcPr>
            <w:tcW w:w="2422" w:type="dxa"/>
            <w:shd w:val="clear" w:color="auto" w:fill="CDE3DA"/>
            <w:vAlign w:val="center"/>
          </w:tcPr>
          <w:p w14:paraId="2225418E" w14:textId="77777777" w:rsidR="003269C3" w:rsidRPr="009D156B" w:rsidRDefault="003269C3" w:rsidP="009D156B">
            <w:pPr>
              <w:pStyle w:val="NormalWeb"/>
              <w:spacing w:before="0" w:beforeAutospacing="0" w:after="0" w:afterAutospacing="0"/>
              <w:jc w:val="center"/>
              <w:rPr>
                <w:rFonts w:ascii="Inter" w:hAnsi="Inter" w:cs="Segoe UI"/>
                <w:bCs/>
                <w:sz w:val="22"/>
                <w:szCs w:val="22"/>
              </w:rPr>
            </w:pPr>
            <w:r w:rsidRPr="009D156B">
              <w:rPr>
                <w:rFonts w:ascii="Inter" w:hAnsi="Inter" w:cs="Segoe UI"/>
                <w:bCs/>
                <w:sz w:val="22"/>
                <w:szCs w:val="22"/>
              </w:rPr>
              <w:t>Whole lifecycle approach (G)</w:t>
            </w:r>
          </w:p>
        </w:tc>
        <w:tc>
          <w:tcPr>
            <w:tcW w:w="2629" w:type="dxa"/>
            <w:shd w:val="clear" w:color="auto" w:fill="CDE3DA"/>
            <w:vAlign w:val="center"/>
          </w:tcPr>
          <w:p w14:paraId="0A509644" w14:textId="77777777" w:rsidR="003269C3" w:rsidRPr="009D156B" w:rsidRDefault="003269C3" w:rsidP="009D156B">
            <w:pPr>
              <w:pStyle w:val="NormalWeb"/>
              <w:spacing w:before="0" w:beforeAutospacing="0" w:after="0" w:afterAutospacing="0"/>
              <w:jc w:val="center"/>
              <w:rPr>
                <w:rFonts w:ascii="Inter" w:hAnsi="Inter" w:cs="Segoe UI"/>
                <w:bCs/>
                <w:sz w:val="22"/>
                <w:szCs w:val="22"/>
              </w:rPr>
            </w:pPr>
            <w:r w:rsidRPr="009D156B">
              <w:rPr>
                <w:rFonts w:ascii="Inter" w:hAnsi="Inter" w:cs="Segoe UI"/>
                <w:bCs/>
                <w:sz w:val="22"/>
                <w:szCs w:val="22"/>
              </w:rPr>
              <w:t>Planning and scheduling management (G)</w:t>
            </w:r>
          </w:p>
        </w:tc>
        <w:tc>
          <w:tcPr>
            <w:tcW w:w="2332" w:type="dxa"/>
            <w:shd w:val="clear" w:color="auto" w:fill="F4E8AA"/>
            <w:vAlign w:val="center"/>
          </w:tcPr>
          <w:p w14:paraId="50A17296" w14:textId="77777777" w:rsidR="003269C3" w:rsidRPr="009D156B" w:rsidRDefault="003269C3" w:rsidP="009D156B">
            <w:pPr>
              <w:pStyle w:val="NormalWeb"/>
              <w:spacing w:before="0" w:beforeAutospacing="0" w:after="0" w:afterAutospacing="0"/>
              <w:jc w:val="center"/>
              <w:rPr>
                <w:rFonts w:ascii="Inter" w:hAnsi="Inter" w:cs="Segoe UI"/>
                <w:bCs/>
                <w:sz w:val="22"/>
                <w:szCs w:val="22"/>
              </w:rPr>
            </w:pPr>
            <w:r w:rsidRPr="009D156B">
              <w:rPr>
                <w:rFonts w:ascii="Inter" w:hAnsi="Inter" w:cs="Segoe UI"/>
                <w:bCs/>
                <w:sz w:val="22"/>
                <w:szCs w:val="22"/>
              </w:rPr>
              <w:t>Knowledge transformation (A)</w:t>
            </w:r>
          </w:p>
        </w:tc>
        <w:tc>
          <w:tcPr>
            <w:tcW w:w="2719" w:type="dxa"/>
            <w:shd w:val="clear" w:color="auto" w:fill="CDE3DA"/>
            <w:vAlign w:val="center"/>
          </w:tcPr>
          <w:p w14:paraId="5CB5D40F" w14:textId="77777777" w:rsidR="003269C3" w:rsidRPr="009D156B" w:rsidRDefault="003269C3" w:rsidP="009D156B">
            <w:pPr>
              <w:pStyle w:val="NormalWeb"/>
              <w:spacing w:before="0" w:beforeAutospacing="0" w:after="0" w:afterAutospacing="0"/>
              <w:jc w:val="center"/>
              <w:rPr>
                <w:rFonts w:ascii="Inter" w:hAnsi="Inter" w:cs="Segoe UI"/>
                <w:bCs/>
                <w:sz w:val="22"/>
                <w:szCs w:val="22"/>
              </w:rPr>
            </w:pPr>
            <w:r w:rsidRPr="009D156B">
              <w:rPr>
                <w:rFonts w:ascii="Inter" w:hAnsi="Inter" w:cs="Segoe UI"/>
                <w:bCs/>
                <w:sz w:val="22"/>
                <w:szCs w:val="22"/>
              </w:rPr>
              <w:t>Artificial intelligence and data (G)</w:t>
            </w:r>
          </w:p>
        </w:tc>
        <w:tc>
          <w:tcPr>
            <w:tcW w:w="2384" w:type="dxa"/>
            <w:shd w:val="clear" w:color="auto" w:fill="CDE3DA"/>
            <w:vAlign w:val="center"/>
          </w:tcPr>
          <w:p w14:paraId="46952F0C" w14:textId="77777777" w:rsidR="003269C3" w:rsidRPr="009D156B" w:rsidRDefault="003269C3" w:rsidP="009D156B">
            <w:pPr>
              <w:pStyle w:val="NormalWeb"/>
              <w:spacing w:before="0" w:beforeAutospacing="0" w:after="0" w:afterAutospacing="0"/>
              <w:jc w:val="center"/>
              <w:rPr>
                <w:rFonts w:ascii="Inter" w:hAnsi="Inter" w:cs="Segoe UI"/>
                <w:bCs/>
                <w:sz w:val="22"/>
                <w:szCs w:val="22"/>
              </w:rPr>
            </w:pPr>
            <w:r w:rsidRPr="009D156B">
              <w:rPr>
                <w:rFonts w:ascii="Inter" w:hAnsi="Inter" w:cs="Segoe UI"/>
                <w:bCs/>
                <w:sz w:val="22"/>
                <w:szCs w:val="22"/>
              </w:rPr>
              <w:t>National HealthTech Access programme (G)</w:t>
            </w:r>
          </w:p>
        </w:tc>
      </w:tr>
      <w:tr w:rsidR="003269C3" w:rsidRPr="004D2403" w14:paraId="7108B242" w14:textId="77777777" w:rsidTr="000901A9">
        <w:trPr>
          <w:trHeight w:val="64"/>
        </w:trPr>
        <w:tc>
          <w:tcPr>
            <w:tcW w:w="2525" w:type="dxa"/>
            <w:shd w:val="clear" w:color="auto" w:fill="CDE3DA"/>
            <w:vAlign w:val="center"/>
          </w:tcPr>
          <w:p w14:paraId="3AEE3610" w14:textId="77777777" w:rsidR="003269C3" w:rsidRPr="009D156B" w:rsidRDefault="003269C3" w:rsidP="009D156B">
            <w:pPr>
              <w:pStyle w:val="NormalWeb"/>
              <w:spacing w:before="0" w:beforeAutospacing="0" w:after="0" w:afterAutospacing="0"/>
              <w:jc w:val="center"/>
              <w:rPr>
                <w:rFonts w:ascii="Inter" w:hAnsi="Inter" w:cs="Segoe UI"/>
                <w:bCs/>
                <w:sz w:val="22"/>
                <w:szCs w:val="22"/>
              </w:rPr>
            </w:pPr>
            <w:r w:rsidRPr="009D156B">
              <w:rPr>
                <w:rFonts w:ascii="Inter" w:hAnsi="Inter" w:cs="Segoe UI"/>
                <w:bCs/>
                <w:sz w:val="22"/>
                <w:szCs w:val="22"/>
              </w:rPr>
              <w:t>MHRA aligned pathway (G)</w:t>
            </w:r>
          </w:p>
        </w:tc>
        <w:tc>
          <w:tcPr>
            <w:tcW w:w="2422" w:type="dxa"/>
            <w:shd w:val="clear" w:color="auto" w:fill="CDE3DA"/>
            <w:vAlign w:val="center"/>
          </w:tcPr>
          <w:p w14:paraId="5F9CDE19" w14:textId="77777777" w:rsidR="003269C3" w:rsidRPr="009D156B" w:rsidRDefault="003269C3" w:rsidP="009D156B">
            <w:pPr>
              <w:pStyle w:val="NormalWeb"/>
              <w:spacing w:before="0" w:beforeAutospacing="0" w:after="0" w:afterAutospacing="0"/>
              <w:jc w:val="center"/>
              <w:rPr>
                <w:rFonts w:ascii="Inter" w:hAnsi="Inter" w:cs="Segoe UI"/>
                <w:bCs/>
                <w:sz w:val="22"/>
                <w:szCs w:val="22"/>
              </w:rPr>
            </w:pPr>
            <w:r w:rsidRPr="009D156B">
              <w:rPr>
                <w:rFonts w:ascii="Inter" w:hAnsi="Inter" w:cs="Segoe UI"/>
                <w:bCs/>
                <w:sz w:val="22"/>
                <w:szCs w:val="22"/>
              </w:rPr>
              <w:t>Common commercial approach (G)</w:t>
            </w:r>
          </w:p>
        </w:tc>
        <w:tc>
          <w:tcPr>
            <w:tcW w:w="2629" w:type="dxa"/>
            <w:shd w:val="clear" w:color="auto" w:fill="CDE3DA"/>
            <w:vAlign w:val="center"/>
          </w:tcPr>
          <w:p w14:paraId="20016091" w14:textId="77777777" w:rsidR="003269C3" w:rsidRPr="009D156B" w:rsidRDefault="003269C3" w:rsidP="009D156B">
            <w:pPr>
              <w:pStyle w:val="NormalWeb"/>
              <w:spacing w:before="0" w:beforeAutospacing="0" w:after="0" w:afterAutospacing="0"/>
              <w:jc w:val="center"/>
              <w:rPr>
                <w:rFonts w:ascii="Inter" w:hAnsi="Inter" w:cs="Segoe UI"/>
                <w:bCs/>
                <w:sz w:val="22"/>
                <w:szCs w:val="22"/>
              </w:rPr>
            </w:pPr>
            <w:r w:rsidRPr="009D156B">
              <w:rPr>
                <w:rFonts w:ascii="Inter" w:hAnsi="Inter" w:cs="Segoe UI"/>
                <w:bCs/>
                <w:sz w:val="22"/>
                <w:szCs w:val="22"/>
              </w:rPr>
              <w:t>NICE methods manual (G)</w:t>
            </w:r>
          </w:p>
        </w:tc>
        <w:tc>
          <w:tcPr>
            <w:tcW w:w="2332" w:type="dxa"/>
            <w:shd w:val="clear" w:color="auto" w:fill="CDE3DA"/>
            <w:vAlign w:val="center"/>
          </w:tcPr>
          <w:p w14:paraId="6FE25B56" w14:textId="77777777" w:rsidR="003269C3" w:rsidRPr="009D156B" w:rsidRDefault="003269C3" w:rsidP="009D156B">
            <w:pPr>
              <w:pStyle w:val="NormalWeb"/>
              <w:spacing w:before="0" w:beforeAutospacing="0" w:after="0" w:afterAutospacing="0"/>
              <w:jc w:val="center"/>
              <w:rPr>
                <w:rFonts w:ascii="Inter" w:hAnsi="Inter" w:cs="Segoe UI"/>
                <w:bCs/>
                <w:sz w:val="22"/>
                <w:szCs w:val="22"/>
              </w:rPr>
            </w:pPr>
            <w:r w:rsidRPr="009D156B">
              <w:rPr>
                <w:rFonts w:ascii="Inter" w:hAnsi="Inter" w:cs="Segoe UI"/>
                <w:bCs/>
                <w:sz w:val="22"/>
                <w:szCs w:val="22"/>
              </w:rPr>
              <w:t>Quality and safety</w:t>
            </w:r>
          </w:p>
          <w:p w14:paraId="59D6E914" w14:textId="77777777" w:rsidR="003269C3" w:rsidRPr="009D156B" w:rsidRDefault="003269C3" w:rsidP="009D156B">
            <w:pPr>
              <w:pStyle w:val="NormalWeb"/>
              <w:spacing w:before="0" w:beforeAutospacing="0" w:after="0" w:afterAutospacing="0"/>
              <w:jc w:val="center"/>
              <w:rPr>
                <w:rFonts w:ascii="Inter" w:hAnsi="Inter" w:cs="Segoe UI"/>
                <w:bCs/>
                <w:sz w:val="22"/>
                <w:szCs w:val="22"/>
              </w:rPr>
            </w:pPr>
            <w:r w:rsidRPr="009D156B">
              <w:rPr>
                <w:rFonts w:ascii="Inter" w:hAnsi="Inter" w:cs="Segoe UI"/>
                <w:bCs/>
                <w:sz w:val="22"/>
                <w:szCs w:val="22"/>
              </w:rPr>
              <w:t>(G)</w:t>
            </w:r>
          </w:p>
        </w:tc>
        <w:tc>
          <w:tcPr>
            <w:tcW w:w="2719" w:type="dxa"/>
            <w:shd w:val="clear" w:color="auto" w:fill="CDE3DA"/>
            <w:vAlign w:val="center"/>
          </w:tcPr>
          <w:p w14:paraId="24B88167" w14:textId="77777777" w:rsidR="003269C3" w:rsidRPr="009D156B" w:rsidRDefault="003269C3" w:rsidP="009D156B">
            <w:pPr>
              <w:pStyle w:val="NormalWeb"/>
              <w:spacing w:before="0" w:beforeAutospacing="0" w:after="0" w:afterAutospacing="0"/>
              <w:jc w:val="center"/>
              <w:rPr>
                <w:rFonts w:ascii="Inter" w:hAnsi="Inter" w:cs="Segoe UI"/>
                <w:bCs/>
                <w:sz w:val="22"/>
                <w:szCs w:val="22"/>
              </w:rPr>
            </w:pPr>
            <w:r w:rsidRPr="009D156B">
              <w:rPr>
                <w:rFonts w:ascii="Inter" w:hAnsi="Inter" w:cs="Segoe UI"/>
                <w:bCs/>
                <w:sz w:val="22"/>
                <w:szCs w:val="22"/>
              </w:rPr>
              <w:t>Future ready leadership and culture programme (G)</w:t>
            </w:r>
          </w:p>
        </w:tc>
        <w:tc>
          <w:tcPr>
            <w:tcW w:w="2384" w:type="dxa"/>
            <w:shd w:val="clear" w:color="auto" w:fill="CDE3DA"/>
            <w:vAlign w:val="center"/>
          </w:tcPr>
          <w:p w14:paraId="55491DCA" w14:textId="77777777" w:rsidR="003269C3" w:rsidRPr="009D156B" w:rsidRDefault="003269C3" w:rsidP="009D156B">
            <w:pPr>
              <w:pStyle w:val="NormalWeb"/>
              <w:spacing w:before="0" w:beforeAutospacing="0" w:after="0" w:afterAutospacing="0"/>
              <w:jc w:val="center"/>
              <w:rPr>
                <w:rFonts w:ascii="Inter" w:hAnsi="Inter" w:cs="Segoe UI"/>
                <w:bCs/>
                <w:sz w:val="22"/>
                <w:szCs w:val="22"/>
              </w:rPr>
            </w:pPr>
            <w:r w:rsidRPr="009D156B">
              <w:rPr>
                <w:rFonts w:ascii="Inter" w:hAnsi="Inter" w:cs="Segoe UI"/>
                <w:bCs/>
                <w:sz w:val="22"/>
                <w:szCs w:val="22"/>
              </w:rPr>
              <w:t>Communications (G)</w:t>
            </w:r>
          </w:p>
        </w:tc>
      </w:tr>
    </w:tbl>
    <w:p w14:paraId="66343A55" w14:textId="0F0343E0" w:rsidR="00F770F3" w:rsidRDefault="001D64A9" w:rsidP="00F770F3">
      <w:pPr>
        <w:spacing w:before="160" w:after="0"/>
        <w:rPr>
          <w:rFonts w:ascii="Inter" w:eastAsia="MS Mincho" w:hAnsi="Inter" w:cs="Times New Roman"/>
        </w:rPr>
      </w:pPr>
      <w:r>
        <w:rPr>
          <w:rFonts w:ascii="Inter" w:eastAsia="MS Mincho" w:hAnsi="Inter" w:cs="Times New Roman"/>
        </w:rPr>
        <w:t xml:space="preserve">Note: </w:t>
      </w:r>
      <w:r w:rsidR="00B64192">
        <w:rPr>
          <w:rFonts w:ascii="Inter" w:eastAsia="MS Mincho" w:hAnsi="Inter" w:cs="Times New Roman"/>
        </w:rPr>
        <w:t xml:space="preserve">Project </w:t>
      </w:r>
      <w:r w:rsidR="00BD3017">
        <w:rPr>
          <w:rFonts w:ascii="Inter" w:eastAsia="MS Mincho" w:hAnsi="Inter" w:cs="Times New Roman"/>
        </w:rPr>
        <w:t xml:space="preserve">RAG status </w:t>
      </w:r>
      <w:r w:rsidRPr="001D64A9">
        <w:rPr>
          <w:rFonts w:ascii="Inter" w:eastAsia="MS Mincho" w:hAnsi="Inter" w:cs="Times New Roman"/>
        </w:rPr>
        <w:t xml:space="preserve">takes account of the </w:t>
      </w:r>
      <w:r w:rsidR="00F770F3">
        <w:rPr>
          <w:rFonts w:ascii="Inter" w:eastAsia="MS Mincho" w:hAnsi="Inter" w:cs="Times New Roman"/>
        </w:rPr>
        <w:t xml:space="preserve">progress, </w:t>
      </w:r>
      <w:r w:rsidRPr="001D64A9">
        <w:rPr>
          <w:rFonts w:ascii="Inter" w:eastAsia="MS Mincho" w:hAnsi="Inter" w:cs="Times New Roman"/>
        </w:rPr>
        <w:t>milestones and risks</w:t>
      </w:r>
      <w:r w:rsidR="00F770F3">
        <w:rPr>
          <w:rFonts w:ascii="Inter" w:eastAsia="MS Mincho" w:hAnsi="Inter" w:cs="Times New Roman"/>
        </w:rPr>
        <w:br w:type="page"/>
      </w:r>
    </w:p>
    <w:p w14:paraId="50EDE2C7" w14:textId="49EAC388" w:rsidR="00517723" w:rsidRPr="00517723" w:rsidRDefault="000437DF" w:rsidP="00517723">
      <w:pPr>
        <w:pStyle w:val="Heading1"/>
        <w:ind w:left="426" w:hanging="426"/>
      </w:pPr>
      <w:bookmarkStart w:id="2" w:name="_Toc234391363"/>
      <w:r>
        <w:t>Key guidance</w:t>
      </w:r>
      <w:bookmarkEnd w:id="2"/>
    </w:p>
    <w:p w14:paraId="053EE7E1" w14:textId="0D2D1669" w:rsidR="008A55B7" w:rsidRPr="00066204" w:rsidRDefault="00C22195" w:rsidP="000901A9">
      <w:pPr>
        <w:spacing w:before="360" w:after="360"/>
        <w:rPr>
          <w:rFonts w:ascii="Inter" w:hAnsi="Inter"/>
        </w:rPr>
      </w:pPr>
      <w:r w:rsidRPr="00066204">
        <w:rPr>
          <w:rFonts w:ascii="Inter" w:hAnsi="Inter"/>
        </w:rPr>
        <w:t>Since the last board meeting, we have published several notable pieces of guidance that support faster access to innovative treatments, better outcomes for patients and more flexible care for families.</w:t>
      </w:r>
    </w:p>
    <w:p w14:paraId="5634E577" w14:textId="77777777" w:rsidR="00C22195" w:rsidRPr="00066204" w:rsidRDefault="00C22195" w:rsidP="000901A9">
      <w:pPr>
        <w:pStyle w:val="ListParagraph"/>
        <w:numPr>
          <w:ilvl w:val="0"/>
          <w:numId w:val="40"/>
        </w:numPr>
        <w:spacing w:before="360" w:after="360"/>
        <w:ind w:left="425" w:hanging="425"/>
        <w:contextualSpacing w:val="0"/>
        <w:rPr>
          <w:rFonts w:ascii="Inter" w:hAnsi="Inter"/>
        </w:rPr>
      </w:pPr>
      <w:r w:rsidRPr="00066204">
        <w:rPr>
          <w:rFonts w:ascii="Inter" w:hAnsi="Inter"/>
        </w:rPr>
        <w:t>We have issued new draft guidance recommending pregnancy-specific artificial pancreas technology for women with type 1 diabetes who are pregnant or planning a pregnancy, helping them maintain safer blood sugar levels for themselves and their baby.</w:t>
      </w:r>
    </w:p>
    <w:p w14:paraId="500DED18" w14:textId="69269DB8" w:rsidR="00610F13" w:rsidRPr="00066204" w:rsidRDefault="00610F13" w:rsidP="000901A9">
      <w:pPr>
        <w:pStyle w:val="ListParagraph"/>
        <w:numPr>
          <w:ilvl w:val="0"/>
          <w:numId w:val="40"/>
        </w:numPr>
        <w:spacing w:before="360" w:after="360"/>
        <w:ind w:left="425" w:hanging="425"/>
        <w:contextualSpacing w:val="0"/>
        <w:rPr>
          <w:rFonts w:ascii="Inter" w:hAnsi="Inter"/>
        </w:rPr>
      </w:pPr>
      <w:r w:rsidRPr="00066204">
        <w:rPr>
          <w:rFonts w:ascii="Inter" w:hAnsi="Inter"/>
        </w:rPr>
        <w:t>Our updated neonatal infection guidance could allow up to 12,000 babies a year to complete antibiotic treatment at home, where it is safe to do so, helping families leave hospital sooner while staying under neonatal team supervision.</w:t>
      </w:r>
    </w:p>
    <w:p w14:paraId="0A3E46AF" w14:textId="2B073F23" w:rsidR="00C22195" w:rsidRPr="00066204" w:rsidRDefault="00C22195" w:rsidP="000901A9">
      <w:pPr>
        <w:pStyle w:val="ListParagraph"/>
        <w:numPr>
          <w:ilvl w:val="0"/>
          <w:numId w:val="40"/>
        </w:numPr>
        <w:spacing w:before="360" w:after="360"/>
        <w:ind w:left="425" w:hanging="425"/>
        <w:contextualSpacing w:val="0"/>
        <w:rPr>
          <w:rFonts w:ascii="Inter" w:hAnsi="Inter"/>
        </w:rPr>
      </w:pPr>
      <w:r w:rsidRPr="00066204">
        <w:rPr>
          <w:rFonts w:ascii="Inter" w:hAnsi="Inter"/>
        </w:rPr>
        <w:t xml:space="preserve">We have recommended </w:t>
      </w:r>
      <w:proofErr w:type="spellStart"/>
      <w:r w:rsidRPr="00066204">
        <w:rPr>
          <w:rFonts w:ascii="Inter" w:hAnsi="Inter"/>
        </w:rPr>
        <w:t>mirvetuximab</w:t>
      </w:r>
      <w:proofErr w:type="spellEnd"/>
      <w:r w:rsidRPr="00066204">
        <w:rPr>
          <w:rFonts w:ascii="Inter" w:hAnsi="Inter"/>
        </w:rPr>
        <w:t xml:space="preserve"> </w:t>
      </w:r>
      <w:proofErr w:type="spellStart"/>
      <w:r w:rsidRPr="00066204">
        <w:rPr>
          <w:rFonts w:ascii="Inter" w:hAnsi="Inter"/>
        </w:rPr>
        <w:t>soravtansine</w:t>
      </w:r>
      <w:proofErr w:type="spellEnd"/>
      <w:r w:rsidRPr="00066204">
        <w:rPr>
          <w:rFonts w:ascii="Inter" w:hAnsi="Inter"/>
        </w:rPr>
        <w:t>, the first new NHS treatment in over 20 years for some women with platinum-resistant ovarian cancer, offering a targeted option where treatment choices have been limited.</w:t>
      </w:r>
    </w:p>
    <w:p w14:paraId="6F7F4EA8" w14:textId="653ED9C4" w:rsidR="00C22195" w:rsidRPr="00066204" w:rsidRDefault="00C22195" w:rsidP="000901A9">
      <w:pPr>
        <w:pStyle w:val="ListParagraph"/>
        <w:numPr>
          <w:ilvl w:val="0"/>
          <w:numId w:val="40"/>
        </w:numPr>
        <w:spacing w:before="360" w:after="360"/>
        <w:ind w:left="425" w:hanging="425"/>
        <w:contextualSpacing w:val="0"/>
        <w:rPr>
          <w:rFonts w:ascii="Inter" w:hAnsi="Inter"/>
        </w:rPr>
      </w:pPr>
      <w:r w:rsidRPr="00066204">
        <w:rPr>
          <w:rFonts w:ascii="Inter" w:hAnsi="Inter"/>
        </w:rPr>
        <w:t xml:space="preserve">More than 1,500 people a year </w:t>
      </w:r>
      <w:r w:rsidR="004674CF" w:rsidRPr="00066204">
        <w:rPr>
          <w:rFonts w:ascii="Inter" w:hAnsi="Inter"/>
        </w:rPr>
        <w:t>are set to</w:t>
      </w:r>
      <w:r w:rsidRPr="00066204">
        <w:rPr>
          <w:rFonts w:ascii="Inter" w:hAnsi="Inter"/>
        </w:rPr>
        <w:t xml:space="preserve"> benefit from durvalumab, the first immunotherapy recommended for </w:t>
      </w:r>
      <w:r w:rsidR="00C3454A" w:rsidRPr="00066204">
        <w:rPr>
          <w:rFonts w:ascii="Inter" w:hAnsi="Inter"/>
        </w:rPr>
        <w:t>an aggressive</w:t>
      </w:r>
      <w:r w:rsidRPr="00066204">
        <w:rPr>
          <w:rFonts w:ascii="Inter" w:hAnsi="Inter"/>
        </w:rPr>
        <w:t xml:space="preserve"> form of stomach cancer.</w:t>
      </w:r>
      <w:r w:rsidR="004674CF" w:rsidRPr="00066204">
        <w:rPr>
          <w:rFonts w:ascii="Inter" w:hAnsi="Inter"/>
        </w:rPr>
        <w:t xml:space="preserve"> Notably, NICE was able to use a simpler assessment process</w:t>
      </w:r>
      <w:r w:rsidR="00232425" w:rsidRPr="00066204">
        <w:rPr>
          <w:rFonts w:ascii="Inter" w:hAnsi="Inter"/>
        </w:rPr>
        <w:t>, which meant our guidance</w:t>
      </w:r>
      <w:r w:rsidR="004674CF" w:rsidRPr="00066204">
        <w:rPr>
          <w:rFonts w:ascii="Inter" w:hAnsi="Inter"/>
        </w:rPr>
        <w:t xml:space="preserve"> was published 17 days after MHRA approval, meaning patients will get access to the treatment faster than if the standard process had been used.</w:t>
      </w:r>
    </w:p>
    <w:p w14:paraId="44B28502" w14:textId="3CD52FB9" w:rsidR="00C22195" w:rsidRPr="00066204" w:rsidRDefault="00C22195" w:rsidP="000901A9">
      <w:pPr>
        <w:pStyle w:val="ListParagraph"/>
        <w:numPr>
          <w:ilvl w:val="0"/>
          <w:numId w:val="40"/>
        </w:numPr>
        <w:spacing w:before="360" w:after="360"/>
        <w:ind w:left="425" w:hanging="425"/>
        <w:contextualSpacing w:val="0"/>
        <w:rPr>
          <w:rFonts w:ascii="Inter" w:hAnsi="Inter"/>
        </w:rPr>
      </w:pPr>
      <w:r w:rsidRPr="00066204">
        <w:rPr>
          <w:rFonts w:ascii="Inter" w:hAnsi="Inter"/>
        </w:rPr>
        <w:t xml:space="preserve">We have published draft guidance recommending 4 liver preservation machines for routine NHS use, which could help </w:t>
      </w:r>
      <w:r w:rsidR="00DE0CA2" w:rsidRPr="00066204">
        <w:rPr>
          <w:rFonts w:ascii="Inter" w:hAnsi="Inter"/>
        </w:rPr>
        <w:t>the 600</w:t>
      </w:r>
      <w:r w:rsidRPr="00066204">
        <w:rPr>
          <w:rFonts w:ascii="Inter" w:hAnsi="Inter"/>
        </w:rPr>
        <w:t xml:space="preserve"> people waiting for a life-saving transplant by keeping donated livers functioning outside the body for longer.</w:t>
      </w:r>
    </w:p>
    <w:p w14:paraId="4ED6B9F7" w14:textId="114DE995" w:rsidR="001E0D6F" w:rsidRPr="00947489" w:rsidRDefault="00610F13">
      <w:r>
        <w:br w:type="page"/>
      </w:r>
    </w:p>
    <w:p w14:paraId="503B0CAE" w14:textId="5C7B7A6B" w:rsidR="00681314" w:rsidRPr="00517723" w:rsidRDefault="00681314" w:rsidP="00681314">
      <w:pPr>
        <w:pStyle w:val="Heading1"/>
        <w:ind w:left="426" w:hanging="426"/>
      </w:pPr>
      <w:bookmarkStart w:id="3" w:name="_Toc234391364"/>
      <w:r>
        <w:t>Key performance indicators</w:t>
      </w:r>
      <w:r w:rsidR="00402531">
        <w:t xml:space="preserve"> (KPIs)</w:t>
      </w:r>
      <w:bookmarkEnd w:id="3"/>
    </w:p>
    <w:p w14:paraId="22D02445" w14:textId="6B485294" w:rsidR="009B2395" w:rsidRDefault="00681314" w:rsidP="00D46651">
      <w:pPr>
        <w:pStyle w:val="Heading2"/>
        <w:ind w:left="567" w:hanging="567"/>
      </w:pPr>
      <w:bookmarkStart w:id="4" w:name="_Toc234391365"/>
      <w:r>
        <w:t>Better guidance</w:t>
      </w:r>
      <w:bookmarkEnd w:id="4"/>
    </w:p>
    <w:tbl>
      <w:tblPr>
        <w:tblStyle w:val="TableGrid"/>
        <w:tblW w:w="14312" w:type="dxa"/>
        <w:tblLayout w:type="fixed"/>
        <w:tblLook w:val="04A0" w:firstRow="1" w:lastRow="0" w:firstColumn="1" w:lastColumn="0" w:noHBand="0" w:noVBand="1"/>
      </w:tblPr>
      <w:tblGrid>
        <w:gridCol w:w="4106"/>
        <w:gridCol w:w="1325"/>
        <w:gridCol w:w="1416"/>
        <w:gridCol w:w="1298"/>
        <w:gridCol w:w="1220"/>
        <w:gridCol w:w="4947"/>
      </w:tblGrid>
      <w:tr w:rsidR="009B2395" w14:paraId="596EDDB0" w14:textId="77777777" w:rsidTr="00D01EA7">
        <w:trPr>
          <w:trHeight w:val="328"/>
          <w:tblHeader/>
        </w:trPr>
        <w:tc>
          <w:tcPr>
            <w:tcW w:w="4106" w:type="dxa"/>
            <w:shd w:val="clear" w:color="auto" w:fill="00436C"/>
            <w:vAlign w:val="center"/>
          </w:tcPr>
          <w:p w14:paraId="282BC02C" w14:textId="77777777" w:rsidR="009B2395" w:rsidRDefault="009B2395">
            <w:pPr>
              <w:pStyle w:val="Paragraph"/>
              <w:spacing w:after="0" w:line="240" w:lineRule="auto"/>
              <w:rPr>
                <w:b/>
                <w:bCs/>
                <w:color w:val="FFFFFF" w:themeColor="background1"/>
                <w:lang w:eastAsia="en-GB"/>
              </w:rPr>
            </w:pPr>
            <w:r>
              <w:rPr>
                <w:b/>
                <w:bCs/>
                <w:color w:val="FFFFFF" w:themeColor="background1"/>
                <w:lang w:eastAsia="en-GB"/>
              </w:rPr>
              <w:t>Indicator</w:t>
            </w:r>
          </w:p>
        </w:tc>
        <w:tc>
          <w:tcPr>
            <w:tcW w:w="1325" w:type="dxa"/>
            <w:shd w:val="clear" w:color="auto" w:fill="00436C" w:themeFill="accent2"/>
            <w:vAlign w:val="center"/>
          </w:tcPr>
          <w:p w14:paraId="31783259" w14:textId="3FC0F057" w:rsidR="009B2395" w:rsidRPr="002223A1" w:rsidRDefault="009B2395">
            <w:pPr>
              <w:pStyle w:val="Paragraph"/>
              <w:spacing w:after="0" w:line="240" w:lineRule="auto"/>
              <w:jc w:val="center"/>
              <w:rPr>
                <w:b/>
                <w:bCs/>
                <w:color w:val="FFFFFF" w:themeColor="background1"/>
                <w:lang w:eastAsia="en-GB"/>
              </w:rPr>
            </w:pPr>
            <w:r w:rsidRPr="002223A1">
              <w:rPr>
                <w:b/>
                <w:bCs/>
                <w:color w:val="FFFFFF" w:themeColor="background1"/>
                <w:lang w:eastAsia="en-GB"/>
              </w:rPr>
              <w:t>Target (26</w:t>
            </w:r>
            <w:r w:rsidR="00B516C1">
              <w:rPr>
                <w:b/>
                <w:bCs/>
                <w:color w:val="FFFFFF" w:themeColor="background1"/>
                <w:lang w:eastAsia="en-GB"/>
              </w:rPr>
              <w:t>/27</w:t>
            </w:r>
            <w:r w:rsidRPr="002223A1">
              <w:rPr>
                <w:b/>
                <w:bCs/>
                <w:color w:val="FFFFFF" w:themeColor="background1"/>
                <w:lang w:eastAsia="en-GB"/>
              </w:rPr>
              <w:t>)</w:t>
            </w:r>
          </w:p>
        </w:tc>
        <w:tc>
          <w:tcPr>
            <w:tcW w:w="1416" w:type="dxa"/>
            <w:shd w:val="clear" w:color="auto" w:fill="00436C" w:themeFill="accent2"/>
            <w:vAlign w:val="center"/>
          </w:tcPr>
          <w:p w14:paraId="6B305C6B" w14:textId="420E280B" w:rsidR="009B2395" w:rsidRDefault="002E7A8C">
            <w:pPr>
              <w:pStyle w:val="Paragraph"/>
              <w:spacing w:after="0" w:line="240" w:lineRule="auto"/>
              <w:jc w:val="center"/>
              <w:rPr>
                <w:b/>
                <w:bCs/>
                <w:color w:val="FFFFFF" w:themeColor="background1"/>
                <w:lang w:eastAsia="en-GB"/>
              </w:rPr>
            </w:pPr>
            <w:r>
              <w:rPr>
                <w:b/>
                <w:bCs/>
                <w:color w:val="FFFFFF" w:themeColor="background1"/>
                <w:lang w:eastAsia="en-GB"/>
              </w:rPr>
              <w:t>Apr-May 26</w:t>
            </w:r>
          </w:p>
        </w:tc>
        <w:tc>
          <w:tcPr>
            <w:tcW w:w="1298" w:type="dxa"/>
            <w:shd w:val="clear" w:color="auto" w:fill="00436C" w:themeFill="accent2"/>
            <w:vAlign w:val="center"/>
          </w:tcPr>
          <w:p w14:paraId="395657C7" w14:textId="718E1F2E" w:rsidR="009B2395" w:rsidRDefault="005429AF">
            <w:pPr>
              <w:pStyle w:val="Paragraph"/>
              <w:spacing w:after="0" w:line="240" w:lineRule="auto"/>
              <w:jc w:val="center"/>
              <w:rPr>
                <w:b/>
                <w:bCs/>
                <w:color w:val="FFFFFF" w:themeColor="background1"/>
                <w:lang w:eastAsia="en-GB"/>
              </w:rPr>
            </w:pPr>
            <w:r>
              <w:rPr>
                <w:b/>
                <w:bCs/>
                <w:color w:val="FFFFFF" w:themeColor="background1"/>
                <w:lang w:eastAsia="en-GB"/>
              </w:rPr>
              <w:t>Status</w:t>
            </w:r>
          </w:p>
        </w:tc>
        <w:tc>
          <w:tcPr>
            <w:tcW w:w="1220" w:type="dxa"/>
            <w:shd w:val="clear" w:color="auto" w:fill="00436C" w:themeFill="accent2"/>
            <w:vAlign w:val="center"/>
          </w:tcPr>
          <w:p w14:paraId="40723E24" w14:textId="60BE40E4" w:rsidR="009B2395" w:rsidRDefault="009B2395">
            <w:pPr>
              <w:pStyle w:val="Paragraph"/>
              <w:spacing w:after="0" w:line="240" w:lineRule="auto"/>
              <w:jc w:val="center"/>
              <w:rPr>
                <w:b/>
                <w:bCs/>
                <w:color w:val="FFFFFF" w:themeColor="background1"/>
                <w:lang w:eastAsia="en-GB"/>
              </w:rPr>
            </w:pPr>
            <w:r>
              <w:rPr>
                <w:b/>
                <w:bCs/>
                <w:color w:val="FFFFFF" w:themeColor="background1"/>
                <w:lang w:eastAsia="en-GB"/>
              </w:rPr>
              <w:t>25</w:t>
            </w:r>
            <w:r w:rsidR="008536EC">
              <w:rPr>
                <w:b/>
                <w:bCs/>
                <w:color w:val="FFFFFF" w:themeColor="background1"/>
                <w:lang w:eastAsia="en-GB"/>
              </w:rPr>
              <w:t xml:space="preserve">/26 </w:t>
            </w:r>
            <w:r>
              <w:rPr>
                <w:b/>
                <w:bCs/>
                <w:color w:val="FFFFFF" w:themeColor="background1"/>
                <w:lang w:eastAsia="en-GB"/>
              </w:rPr>
              <w:t>baseline</w:t>
            </w:r>
          </w:p>
        </w:tc>
        <w:tc>
          <w:tcPr>
            <w:tcW w:w="4947" w:type="dxa"/>
            <w:shd w:val="clear" w:color="auto" w:fill="00436C" w:themeFill="accent2"/>
            <w:vAlign w:val="center"/>
          </w:tcPr>
          <w:p w14:paraId="79C6C48A" w14:textId="524A9E8A" w:rsidR="009B2395" w:rsidRDefault="00F66C2A">
            <w:pPr>
              <w:pStyle w:val="Paragraph"/>
              <w:spacing w:after="0" w:line="240" w:lineRule="auto"/>
              <w:rPr>
                <w:b/>
                <w:bCs/>
                <w:color w:val="FFFFFF" w:themeColor="background1"/>
                <w:lang w:eastAsia="en-GB"/>
              </w:rPr>
            </w:pPr>
            <w:r>
              <w:rPr>
                <w:b/>
                <w:bCs/>
                <w:color w:val="FFFFFF" w:themeColor="background1"/>
                <w:lang w:eastAsia="en-GB"/>
              </w:rPr>
              <w:t>Commentary</w:t>
            </w:r>
          </w:p>
        </w:tc>
      </w:tr>
      <w:tr w:rsidR="00F86D11" w:rsidRPr="008D47BA" w14:paraId="6C1FBECC" w14:textId="77777777" w:rsidTr="003E26B6">
        <w:trPr>
          <w:trHeight w:val="509"/>
        </w:trPr>
        <w:tc>
          <w:tcPr>
            <w:tcW w:w="4106" w:type="dxa"/>
          </w:tcPr>
          <w:p w14:paraId="10AB6422" w14:textId="076E5622" w:rsidR="00F86D11" w:rsidRPr="00CA38CF" w:rsidRDefault="00F86D11" w:rsidP="003E26B6">
            <w:pPr>
              <w:pStyle w:val="Paragraph"/>
              <w:spacing w:before="80" w:after="80" w:line="240" w:lineRule="auto"/>
              <w:rPr>
                <w:color w:val="000000"/>
                <w:kern w:val="24"/>
              </w:rPr>
            </w:pPr>
            <w:r>
              <w:rPr>
                <w:rFonts w:ascii="Inter" w:hAnsi="Inter"/>
                <w:color w:val="000000"/>
              </w:rPr>
              <w:t>Number of CfG outputs requiring post publication correction</w:t>
            </w:r>
          </w:p>
        </w:tc>
        <w:tc>
          <w:tcPr>
            <w:tcW w:w="1325" w:type="dxa"/>
          </w:tcPr>
          <w:p w14:paraId="1A2D2A9F" w14:textId="288BD916" w:rsidR="00F86D11" w:rsidRDefault="00F86D11" w:rsidP="00F86D11">
            <w:pPr>
              <w:pStyle w:val="Paragraph"/>
              <w:spacing w:before="80" w:after="80" w:line="240" w:lineRule="auto"/>
              <w:jc w:val="center"/>
              <w:rPr>
                <w:rFonts w:cs="Arial"/>
                <w:color w:val="000000"/>
                <w:kern w:val="24"/>
              </w:rPr>
            </w:pPr>
            <w:r>
              <w:rPr>
                <w:lang w:eastAsia="en-GB"/>
              </w:rPr>
              <w:t>3 or less</w:t>
            </w:r>
          </w:p>
        </w:tc>
        <w:tc>
          <w:tcPr>
            <w:tcW w:w="1416" w:type="dxa"/>
          </w:tcPr>
          <w:p w14:paraId="51C8C710" w14:textId="634B2F52" w:rsidR="00F86D11" w:rsidRPr="00013FE1" w:rsidRDefault="00586304" w:rsidP="00F86D11">
            <w:pPr>
              <w:pStyle w:val="Paragraph"/>
              <w:spacing w:before="80" w:after="80" w:line="240" w:lineRule="auto"/>
              <w:jc w:val="center"/>
              <w:rPr>
                <w:rFonts w:cs="Arial"/>
                <w:b/>
                <w:bCs/>
                <w:color w:val="000000"/>
                <w:kern w:val="24"/>
              </w:rPr>
            </w:pPr>
            <w:r>
              <w:rPr>
                <w:rFonts w:cs="Arial"/>
                <w:b/>
                <w:bCs/>
                <w:color w:val="000000"/>
                <w:kern w:val="24"/>
              </w:rPr>
              <w:t>0</w:t>
            </w:r>
          </w:p>
        </w:tc>
        <w:tc>
          <w:tcPr>
            <w:tcW w:w="1298" w:type="dxa"/>
            <w:shd w:val="clear" w:color="auto" w:fill="CDE3DA"/>
          </w:tcPr>
          <w:p w14:paraId="1E899E96" w14:textId="4420F164" w:rsidR="00F86D11" w:rsidRDefault="00586304" w:rsidP="00F86D11">
            <w:pPr>
              <w:pStyle w:val="Paragraph"/>
              <w:spacing w:before="80" w:after="80" w:line="240" w:lineRule="auto"/>
              <w:jc w:val="center"/>
              <w:rPr>
                <w:lang w:eastAsia="en-GB"/>
              </w:rPr>
            </w:pPr>
            <w:r>
              <w:rPr>
                <w:lang w:eastAsia="en-GB"/>
              </w:rPr>
              <w:t>G</w:t>
            </w:r>
            <w:r w:rsidR="00710920">
              <w:rPr>
                <w:lang w:eastAsia="en-GB"/>
              </w:rPr>
              <w:t>reen</w:t>
            </w:r>
          </w:p>
        </w:tc>
        <w:tc>
          <w:tcPr>
            <w:tcW w:w="1220" w:type="dxa"/>
          </w:tcPr>
          <w:p w14:paraId="209597F1" w14:textId="688786D5" w:rsidR="00F86D11" w:rsidRDefault="00F86D11" w:rsidP="00F86D11">
            <w:pPr>
              <w:pStyle w:val="Paragraph"/>
              <w:spacing w:before="80" w:after="80" w:line="240" w:lineRule="auto"/>
              <w:jc w:val="center"/>
              <w:rPr>
                <w:rFonts w:cs="Arial"/>
                <w:color w:val="000000"/>
                <w:kern w:val="24"/>
              </w:rPr>
            </w:pPr>
            <w:r>
              <w:rPr>
                <w:rFonts w:cs="Arial"/>
                <w:color w:val="000000"/>
                <w:kern w:val="24"/>
                <w:sz w:val="21"/>
                <w:szCs w:val="21"/>
              </w:rPr>
              <w:t>3</w:t>
            </w:r>
          </w:p>
        </w:tc>
        <w:tc>
          <w:tcPr>
            <w:tcW w:w="4947" w:type="dxa"/>
          </w:tcPr>
          <w:p w14:paraId="25F2BBEA" w14:textId="4C88E23A" w:rsidR="00F86D11" w:rsidRPr="00ED2E7A" w:rsidRDefault="00E35B6F" w:rsidP="00186D3D">
            <w:pPr>
              <w:pStyle w:val="Paragraph"/>
              <w:spacing w:before="80" w:after="80" w:line="240" w:lineRule="auto"/>
              <w:rPr>
                <w:rFonts w:ascii="Inter" w:hAnsi="Inter"/>
                <w:color w:val="000000"/>
              </w:rPr>
            </w:pPr>
            <w:r>
              <w:rPr>
                <w:rFonts w:ascii="Inter" w:hAnsi="Inter"/>
                <w:color w:val="000000"/>
              </w:rPr>
              <w:t>No post-publication corrections reported in April or May.</w:t>
            </w:r>
            <w:r w:rsidR="00186D3D">
              <w:rPr>
                <w:rFonts w:ascii="Inter" w:hAnsi="Inter"/>
                <w:color w:val="000000"/>
              </w:rPr>
              <w:t xml:space="preserve"> </w:t>
            </w:r>
          </w:p>
        </w:tc>
      </w:tr>
    </w:tbl>
    <w:p w14:paraId="26B5F498" w14:textId="0FD08841" w:rsidR="00681314" w:rsidRDefault="00314A7C" w:rsidP="00681314">
      <w:pPr>
        <w:pStyle w:val="Heading2"/>
        <w:ind w:left="567" w:hanging="567"/>
      </w:pPr>
      <w:bookmarkStart w:id="5" w:name="_Toc234391366"/>
      <w:r>
        <w:t>Faster access</w:t>
      </w:r>
      <w:bookmarkEnd w:id="5"/>
    </w:p>
    <w:p w14:paraId="3A0D7668" w14:textId="7592885D" w:rsidR="002F0847" w:rsidRPr="002F0847" w:rsidRDefault="002F0847" w:rsidP="002F0847">
      <w:pPr>
        <w:rPr>
          <w:b/>
          <w:bCs/>
          <w:lang w:eastAsia="en-US"/>
        </w:rPr>
      </w:pPr>
      <w:r w:rsidRPr="002F0847">
        <w:rPr>
          <w:b/>
          <w:bCs/>
          <w:lang w:eastAsia="en-US"/>
        </w:rPr>
        <w:t>Medicines</w:t>
      </w:r>
    </w:p>
    <w:tbl>
      <w:tblPr>
        <w:tblStyle w:val="TableGrid"/>
        <w:tblW w:w="14312" w:type="dxa"/>
        <w:tblLayout w:type="fixed"/>
        <w:tblLook w:val="04A0" w:firstRow="1" w:lastRow="0" w:firstColumn="1" w:lastColumn="0" w:noHBand="0" w:noVBand="1"/>
      </w:tblPr>
      <w:tblGrid>
        <w:gridCol w:w="4106"/>
        <w:gridCol w:w="1325"/>
        <w:gridCol w:w="1416"/>
        <w:gridCol w:w="1298"/>
        <w:gridCol w:w="1220"/>
        <w:gridCol w:w="4947"/>
      </w:tblGrid>
      <w:tr w:rsidR="00A852F8" w14:paraId="319F8865" w14:textId="77777777" w:rsidTr="00083FF2">
        <w:trPr>
          <w:trHeight w:val="328"/>
          <w:tblHeader/>
        </w:trPr>
        <w:tc>
          <w:tcPr>
            <w:tcW w:w="4106" w:type="dxa"/>
            <w:shd w:val="clear" w:color="auto" w:fill="00436C" w:themeFill="accent2"/>
            <w:vAlign w:val="center"/>
          </w:tcPr>
          <w:p w14:paraId="7A62D080" w14:textId="77777777" w:rsidR="00A852F8" w:rsidRDefault="00A852F8" w:rsidP="00083FF2">
            <w:pPr>
              <w:pStyle w:val="Paragraph"/>
              <w:spacing w:after="0" w:line="240" w:lineRule="auto"/>
              <w:rPr>
                <w:b/>
                <w:bCs/>
                <w:color w:val="FFFFFF" w:themeColor="background1"/>
                <w:lang w:eastAsia="en-GB"/>
              </w:rPr>
            </w:pPr>
            <w:r>
              <w:rPr>
                <w:b/>
                <w:bCs/>
                <w:color w:val="FFFFFF" w:themeColor="background1"/>
                <w:lang w:eastAsia="en-GB"/>
              </w:rPr>
              <w:t>Indicator</w:t>
            </w:r>
          </w:p>
        </w:tc>
        <w:tc>
          <w:tcPr>
            <w:tcW w:w="1325" w:type="dxa"/>
            <w:shd w:val="clear" w:color="auto" w:fill="00436C" w:themeFill="accent2"/>
            <w:vAlign w:val="center"/>
          </w:tcPr>
          <w:p w14:paraId="3BE5C286" w14:textId="77777777" w:rsidR="00A852F8" w:rsidRPr="002223A1" w:rsidRDefault="00A852F8" w:rsidP="00083FF2">
            <w:pPr>
              <w:pStyle w:val="Paragraph"/>
              <w:spacing w:after="0" w:line="240" w:lineRule="auto"/>
              <w:jc w:val="center"/>
              <w:rPr>
                <w:b/>
                <w:bCs/>
                <w:color w:val="FFFFFF" w:themeColor="background1"/>
                <w:lang w:eastAsia="en-GB"/>
              </w:rPr>
            </w:pPr>
            <w:r w:rsidRPr="002223A1">
              <w:rPr>
                <w:b/>
                <w:bCs/>
                <w:color w:val="FFFFFF" w:themeColor="background1"/>
                <w:lang w:eastAsia="en-GB"/>
              </w:rPr>
              <w:t>Target (26</w:t>
            </w:r>
            <w:r>
              <w:rPr>
                <w:b/>
                <w:bCs/>
                <w:color w:val="FFFFFF" w:themeColor="background1"/>
                <w:lang w:eastAsia="en-GB"/>
              </w:rPr>
              <w:t>/27</w:t>
            </w:r>
            <w:r w:rsidRPr="002223A1">
              <w:rPr>
                <w:b/>
                <w:bCs/>
                <w:color w:val="FFFFFF" w:themeColor="background1"/>
                <w:lang w:eastAsia="en-GB"/>
              </w:rPr>
              <w:t>)</w:t>
            </w:r>
          </w:p>
        </w:tc>
        <w:tc>
          <w:tcPr>
            <w:tcW w:w="1416" w:type="dxa"/>
            <w:shd w:val="clear" w:color="auto" w:fill="00436C" w:themeFill="accent2"/>
            <w:vAlign w:val="center"/>
          </w:tcPr>
          <w:p w14:paraId="78646A9D" w14:textId="3A634D65" w:rsidR="00A852F8" w:rsidRDefault="00AA112B" w:rsidP="00083FF2">
            <w:pPr>
              <w:pStyle w:val="Paragraph"/>
              <w:spacing w:after="0" w:line="240" w:lineRule="auto"/>
              <w:jc w:val="center"/>
              <w:rPr>
                <w:b/>
                <w:bCs/>
                <w:color w:val="FFFFFF" w:themeColor="background1"/>
                <w:lang w:eastAsia="en-GB"/>
              </w:rPr>
            </w:pPr>
            <w:r>
              <w:rPr>
                <w:b/>
                <w:bCs/>
                <w:color w:val="FFFFFF" w:themeColor="background1"/>
                <w:lang w:eastAsia="en-GB"/>
              </w:rPr>
              <w:t xml:space="preserve">Apr-May </w:t>
            </w:r>
            <w:r w:rsidR="002E7A8C">
              <w:rPr>
                <w:b/>
                <w:bCs/>
                <w:color w:val="FFFFFF" w:themeColor="background1"/>
                <w:lang w:eastAsia="en-GB"/>
              </w:rPr>
              <w:t>26</w:t>
            </w:r>
          </w:p>
        </w:tc>
        <w:tc>
          <w:tcPr>
            <w:tcW w:w="1298" w:type="dxa"/>
            <w:shd w:val="clear" w:color="auto" w:fill="00436C" w:themeFill="accent2"/>
            <w:vAlign w:val="center"/>
          </w:tcPr>
          <w:p w14:paraId="3F5B045E" w14:textId="77777777" w:rsidR="00A852F8" w:rsidRDefault="00A852F8" w:rsidP="00083FF2">
            <w:pPr>
              <w:pStyle w:val="Paragraph"/>
              <w:spacing w:after="0" w:line="240" w:lineRule="auto"/>
              <w:jc w:val="center"/>
              <w:rPr>
                <w:b/>
                <w:bCs/>
                <w:color w:val="FFFFFF" w:themeColor="background1"/>
                <w:lang w:eastAsia="en-GB"/>
              </w:rPr>
            </w:pPr>
            <w:r>
              <w:rPr>
                <w:b/>
                <w:bCs/>
                <w:color w:val="FFFFFF" w:themeColor="background1"/>
                <w:lang w:eastAsia="en-GB"/>
              </w:rPr>
              <w:t>Status</w:t>
            </w:r>
          </w:p>
        </w:tc>
        <w:tc>
          <w:tcPr>
            <w:tcW w:w="1220" w:type="dxa"/>
            <w:shd w:val="clear" w:color="auto" w:fill="00436C" w:themeFill="accent2"/>
            <w:vAlign w:val="center"/>
          </w:tcPr>
          <w:p w14:paraId="21C36364" w14:textId="77777777" w:rsidR="00A852F8" w:rsidRDefault="00A852F8" w:rsidP="00083FF2">
            <w:pPr>
              <w:pStyle w:val="Paragraph"/>
              <w:spacing w:after="0" w:line="240" w:lineRule="auto"/>
              <w:jc w:val="center"/>
              <w:rPr>
                <w:b/>
                <w:bCs/>
                <w:color w:val="FFFFFF" w:themeColor="background1"/>
                <w:lang w:eastAsia="en-GB"/>
              </w:rPr>
            </w:pPr>
            <w:r>
              <w:rPr>
                <w:b/>
                <w:bCs/>
                <w:color w:val="FFFFFF" w:themeColor="background1"/>
                <w:lang w:eastAsia="en-GB"/>
              </w:rPr>
              <w:t>25/26 baseline</w:t>
            </w:r>
          </w:p>
        </w:tc>
        <w:tc>
          <w:tcPr>
            <w:tcW w:w="4947" w:type="dxa"/>
            <w:shd w:val="clear" w:color="auto" w:fill="00436C" w:themeFill="accent2"/>
            <w:vAlign w:val="center"/>
          </w:tcPr>
          <w:p w14:paraId="5FC8B39D" w14:textId="77777777" w:rsidR="00A852F8" w:rsidRDefault="00A852F8" w:rsidP="00083FF2">
            <w:pPr>
              <w:pStyle w:val="Paragraph"/>
              <w:spacing w:after="0" w:line="240" w:lineRule="auto"/>
              <w:rPr>
                <w:b/>
                <w:bCs/>
                <w:color w:val="FFFFFF" w:themeColor="background1"/>
                <w:lang w:eastAsia="en-GB"/>
              </w:rPr>
            </w:pPr>
            <w:r>
              <w:rPr>
                <w:b/>
                <w:bCs/>
                <w:color w:val="FFFFFF" w:themeColor="background1"/>
                <w:lang w:eastAsia="en-GB"/>
              </w:rPr>
              <w:t>Commentary</w:t>
            </w:r>
          </w:p>
        </w:tc>
      </w:tr>
      <w:tr w:rsidR="003D2AFD" w:rsidRPr="008D47BA" w14:paraId="2DA4FB69" w14:textId="77777777" w:rsidTr="00710920">
        <w:trPr>
          <w:trHeight w:val="509"/>
        </w:trPr>
        <w:tc>
          <w:tcPr>
            <w:tcW w:w="4106" w:type="dxa"/>
          </w:tcPr>
          <w:p w14:paraId="31188493" w14:textId="77777777" w:rsidR="00F3643D" w:rsidRPr="00E56ADA" w:rsidRDefault="003D2AFD" w:rsidP="00DC33EC">
            <w:pPr>
              <w:pStyle w:val="Paragraph"/>
              <w:spacing w:before="80" w:after="80" w:line="240" w:lineRule="auto"/>
              <w:rPr>
                <w:color w:val="000000"/>
              </w:rPr>
            </w:pPr>
            <w:r w:rsidRPr="00E56ADA">
              <w:rPr>
                <w:color w:val="000000"/>
              </w:rPr>
              <w:t>Proportion of final guidance published within 240 working days of Invitation to Participate (ITP)</w:t>
            </w:r>
          </w:p>
          <w:p w14:paraId="504055EB" w14:textId="58F05214" w:rsidR="00F3643D" w:rsidRPr="00E56ADA" w:rsidRDefault="00F3643D" w:rsidP="00DC33EC">
            <w:pPr>
              <w:pStyle w:val="Paragraph"/>
              <w:spacing w:before="80" w:after="80" w:line="240" w:lineRule="auto"/>
              <w:rPr>
                <w:color w:val="000000"/>
              </w:rPr>
            </w:pPr>
            <w:r w:rsidRPr="00E56ADA">
              <w:rPr>
                <w:color w:val="000000"/>
              </w:rPr>
              <w:t xml:space="preserve">Note: </w:t>
            </w:r>
            <w:r w:rsidR="00F6232C" w:rsidRPr="00E56ADA">
              <w:rPr>
                <w:color w:val="000000"/>
              </w:rPr>
              <w:t xml:space="preserve">this indictor </w:t>
            </w:r>
            <w:r w:rsidRPr="00E56ADA">
              <w:rPr>
                <w:color w:val="000000"/>
              </w:rPr>
              <w:t>only includes topics where final guidance has been published.</w:t>
            </w:r>
          </w:p>
        </w:tc>
        <w:tc>
          <w:tcPr>
            <w:tcW w:w="1325" w:type="dxa"/>
          </w:tcPr>
          <w:p w14:paraId="4F2D004C" w14:textId="4B32151E" w:rsidR="003D2AFD" w:rsidRPr="008D47BA" w:rsidRDefault="003D2AFD" w:rsidP="003D2AFD">
            <w:pPr>
              <w:pStyle w:val="Paragraph"/>
              <w:spacing w:before="80" w:after="80" w:line="240" w:lineRule="auto"/>
              <w:jc w:val="center"/>
              <w:rPr>
                <w:lang w:eastAsia="en-GB"/>
              </w:rPr>
            </w:pPr>
            <w:r>
              <w:rPr>
                <w:lang w:eastAsia="en-GB"/>
              </w:rPr>
              <w:t>60</w:t>
            </w:r>
            <w:r w:rsidRPr="00F11DD9">
              <w:rPr>
                <w:lang w:eastAsia="en-GB"/>
              </w:rPr>
              <w:t>%</w:t>
            </w:r>
            <w:r w:rsidR="00A50D12">
              <w:rPr>
                <w:rStyle w:val="FootnoteReference"/>
                <w:lang w:eastAsia="en-GB"/>
              </w:rPr>
              <w:footnoteReference w:id="1"/>
            </w:r>
          </w:p>
        </w:tc>
        <w:tc>
          <w:tcPr>
            <w:tcW w:w="1416" w:type="dxa"/>
          </w:tcPr>
          <w:p w14:paraId="0C713AFB" w14:textId="43CDEE1E" w:rsidR="003D2AFD" w:rsidRPr="00013FE1" w:rsidRDefault="002756D9" w:rsidP="003D2AFD">
            <w:pPr>
              <w:pStyle w:val="Paragraph"/>
              <w:spacing w:before="80" w:after="80" w:line="240" w:lineRule="auto"/>
              <w:jc w:val="center"/>
              <w:rPr>
                <w:b/>
                <w:bCs/>
                <w:lang w:eastAsia="en-GB"/>
              </w:rPr>
            </w:pPr>
            <w:r>
              <w:rPr>
                <w:b/>
                <w:bCs/>
                <w:lang w:eastAsia="en-GB"/>
              </w:rPr>
              <w:t>100%</w:t>
            </w:r>
          </w:p>
        </w:tc>
        <w:tc>
          <w:tcPr>
            <w:tcW w:w="1298" w:type="dxa"/>
            <w:shd w:val="clear" w:color="auto" w:fill="CDE3DA"/>
          </w:tcPr>
          <w:p w14:paraId="6EF05AB7" w14:textId="2FF02D86" w:rsidR="003D2AFD" w:rsidRPr="008D47BA" w:rsidRDefault="00710920" w:rsidP="003D2AFD">
            <w:pPr>
              <w:pStyle w:val="Paragraph"/>
              <w:spacing w:before="80" w:after="80" w:line="240" w:lineRule="auto"/>
              <w:jc w:val="center"/>
              <w:rPr>
                <w:lang w:eastAsia="en-GB"/>
              </w:rPr>
            </w:pPr>
            <w:r>
              <w:rPr>
                <w:lang w:eastAsia="en-GB"/>
              </w:rPr>
              <w:t>Green</w:t>
            </w:r>
          </w:p>
        </w:tc>
        <w:tc>
          <w:tcPr>
            <w:tcW w:w="1220" w:type="dxa"/>
          </w:tcPr>
          <w:p w14:paraId="15D50CC7" w14:textId="6F57B038" w:rsidR="00F47384" w:rsidRPr="00F47384" w:rsidRDefault="004A5D87" w:rsidP="00F47384">
            <w:pPr>
              <w:pStyle w:val="Paragraph"/>
              <w:spacing w:before="80" w:after="80" w:line="240" w:lineRule="auto"/>
              <w:jc w:val="center"/>
              <w:rPr>
                <w:rFonts w:cs="Arial"/>
                <w:color w:val="000000"/>
                <w:kern w:val="24"/>
                <w:sz w:val="21"/>
                <w:szCs w:val="21"/>
              </w:rPr>
            </w:pPr>
            <w:r>
              <w:rPr>
                <w:rFonts w:cs="Arial"/>
                <w:color w:val="000000"/>
                <w:kern w:val="24"/>
                <w:sz w:val="21"/>
                <w:szCs w:val="21"/>
              </w:rPr>
              <w:t>29</w:t>
            </w:r>
            <w:r w:rsidR="003D2AFD" w:rsidRPr="00F11DD9">
              <w:rPr>
                <w:rFonts w:cs="Arial"/>
                <w:color w:val="000000"/>
                <w:kern w:val="24"/>
                <w:sz w:val="21"/>
                <w:szCs w:val="21"/>
              </w:rPr>
              <w:t>%</w:t>
            </w:r>
            <w:r w:rsidR="00F47384">
              <w:rPr>
                <w:rStyle w:val="FootnoteReference"/>
                <w:rFonts w:cs="Arial"/>
                <w:color w:val="000000"/>
                <w:kern w:val="24"/>
                <w:sz w:val="21"/>
                <w:szCs w:val="21"/>
              </w:rPr>
              <w:footnoteReference w:id="2"/>
            </w:r>
          </w:p>
        </w:tc>
        <w:tc>
          <w:tcPr>
            <w:tcW w:w="4947" w:type="dxa"/>
          </w:tcPr>
          <w:p w14:paraId="1F80C7FA" w14:textId="5F1B8655" w:rsidR="008A254E" w:rsidRPr="00E56ADA" w:rsidRDefault="00FE0204" w:rsidP="00BA7717">
            <w:pPr>
              <w:pStyle w:val="Paragraph"/>
              <w:spacing w:before="80" w:after="80" w:line="240" w:lineRule="auto"/>
              <w:rPr>
                <w:rFonts w:eastAsia="Inter"/>
                <w:color w:val="000000"/>
              </w:rPr>
            </w:pPr>
            <w:r w:rsidRPr="00E56ADA">
              <w:rPr>
                <w:rFonts w:eastAsia="Inter"/>
                <w:color w:val="000000"/>
              </w:rPr>
              <w:t xml:space="preserve">NICE published final guidance </w:t>
            </w:r>
            <w:r w:rsidR="003F5F02" w:rsidRPr="00E56ADA">
              <w:rPr>
                <w:rFonts w:eastAsia="Inter"/>
                <w:color w:val="000000"/>
              </w:rPr>
              <w:t xml:space="preserve">has been </w:t>
            </w:r>
            <w:r w:rsidRPr="00E56ADA">
              <w:rPr>
                <w:rFonts w:eastAsia="Inter"/>
                <w:color w:val="000000"/>
              </w:rPr>
              <w:t xml:space="preserve">on </w:t>
            </w:r>
            <w:r w:rsidR="00B8720C" w:rsidRPr="00E56ADA">
              <w:rPr>
                <w:rFonts w:eastAsia="Inter"/>
                <w:color w:val="000000"/>
              </w:rPr>
              <w:t>9</w:t>
            </w:r>
            <w:r w:rsidRPr="00E56ADA">
              <w:rPr>
                <w:rFonts w:eastAsia="Inter"/>
                <w:color w:val="000000"/>
              </w:rPr>
              <w:t xml:space="preserve"> topics </w:t>
            </w:r>
            <w:r w:rsidR="006558D0" w:rsidRPr="00E56ADA">
              <w:rPr>
                <w:rFonts w:eastAsia="Inter"/>
                <w:color w:val="000000"/>
              </w:rPr>
              <w:t xml:space="preserve">where the </w:t>
            </w:r>
            <w:r w:rsidR="00C55901" w:rsidRPr="00E56ADA">
              <w:rPr>
                <w:rFonts w:eastAsia="Inter"/>
                <w:color w:val="000000"/>
              </w:rPr>
              <w:t>ITP was issued after 1</w:t>
            </w:r>
            <w:r w:rsidR="00C55901" w:rsidRPr="00E56ADA">
              <w:rPr>
                <w:rFonts w:eastAsia="Inter"/>
                <w:color w:val="000000"/>
                <w:vertAlign w:val="superscript"/>
              </w:rPr>
              <w:t>st</w:t>
            </w:r>
            <w:r w:rsidR="00C55901" w:rsidRPr="00E56ADA">
              <w:rPr>
                <w:rFonts w:eastAsia="Inter"/>
                <w:color w:val="000000"/>
              </w:rPr>
              <w:t xml:space="preserve"> April 2025.</w:t>
            </w:r>
          </w:p>
          <w:p w14:paraId="4BE5DC43" w14:textId="6A79FC07" w:rsidR="008A254E" w:rsidRPr="00E56ADA" w:rsidRDefault="003B64BF" w:rsidP="00BA7717">
            <w:pPr>
              <w:pStyle w:val="Paragraph"/>
              <w:spacing w:before="80" w:after="80" w:line="240" w:lineRule="auto"/>
              <w:rPr>
                <w:rFonts w:eastAsia="Inter"/>
                <w:color w:val="000000"/>
              </w:rPr>
            </w:pPr>
            <w:r w:rsidRPr="00E56ADA">
              <w:rPr>
                <w:rFonts w:eastAsia="Inter"/>
                <w:color w:val="000000"/>
              </w:rPr>
              <w:t xml:space="preserve">All </w:t>
            </w:r>
            <w:r w:rsidR="003F5F02" w:rsidRPr="00E56ADA">
              <w:rPr>
                <w:rFonts w:eastAsia="Inter"/>
                <w:color w:val="000000"/>
              </w:rPr>
              <w:t>9</w:t>
            </w:r>
            <w:r w:rsidR="00673B11" w:rsidRPr="00E56ADA">
              <w:rPr>
                <w:rFonts w:eastAsia="Inter"/>
                <w:color w:val="000000"/>
              </w:rPr>
              <w:t xml:space="preserve"> were published within the </w:t>
            </w:r>
            <w:r w:rsidR="00DE045A" w:rsidRPr="00E56ADA">
              <w:rPr>
                <w:rFonts w:eastAsia="Inter"/>
                <w:color w:val="000000"/>
              </w:rPr>
              <w:t>240 working days of the ITP</w:t>
            </w:r>
            <w:r w:rsidR="00673B11" w:rsidRPr="00E56ADA">
              <w:rPr>
                <w:rFonts w:eastAsia="Inter"/>
                <w:color w:val="000000"/>
              </w:rPr>
              <w:t xml:space="preserve"> being issued.</w:t>
            </w:r>
          </w:p>
          <w:p w14:paraId="2957F028" w14:textId="5A56B836" w:rsidR="008027AC" w:rsidRPr="00E56ADA" w:rsidRDefault="00906476" w:rsidP="00BA7717">
            <w:pPr>
              <w:pStyle w:val="Paragraph"/>
              <w:spacing w:before="80" w:after="80" w:line="240" w:lineRule="auto"/>
              <w:rPr>
                <w:rFonts w:eastAsia="Inter"/>
                <w:color w:val="000000"/>
              </w:rPr>
            </w:pPr>
            <w:r w:rsidRPr="00E56ADA">
              <w:rPr>
                <w:rFonts w:eastAsia="Inter"/>
                <w:color w:val="000000"/>
              </w:rPr>
              <w:t xml:space="preserve">The proportion </w:t>
            </w:r>
            <w:r w:rsidR="00653184" w:rsidRPr="00E56ADA">
              <w:rPr>
                <w:rFonts w:eastAsia="Inter"/>
                <w:color w:val="000000"/>
              </w:rPr>
              <w:t xml:space="preserve">completed within the target timeframe will start to fall in the </w:t>
            </w:r>
            <w:r w:rsidR="00CB7770" w:rsidRPr="00E56ADA">
              <w:rPr>
                <w:rFonts w:eastAsia="Inter"/>
                <w:color w:val="000000"/>
              </w:rPr>
              <w:t>next few months</w:t>
            </w:r>
            <w:r w:rsidR="00C765EC" w:rsidRPr="00E56ADA">
              <w:rPr>
                <w:rFonts w:eastAsia="Inter"/>
                <w:color w:val="000000"/>
              </w:rPr>
              <w:t xml:space="preserve"> </w:t>
            </w:r>
            <w:r w:rsidR="00CB7770" w:rsidRPr="00E56ADA">
              <w:rPr>
                <w:rFonts w:eastAsia="Inter"/>
                <w:color w:val="000000"/>
              </w:rPr>
              <w:t>but we are on track to meet the 60% target for 2026/27.</w:t>
            </w:r>
          </w:p>
        </w:tc>
      </w:tr>
      <w:tr w:rsidR="003D2AFD" w:rsidRPr="00CA0D67" w14:paraId="32FA3260" w14:textId="77777777" w:rsidTr="00102F31">
        <w:trPr>
          <w:trHeight w:val="1865"/>
        </w:trPr>
        <w:tc>
          <w:tcPr>
            <w:tcW w:w="4106" w:type="dxa"/>
          </w:tcPr>
          <w:p w14:paraId="2D4DAC8F" w14:textId="70C17059" w:rsidR="003D2AFD" w:rsidRPr="002A3FBF" w:rsidRDefault="003D2AFD" w:rsidP="003D2AFD">
            <w:pPr>
              <w:pStyle w:val="Paragraph"/>
              <w:spacing w:before="80" w:after="80" w:line="240" w:lineRule="auto"/>
              <w:rPr>
                <w:rFonts w:ascii="Inter" w:hAnsi="Inter"/>
                <w:color w:val="000000"/>
              </w:rPr>
            </w:pPr>
            <w:r>
              <w:rPr>
                <w:rFonts w:ascii="Inter" w:hAnsi="Inter"/>
                <w:color w:val="000000"/>
              </w:rPr>
              <w:t xml:space="preserve">Mean time </w:t>
            </w:r>
            <w:r w:rsidR="00A35534">
              <w:rPr>
                <w:rFonts w:ascii="Inter" w:hAnsi="Inter"/>
                <w:color w:val="000000"/>
              </w:rPr>
              <w:t xml:space="preserve">(calendar days) </w:t>
            </w:r>
            <w:r>
              <w:rPr>
                <w:rFonts w:ascii="Inter" w:hAnsi="Inter"/>
                <w:color w:val="000000"/>
              </w:rPr>
              <w:t>between marketing authorisation and NICE recommendation</w:t>
            </w:r>
          </w:p>
        </w:tc>
        <w:tc>
          <w:tcPr>
            <w:tcW w:w="1325" w:type="dxa"/>
          </w:tcPr>
          <w:p w14:paraId="17E1B362" w14:textId="10086AF7" w:rsidR="003D2AFD" w:rsidRPr="008D47BA" w:rsidRDefault="003D2AFD" w:rsidP="003D2AFD">
            <w:pPr>
              <w:pStyle w:val="Paragraph"/>
              <w:spacing w:before="80" w:after="80" w:line="240" w:lineRule="auto"/>
              <w:jc w:val="center"/>
              <w:rPr>
                <w:lang w:eastAsia="en-GB"/>
              </w:rPr>
            </w:pPr>
            <w:r>
              <w:rPr>
                <w:rFonts w:cs="Arial"/>
                <w:color w:val="000000"/>
                <w:kern w:val="24"/>
                <w:sz w:val="21"/>
                <w:szCs w:val="21"/>
              </w:rPr>
              <w:t>367</w:t>
            </w:r>
          </w:p>
        </w:tc>
        <w:tc>
          <w:tcPr>
            <w:tcW w:w="1416" w:type="dxa"/>
          </w:tcPr>
          <w:p w14:paraId="48AB6A60" w14:textId="41576B69" w:rsidR="003D2AFD" w:rsidRPr="00013FE1" w:rsidRDefault="00CC264D" w:rsidP="003D2AFD">
            <w:pPr>
              <w:pStyle w:val="Paragraph"/>
              <w:spacing w:before="80" w:after="80" w:line="240" w:lineRule="auto"/>
              <w:jc w:val="center"/>
              <w:rPr>
                <w:b/>
                <w:bCs/>
                <w:lang w:eastAsia="en-GB"/>
              </w:rPr>
            </w:pPr>
            <w:r>
              <w:rPr>
                <w:b/>
                <w:bCs/>
                <w:lang w:eastAsia="en-GB"/>
              </w:rPr>
              <w:t>432</w:t>
            </w:r>
          </w:p>
        </w:tc>
        <w:tc>
          <w:tcPr>
            <w:tcW w:w="1298" w:type="dxa"/>
            <w:shd w:val="clear" w:color="auto" w:fill="F4E8AA"/>
          </w:tcPr>
          <w:p w14:paraId="731CD26B" w14:textId="3A7AA85D" w:rsidR="003D2AFD" w:rsidRPr="008D47BA" w:rsidRDefault="006B12EC" w:rsidP="003D2AFD">
            <w:pPr>
              <w:pStyle w:val="Paragraph"/>
              <w:spacing w:before="80" w:after="80" w:line="240" w:lineRule="auto"/>
              <w:jc w:val="center"/>
              <w:rPr>
                <w:lang w:eastAsia="en-GB"/>
              </w:rPr>
            </w:pPr>
            <w:r>
              <w:rPr>
                <w:lang w:eastAsia="en-GB"/>
              </w:rPr>
              <w:t>Amber</w:t>
            </w:r>
          </w:p>
        </w:tc>
        <w:tc>
          <w:tcPr>
            <w:tcW w:w="1220" w:type="dxa"/>
          </w:tcPr>
          <w:p w14:paraId="33C14224" w14:textId="5234E1D2" w:rsidR="003D2AFD" w:rsidRPr="008D47BA" w:rsidRDefault="003D2AFD" w:rsidP="003D2AFD">
            <w:pPr>
              <w:pStyle w:val="Paragraph"/>
              <w:spacing w:before="80" w:after="80" w:line="240" w:lineRule="auto"/>
              <w:jc w:val="center"/>
              <w:rPr>
                <w:lang w:eastAsia="en-GB"/>
              </w:rPr>
            </w:pPr>
            <w:r>
              <w:rPr>
                <w:rFonts w:cs="Arial"/>
                <w:color w:val="000000"/>
                <w:kern w:val="24"/>
                <w:sz w:val="21"/>
                <w:szCs w:val="21"/>
              </w:rPr>
              <w:t>367</w:t>
            </w:r>
          </w:p>
        </w:tc>
        <w:tc>
          <w:tcPr>
            <w:tcW w:w="4947" w:type="dxa"/>
          </w:tcPr>
          <w:p w14:paraId="0502A81E" w14:textId="54376C01" w:rsidR="000645BC" w:rsidRDefault="00FD18EB" w:rsidP="003D2AFD">
            <w:pPr>
              <w:pStyle w:val="NormalWeb"/>
              <w:spacing w:before="80" w:beforeAutospacing="0" w:after="80" w:afterAutospacing="0"/>
              <w:textAlignment w:val="center"/>
              <w:rPr>
                <w:rFonts w:asciiTheme="minorHAnsi" w:hAnsiTheme="minorHAnsi" w:cs="Arial"/>
                <w:color w:val="000000"/>
                <w:kern w:val="24"/>
                <w:sz w:val="22"/>
                <w:szCs w:val="22"/>
              </w:rPr>
            </w:pPr>
            <w:r w:rsidRPr="001F5F70">
              <w:rPr>
                <w:rFonts w:asciiTheme="minorHAnsi" w:hAnsiTheme="minorHAnsi" w:cs="Arial"/>
                <w:b/>
                <w:color w:val="ED0000"/>
                <w:kern w:val="24"/>
                <w:sz w:val="22"/>
                <w:szCs w:val="22"/>
              </w:rPr>
              <w:t>Deterioration</w:t>
            </w:r>
            <w:r w:rsidRPr="002A3FBF">
              <w:rPr>
                <w:rFonts w:asciiTheme="minorHAnsi" w:hAnsiTheme="minorHAnsi" w:cs="Arial"/>
                <w:b/>
                <w:color w:val="007E39"/>
                <w:kern w:val="24"/>
                <w:sz w:val="22"/>
                <w:szCs w:val="22"/>
              </w:rPr>
              <w:t xml:space="preserve"> </w:t>
            </w:r>
            <w:r w:rsidRPr="002A3FBF">
              <w:rPr>
                <w:rFonts w:asciiTheme="minorHAnsi" w:hAnsiTheme="minorHAnsi" w:cs="Arial"/>
                <w:b/>
                <w:color w:val="000000"/>
                <w:kern w:val="24"/>
                <w:sz w:val="22"/>
                <w:szCs w:val="22"/>
              </w:rPr>
              <w:t>on</w:t>
            </w:r>
            <w:r w:rsidR="007875BB" w:rsidRPr="002A3FBF">
              <w:rPr>
                <w:rFonts w:asciiTheme="minorHAnsi" w:hAnsiTheme="minorHAnsi" w:cs="Arial"/>
                <w:b/>
                <w:color w:val="000000"/>
                <w:kern w:val="24"/>
                <w:sz w:val="22"/>
                <w:szCs w:val="22"/>
              </w:rPr>
              <w:t xml:space="preserve"> last year </w:t>
            </w:r>
            <w:r w:rsidR="007875BB" w:rsidRPr="002A3FBF">
              <w:rPr>
                <w:rFonts w:asciiTheme="minorHAnsi" w:hAnsiTheme="minorHAnsi" w:cs="Arial"/>
                <w:color w:val="000000"/>
                <w:kern w:val="24"/>
                <w:sz w:val="22"/>
                <w:szCs w:val="22"/>
              </w:rPr>
              <w:t>(</w:t>
            </w:r>
            <w:r w:rsidR="00DD4114" w:rsidRPr="002A3FBF">
              <w:rPr>
                <w:rFonts w:asciiTheme="minorHAnsi" w:hAnsiTheme="minorHAnsi" w:cs="Arial"/>
                <w:color w:val="000000"/>
                <w:kern w:val="24"/>
                <w:sz w:val="22"/>
                <w:szCs w:val="22"/>
              </w:rPr>
              <w:t>+</w:t>
            </w:r>
            <w:r w:rsidR="002F1D50">
              <w:rPr>
                <w:rFonts w:asciiTheme="minorHAnsi" w:hAnsiTheme="minorHAnsi" w:cs="Arial"/>
                <w:color w:val="000000"/>
                <w:kern w:val="24"/>
                <w:sz w:val="22"/>
                <w:szCs w:val="22"/>
              </w:rPr>
              <w:t>65</w:t>
            </w:r>
            <w:r w:rsidR="007875BB" w:rsidRPr="002A3FBF">
              <w:rPr>
                <w:rFonts w:asciiTheme="minorHAnsi" w:hAnsiTheme="minorHAnsi" w:cs="Arial"/>
                <w:color w:val="000000"/>
                <w:kern w:val="24"/>
                <w:sz w:val="22"/>
                <w:szCs w:val="22"/>
              </w:rPr>
              <w:t xml:space="preserve"> days, </w:t>
            </w:r>
            <w:r w:rsidR="002F1D50">
              <w:rPr>
                <w:rFonts w:asciiTheme="minorHAnsi" w:hAnsiTheme="minorHAnsi" w:cs="Arial"/>
                <w:color w:val="000000"/>
                <w:kern w:val="24"/>
                <w:sz w:val="22"/>
                <w:szCs w:val="22"/>
              </w:rPr>
              <w:t>18</w:t>
            </w:r>
            <w:r w:rsidR="007875BB" w:rsidRPr="002A3FBF">
              <w:rPr>
                <w:rFonts w:asciiTheme="minorHAnsi" w:hAnsiTheme="minorHAnsi" w:cs="Arial"/>
                <w:color w:val="000000"/>
                <w:kern w:val="24"/>
                <w:sz w:val="22"/>
                <w:szCs w:val="22"/>
              </w:rPr>
              <w:t xml:space="preserve">% </w:t>
            </w:r>
            <w:r w:rsidR="00DD4114" w:rsidRPr="002A3FBF">
              <w:rPr>
                <w:rFonts w:asciiTheme="minorHAnsi" w:hAnsiTheme="minorHAnsi" w:cs="Arial"/>
                <w:color w:val="000000"/>
                <w:kern w:val="24"/>
                <w:sz w:val="22"/>
                <w:szCs w:val="22"/>
              </w:rPr>
              <w:t xml:space="preserve">slower than </w:t>
            </w:r>
            <w:r w:rsidR="005D7216">
              <w:rPr>
                <w:rFonts w:asciiTheme="minorHAnsi" w:hAnsiTheme="minorHAnsi" w:cs="Arial"/>
                <w:color w:val="000000"/>
                <w:kern w:val="24"/>
                <w:sz w:val="22"/>
                <w:szCs w:val="22"/>
              </w:rPr>
              <w:t>25/26 baseline</w:t>
            </w:r>
            <w:r w:rsidR="007875BB" w:rsidRPr="002A3FBF">
              <w:rPr>
                <w:rFonts w:asciiTheme="minorHAnsi" w:hAnsiTheme="minorHAnsi" w:cs="Arial"/>
                <w:color w:val="000000"/>
                <w:kern w:val="24"/>
                <w:sz w:val="22"/>
                <w:szCs w:val="22"/>
              </w:rPr>
              <w:t>)</w:t>
            </w:r>
          </w:p>
          <w:p w14:paraId="18132EE1" w14:textId="6ABD7719" w:rsidR="00630080" w:rsidRPr="002A3FBF" w:rsidRDefault="005E03B1" w:rsidP="003D2AFD">
            <w:pPr>
              <w:pStyle w:val="NormalWeb"/>
              <w:spacing w:before="80" w:beforeAutospacing="0" w:after="80" w:afterAutospacing="0"/>
              <w:textAlignment w:val="center"/>
              <w:rPr>
                <w:rFonts w:asciiTheme="minorHAnsi" w:hAnsiTheme="minorHAnsi" w:cs="Arial"/>
                <w:color w:val="000000"/>
                <w:kern w:val="24"/>
                <w:sz w:val="22"/>
                <w:szCs w:val="22"/>
              </w:rPr>
            </w:pPr>
            <w:r>
              <w:rPr>
                <w:rFonts w:asciiTheme="minorHAnsi" w:hAnsiTheme="minorHAnsi" w:cs="Arial"/>
                <w:color w:val="000000"/>
                <w:kern w:val="24"/>
                <w:sz w:val="22"/>
                <w:szCs w:val="22"/>
              </w:rPr>
              <w:t xml:space="preserve">KPI is rated amber </w:t>
            </w:r>
            <w:r w:rsidR="00E373A8">
              <w:rPr>
                <w:rFonts w:asciiTheme="minorHAnsi" w:hAnsiTheme="minorHAnsi" w:cs="Arial"/>
                <w:color w:val="000000"/>
                <w:kern w:val="24"/>
                <w:sz w:val="22"/>
                <w:szCs w:val="22"/>
              </w:rPr>
              <w:t>due to the recent i</w:t>
            </w:r>
            <w:r w:rsidR="008A254E">
              <w:rPr>
                <w:rFonts w:asciiTheme="minorHAnsi" w:hAnsiTheme="minorHAnsi" w:cs="Arial"/>
                <w:color w:val="000000"/>
                <w:kern w:val="24"/>
                <w:sz w:val="22"/>
                <w:szCs w:val="22"/>
              </w:rPr>
              <w:t>ncrease</w:t>
            </w:r>
            <w:r w:rsidR="00E373A8">
              <w:rPr>
                <w:rFonts w:asciiTheme="minorHAnsi" w:hAnsiTheme="minorHAnsi" w:cs="Arial"/>
                <w:color w:val="000000"/>
                <w:kern w:val="24"/>
                <w:sz w:val="22"/>
                <w:szCs w:val="22"/>
              </w:rPr>
              <w:t xml:space="preserve"> in </w:t>
            </w:r>
            <w:r w:rsidR="008A254E">
              <w:rPr>
                <w:rFonts w:asciiTheme="minorHAnsi" w:hAnsiTheme="minorHAnsi" w:cs="Arial"/>
                <w:color w:val="000000"/>
                <w:kern w:val="24"/>
                <w:sz w:val="22"/>
                <w:szCs w:val="22"/>
              </w:rPr>
              <w:t>average</w:t>
            </w:r>
            <w:r w:rsidR="009A472D">
              <w:rPr>
                <w:rFonts w:asciiTheme="minorHAnsi" w:hAnsiTheme="minorHAnsi" w:cs="Arial"/>
                <w:color w:val="000000"/>
                <w:kern w:val="24"/>
                <w:sz w:val="22"/>
                <w:szCs w:val="22"/>
              </w:rPr>
              <w:t xml:space="preserve"> (</w:t>
            </w:r>
            <w:r w:rsidR="00DD4114">
              <w:rPr>
                <w:rFonts w:asciiTheme="minorHAnsi" w:hAnsiTheme="minorHAnsi" w:cs="Arial"/>
                <w:color w:val="000000"/>
                <w:kern w:val="24"/>
                <w:sz w:val="22"/>
                <w:szCs w:val="22"/>
              </w:rPr>
              <w:t>mean</w:t>
            </w:r>
            <w:r w:rsidR="007875BB">
              <w:rPr>
                <w:rFonts w:asciiTheme="minorHAnsi" w:hAnsiTheme="minorHAnsi" w:cs="Arial"/>
                <w:color w:val="000000"/>
                <w:kern w:val="24"/>
                <w:sz w:val="22"/>
                <w:szCs w:val="22"/>
              </w:rPr>
              <w:t>)</w:t>
            </w:r>
            <w:r w:rsidR="008A254E">
              <w:rPr>
                <w:rFonts w:asciiTheme="minorHAnsi" w:hAnsiTheme="minorHAnsi" w:cs="Arial"/>
                <w:color w:val="000000"/>
                <w:kern w:val="24"/>
                <w:sz w:val="22"/>
                <w:szCs w:val="22"/>
              </w:rPr>
              <w:t xml:space="preserve"> </w:t>
            </w:r>
            <w:r w:rsidR="00D506E7">
              <w:rPr>
                <w:rFonts w:asciiTheme="minorHAnsi" w:hAnsiTheme="minorHAnsi" w:cs="Arial"/>
                <w:color w:val="000000"/>
                <w:kern w:val="24"/>
                <w:sz w:val="22"/>
                <w:szCs w:val="22"/>
              </w:rPr>
              <w:t xml:space="preserve">time to publish </w:t>
            </w:r>
            <w:r w:rsidR="003D2D5C">
              <w:rPr>
                <w:rFonts w:asciiTheme="minorHAnsi" w:hAnsiTheme="minorHAnsi" w:cs="Arial"/>
                <w:color w:val="000000"/>
                <w:kern w:val="24"/>
                <w:sz w:val="22"/>
                <w:szCs w:val="22"/>
              </w:rPr>
              <w:t xml:space="preserve">final </w:t>
            </w:r>
            <w:r w:rsidR="00D506E7">
              <w:rPr>
                <w:rFonts w:asciiTheme="minorHAnsi" w:hAnsiTheme="minorHAnsi" w:cs="Arial"/>
                <w:color w:val="000000"/>
                <w:kern w:val="24"/>
                <w:sz w:val="22"/>
                <w:szCs w:val="22"/>
              </w:rPr>
              <w:t>guidance</w:t>
            </w:r>
            <w:r w:rsidR="00E373A8">
              <w:rPr>
                <w:rFonts w:asciiTheme="minorHAnsi" w:hAnsiTheme="minorHAnsi" w:cs="Arial"/>
                <w:color w:val="000000"/>
                <w:kern w:val="24"/>
                <w:sz w:val="22"/>
                <w:szCs w:val="22"/>
              </w:rPr>
              <w:t xml:space="preserve"> topics. This increase</w:t>
            </w:r>
            <w:r w:rsidR="00D506E7">
              <w:rPr>
                <w:rFonts w:asciiTheme="minorHAnsi" w:hAnsiTheme="minorHAnsi" w:cs="Arial"/>
                <w:color w:val="000000"/>
                <w:kern w:val="24"/>
                <w:sz w:val="22"/>
                <w:szCs w:val="22"/>
              </w:rPr>
              <w:t xml:space="preserve"> </w:t>
            </w:r>
            <w:r w:rsidR="00DA14E1">
              <w:rPr>
                <w:rFonts w:asciiTheme="minorHAnsi" w:hAnsiTheme="minorHAnsi" w:cs="Arial"/>
                <w:color w:val="000000"/>
                <w:kern w:val="24"/>
                <w:sz w:val="22"/>
                <w:szCs w:val="22"/>
              </w:rPr>
              <w:t xml:space="preserve">was driven </w:t>
            </w:r>
            <w:r w:rsidR="0062399B">
              <w:rPr>
                <w:rFonts w:asciiTheme="minorHAnsi" w:hAnsiTheme="minorHAnsi" w:cs="Arial"/>
                <w:color w:val="000000"/>
                <w:kern w:val="24"/>
                <w:sz w:val="22"/>
                <w:szCs w:val="22"/>
              </w:rPr>
              <w:t xml:space="preserve">by </w:t>
            </w:r>
            <w:r w:rsidR="005125DF">
              <w:rPr>
                <w:rFonts w:asciiTheme="minorHAnsi" w:hAnsiTheme="minorHAnsi" w:cs="Arial"/>
                <w:color w:val="000000"/>
                <w:kern w:val="24"/>
                <w:sz w:val="22"/>
                <w:szCs w:val="22"/>
              </w:rPr>
              <w:t xml:space="preserve">7 </w:t>
            </w:r>
            <w:r w:rsidR="00085B6A">
              <w:rPr>
                <w:rFonts w:asciiTheme="minorHAnsi" w:hAnsiTheme="minorHAnsi" w:cs="Arial"/>
                <w:color w:val="000000"/>
                <w:kern w:val="24"/>
                <w:sz w:val="22"/>
                <w:szCs w:val="22"/>
              </w:rPr>
              <w:t xml:space="preserve">exceptional cases, </w:t>
            </w:r>
            <w:r w:rsidR="0077314E">
              <w:rPr>
                <w:rFonts w:asciiTheme="minorHAnsi" w:hAnsiTheme="minorHAnsi" w:cs="Arial"/>
                <w:color w:val="000000"/>
                <w:kern w:val="24"/>
                <w:sz w:val="22"/>
                <w:szCs w:val="22"/>
              </w:rPr>
              <w:t xml:space="preserve">published in April and May that </w:t>
            </w:r>
            <w:r w:rsidR="004D1127">
              <w:rPr>
                <w:rFonts w:asciiTheme="minorHAnsi" w:hAnsiTheme="minorHAnsi" w:cs="Arial"/>
                <w:color w:val="000000"/>
                <w:kern w:val="24"/>
                <w:sz w:val="22"/>
                <w:szCs w:val="22"/>
              </w:rPr>
              <w:t xml:space="preserve">that have </w:t>
            </w:r>
            <w:r w:rsidR="001338B4">
              <w:rPr>
                <w:rFonts w:asciiTheme="minorHAnsi" w:hAnsiTheme="minorHAnsi" w:cs="Arial"/>
                <w:color w:val="000000"/>
                <w:kern w:val="24"/>
                <w:sz w:val="22"/>
                <w:szCs w:val="22"/>
              </w:rPr>
              <w:t xml:space="preserve">been in progress for more </w:t>
            </w:r>
            <w:r w:rsidR="00AD0ACC">
              <w:rPr>
                <w:rFonts w:asciiTheme="minorHAnsi" w:hAnsiTheme="minorHAnsi" w:cs="Arial"/>
                <w:color w:val="000000"/>
                <w:kern w:val="24"/>
                <w:sz w:val="22"/>
                <w:szCs w:val="22"/>
              </w:rPr>
              <w:t>than a year.</w:t>
            </w:r>
          </w:p>
        </w:tc>
      </w:tr>
      <w:tr w:rsidR="003D2AFD" w14:paraId="483A8F4F" w14:textId="77777777" w:rsidTr="002A3FBF">
        <w:trPr>
          <w:trHeight w:val="2553"/>
        </w:trPr>
        <w:tc>
          <w:tcPr>
            <w:tcW w:w="4106" w:type="dxa"/>
          </w:tcPr>
          <w:p w14:paraId="436B4F09" w14:textId="021E739D" w:rsidR="003D2AFD" w:rsidRPr="002A3FBF" w:rsidRDefault="003D2AFD" w:rsidP="003D2AFD">
            <w:pPr>
              <w:pStyle w:val="Paragraph"/>
              <w:spacing w:before="80" w:after="80" w:line="240" w:lineRule="auto"/>
              <w:rPr>
                <w:rFonts w:ascii="Inter" w:hAnsi="Inter"/>
                <w:color w:val="000000"/>
              </w:rPr>
            </w:pPr>
            <w:r>
              <w:rPr>
                <w:rFonts w:ascii="Inter" w:hAnsi="Inter"/>
                <w:color w:val="000000"/>
              </w:rPr>
              <w:t xml:space="preserve">Median time </w:t>
            </w:r>
            <w:r w:rsidR="00186394">
              <w:rPr>
                <w:rFonts w:ascii="Inter" w:hAnsi="Inter"/>
                <w:color w:val="000000"/>
              </w:rPr>
              <w:t xml:space="preserve">(calendar days) </w:t>
            </w:r>
            <w:r>
              <w:rPr>
                <w:rFonts w:ascii="Inter" w:hAnsi="Inter"/>
                <w:color w:val="000000"/>
              </w:rPr>
              <w:t>between marketing authorisation and NICE recommendation</w:t>
            </w:r>
          </w:p>
        </w:tc>
        <w:tc>
          <w:tcPr>
            <w:tcW w:w="1325" w:type="dxa"/>
          </w:tcPr>
          <w:p w14:paraId="06C3F506" w14:textId="3EF7F144" w:rsidR="003D2AFD" w:rsidRDefault="003D2AFD" w:rsidP="003D2AFD">
            <w:pPr>
              <w:pStyle w:val="Paragraph"/>
              <w:spacing w:before="80" w:after="80" w:line="240" w:lineRule="auto"/>
              <w:jc w:val="center"/>
              <w:rPr>
                <w:rFonts w:cs="Arial"/>
                <w:color w:val="000000"/>
                <w:kern w:val="24"/>
              </w:rPr>
            </w:pPr>
            <w:r>
              <w:rPr>
                <w:rFonts w:cs="Arial"/>
                <w:color w:val="000000"/>
                <w:kern w:val="24"/>
                <w:sz w:val="21"/>
                <w:szCs w:val="21"/>
              </w:rPr>
              <w:t>232</w:t>
            </w:r>
          </w:p>
        </w:tc>
        <w:tc>
          <w:tcPr>
            <w:tcW w:w="1416" w:type="dxa"/>
          </w:tcPr>
          <w:p w14:paraId="269B981C" w14:textId="6C3337DC" w:rsidR="003D2AFD" w:rsidRPr="00013FE1" w:rsidRDefault="00CC264D" w:rsidP="003D2AFD">
            <w:pPr>
              <w:pStyle w:val="Paragraph"/>
              <w:spacing w:before="80" w:after="80" w:line="240" w:lineRule="auto"/>
              <w:jc w:val="center"/>
              <w:rPr>
                <w:rFonts w:cs="Arial"/>
                <w:b/>
                <w:bCs/>
                <w:color w:val="000000"/>
                <w:kern w:val="24"/>
              </w:rPr>
            </w:pPr>
            <w:r>
              <w:rPr>
                <w:rFonts w:cs="Arial"/>
                <w:b/>
                <w:bCs/>
                <w:color w:val="000000"/>
                <w:kern w:val="24"/>
              </w:rPr>
              <w:t>455</w:t>
            </w:r>
          </w:p>
        </w:tc>
        <w:tc>
          <w:tcPr>
            <w:tcW w:w="1298" w:type="dxa"/>
            <w:shd w:val="clear" w:color="auto" w:fill="F4E8AA"/>
          </w:tcPr>
          <w:p w14:paraId="3A27351A" w14:textId="4A664CFC" w:rsidR="003D2AFD" w:rsidRDefault="006B12EC" w:rsidP="003D2AFD">
            <w:pPr>
              <w:pStyle w:val="Paragraph"/>
              <w:spacing w:before="80" w:after="80" w:line="240" w:lineRule="auto"/>
              <w:jc w:val="center"/>
              <w:rPr>
                <w:lang w:eastAsia="en-GB"/>
              </w:rPr>
            </w:pPr>
            <w:r>
              <w:rPr>
                <w:lang w:eastAsia="en-GB"/>
              </w:rPr>
              <w:t>Amber</w:t>
            </w:r>
          </w:p>
        </w:tc>
        <w:tc>
          <w:tcPr>
            <w:tcW w:w="1220" w:type="dxa"/>
          </w:tcPr>
          <w:p w14:paraId="0D2CF280" w14:textId="51C815DF" w:rsidR="003D2AFD" w:rsidRDefault="003D2AFD" w:rsidP="003D2AFD">
            <w:pPr>
              <w:pStyle w:val="Paragraph"/>
              <w:spacing w:before="80" w:after="80" w:line="240" w:lineRule="auto"/>
              <w:jc w:val="center"/>
              <w:rPr>
                <w:rFonts w:cs="Arial"/>
                <w:color w:val="000000"/>
                <w:kern w:val="24"/>
              </w:rPr>
            </w:pPr>
            <w:r>
              <w:rPr>
                <w:rFonts w:cs="Arial"/>
                <w:color w:val="000000"/>
                <w:kern w:val="24"/>
                <w:sz w:val="21"/>
                <w:szCs w:val="21"/>
              </w:rPr>
              <w:t>232</w:t>
            </w:r>
          </w:p>
        </w:tc>
        <w:tc>
          <w:tcPr>
            <w:tcW w:w="4947" w:type="dxa"/>
          </w:tcPr>
          <w:p w14:paraId="0B5EF013" w14:textId="2887778F" w:rsidR="00630080" w:rsidRPr="002A3FBF" w:rsidRDefault="00BF6915" w:rsidP="00C962F8">
            <w:pPr>
              <w:pStyle w:val="NormalWeb"/>
              <w:spacing w:before="80" w:beforeAutospacing="0" w:after="80" w:afterAutospacing="0"/>
              <w:textAlignment w:val="center"/>
              <w:rPr>
                <w:rFonts w:ascii="Inter" w:hAnsi="Inter" w:cs="Arial"/>
                <w:color w:val="000000"/>
                <w:kern w:val="24"/>
                <w:sz w:val="22"/>
                <w:szCs w:val="22"/>
              </w:rPr>
            </w:pPr>
            <w:r w:rsidRPr="001F5F70">
              <w:rPr>
                <w:rFonts w:ascii="Inter" w:hAnsi="Inter" w:cs="Arial"/>
                <w:b/>
                <w:color w:val="ED0000"/>
                <w:kern w:val="24"/>
                <w:sz w:val="22"/>
                <w:szCs w:val="22"/>
              </w:rPr>
              <w:t>Deterioration</w:t>
            </w:r>
            <w:r w:rsidRPr="002A3FBF">
              <w:rPr>
                <w:rFonts w:ascii="Inter" w:hAnsi="Inter" w:cs="Arial"/>
                <w:b/>
                <w:bCs/>
                <w:color w:val="007E39"/>
                <w:kern w:val="24"/>
                <w:sz w:val="22"/>
                <w:szCs w:val="22"/>
              </w:rPr>
              <w:t xml:space="preserve"> </w:t>
            </w:r>
            <w:r w:rsidRPr="002A3FBF">
              <w:rPr>
                <w:rFonts w:ascii="Inter" w:hAnsi="Inter" w:cs="Arial"/>
                <w:b/>
                <w:bCs/>
                <w:color w:val="000000"/>
                <w:kern w:val="24"/>
                <w:sz w:val="22"/>
                <w:szCs w:val="22"/>
              </w:rPr>
              <w:t>on last year</w:t>
            </w:r>
            <w:r w:rsidR="00C962F8" w:rsidRPr="002A3FBF">
              <w:rPr>
                <w:rFonts w:ascii="Inter" w:hAnsi="Inter" w:cs="Arial"/>
                <w:b/>
                <w:bCs/>
                <w:color w:val="000000"/>
                <w:kern w:val="24"/>
                <w:sz w:val="22"/>
                <w:szCs w:val="22"/>
              </w:rPr>
              <w:t xml:space="preserve"> </w:t>
            </w:r>
            <w:r w:rsidRPr="002A3FBF">
              <w:rPr>
                <w:rFonts w:ascii="Inter" w:hAnsi="Inter" w:cs="Arial"/>
                <w:color w:val="000000"/>
                <w:kern w:val="24"/>
                <w:sz w:val="22"/>
                <w:szCs w:val="22"/>
              </w:rPr>
              <w:t>(+</w:t>
            </w:r>
            <w:r w:rsidR="00C775BD">
              <w:rPr>
                <w:rFonts w:ascii="Inter" w:hAnsi="Inter" w:cs="Arial"/>
                <w:color w:val="000000"/>
                <w:kern w:val="24"/>
                <w:sz w:val="22"/>
                <w:szCs w:val="22"/>
              </w:rPr>
              <w:t>22</w:t>
            </w:r>
            <w:r w:rsidR="00C962F8" w:rsidRPr="002A3FBF">
              <w:rPr>
                <w:rFonts w:ascii="Inter" w:hAnsi="Inter" w:cs="Arial"/>
                <w:color w:val="000000"/>
                <w:kern w:val="24"/>
                <w:sz w:val="22"/>
                <w:szCs w:val="22"/>
              </w:rPr>
              <w:t>3</w:t>
            </w:r>
            <w:r w:rsidRPr="002A3FBF">
              <w:rPr>
                <w:rFonts w:ascii="Inter" w:hAnsi="Inter" w:cs="Arial"/>
                <w:color w:val="000000"/>
                <w:kern w:val="24"/>
                <w:sz w:val="22"/>
                <w:szCs w:val="22"/>
              </w:rPr>
              <w:t xml:space="preserve"> days, </w:t>
            </w:r>
            <w:r w:rsidR="00C775BD">
              <w:rPr>
                <w:rFonts w:ascii="Inter" w:hAnsi="Inter" w:cs="Arial"/>
                <w:color w:val="000000"/>
                <w:kern w:val="24"/>
                <w:sz w:val="22"/>
                <w:szCs w:val="22"/>
              </w:rPr>
              <w:t>96</w:t>
            </w:r>
            <w:r w:rsidRPr="002A3FBF">
              <w:rPr>
                <w:rFonts w:ascii="Inter" w:hAnsi="Inter" w:cs="Arial"/>
                <w:color w:val="000000"/>
                <w:kern w:val="24"/>
                <w:sz w:val="22"/>
                <w:szCs w:val="22"/>
              </w:rPr>
              <w:t xml:space="preserve">% slower than </w:t>
            </w:r>
            <w:r w:rsidR="00C962F8" w:rsidRPr="002A3FBF">
              <w:rPr>
                <w:rFonts w:ascii="Inter" w:hAnsi="Inter" w:cs="Arial"/>
                <w:color w:val="000000"/>
                <w:kern w:val="24"/>
                <w:sz w:val="22"/>
                <w:szCs w:val="22"/>
              </w:rPr>
              <w:t>25/26 baseline</w:t>
            </w:r>
            <w:r w:rsidRPr="002A3FBF">
              <w:rPr>
                <w:rFonts w:ascii="Inter" w:hAnsi="Inter" w:cs="Arial"/>
                <w:color w:val="000000"/>
                <w:kern w:val="24"/>
                <w:sz w:val="22"/>
                <w:szCs w:val="22"/>
              </w:rPr>
              <w:t>)</w:t>
            </w:r>
          </w:p>
          <w:p w14:paraId="105FD9FE" w14:textId="2AFCCCF3" w:rsidR="00630080" w:rsidRPr="002A3FBF" w:rsidRDefault="00F62F49" w:rsidP="003D2AFD">
            <w:pPr>
              <w:pStyle w:val="NormalWeb"/>
              <w:spacing w:before="80" w:beforeAutospacing="0" w:after="80" w:afterAutospacing="0"/>
              <w:textAlignment w:val="center"/>
              <w:rPr>
                <w:rFonts w:asciiTheme="minorHAnsi" w:hAnsiTheme="minorHAnsi" w:cs="Arial"/>
                <w:color w:val="000000"/>
                <w:kern w:val="24"/>
                <w:sz w:val="22"/>
                <w:szCs w:val="22"/>
              </w:rPr>
            </w:pPr>
            <w:r w:rsidRPr="002A3FBF">
              <w:rPr>
                <w:rFonts w:ascii="Inter" w:hAnsi="Inter" w:cs="Arial"/>
                <w:color w:val="000000"/>
                <w:kern w:val="24"/>
                <w:sz w:val="22"/>
                <w:szCs w:val="22"/>
              </w:rPr>
              <w:t xml:space="preserve">KPI is rated amber due to the recent increase in average </w:t>
            </w:r>
            <w:r w:rsidR="009A472D" w:rsidRPr="002A3FBF">
              <w:rPr>
                <w:rFonts w:ascii="Inter" w:hAnsi="Inter" w:cs="Arial"/>
                <w:color w:val="000000"/>
                <w:kern w:val="24"/>
                <w:sz w:val="22"/>
                <w:szCs w:val="22"/>
              </w:rPr>
              <w:t xml:space="preserve">(median) </w:t>
            </w:r>
            <w:r w:rsidRPr="002A3FBF">
              <w:rPr>
                <w:rFonts w:ascii="Inter" w:hAnsi="Inter" w:cs="Arial"/>
                <w:color w:val="000000"/>
                <w:kern w:val="24"/>
                <w:sz w:val="22"/>
                <w:szCs w:val="22"/>
              </w:rPr>
              <w:t>time to publish final guidance topics. This increase was driven by 7 exceptional cases, published in April and May that that have been in progress for more than a year.</w:t>
            </w:r>
          </w:p>
        </w:tc>
      </w:tr>
      <w:tr w:rsidR="002C3503" w14:paraId="237004CB" w14:textId="77777777" w:rsidTr="002A3FBF">
        <w:trPr>
          <w:trHeight w:val="1116"/>
        </w:trPr>
        <w:tc>
          <w:tcPr>
            <w:tcW w:w="4106" w:type="dxa"/>
          </w:tcPr>
          <w:p w14:paraId="33C4F4DD" w14:textId="451B5B1C" w:rsidR="002C3503" w:rsidRDefault="002C3503" w:rsidP="00576364">
            <w:pPr>
              <w:pStyle w:val="Paragraph"/>
              <w:spacing w:before="80" w:after="80" w:line="240" w:lineRule="auto"/>
              <w:rPr>
                <w:rFonts w:ascii="Inter" w:hAnsi="Inter"/>
                <w:color w:val="000000"/>
              </w:rPr>
            </w:pPr>
            <w:r>
              <w:rPr>
                <w:rFonts w:ascii="Inter" w:hAnsi="Inter"/>
                <w:color w:val="000000"/>
              </w:rPr>
              <w:t xml:space="preserve">Number of </w:t>
            </w:r>
            <w:r w:rsidR="00187266">
              <w:rPr>
                <w:rFonts w:ascii="Inter" w:hAnsi="Inter"/>
                <w:color w:val="000000"/>
              </w:rPr>
              <w:t xml:space="preserve">medicines evaluation </w:t>
            </w:r>
            <w:r>
              <w:rPr>
                <w:rFonts w:ascii="Inter" w:hAnsi="Inter"/>
                <w:color w:val="000000"/>
              </w:rPr>
              <w:t>publications (excluding terminations and reviews)</w:t>
            </w:r>
          </w:p>
        </w:tc>
        <w:tc>
          <w:tcPr>
            <w:tcW w:w="1325" w:type="dxa"/>
          </w:tcPr>
          <w:p w14:paraId="25F29263" w14:textId="498B9A83" w:rsidR="002C3503" w:rsidRDefault="002C3503" w:rsidP="003D2AFD">
            <w:pPr>
              <w:pStyle w:val="Paragraph"/>
              <w:spacing w:before="80" w:after="80" w:line="240" w:lineRule="auto"/>
              <w:jc w:val="center"/>
              <w:rPr>
                <w:rFonts w:cs="Arial"/>
                <w:color w:val="000000"/>
                <w:kern w:val="24"/>
                <w:sz w:val="21"/>
                <w:szCs w:val="21"/>
              </w:rPr>
            </w:pPr>
            <w:r>
              <w:rPr>
                <w:rFonts w:cs="Arial"/>
                <w:color w:val="000000"/>
                <w:kern w:val="24"/>
                <w:sz w:val="21"/>
                <w:szCs w:val="21"/>
              </w:rPr>
              <w:t>n/a</w:t>
            </w:r>
          </w:p>
        </w:tc>
        <w:tc>
          <w:tcPr>
            <w:tcW w:w="1416" w:type="dxa"/>
          </w:tcPr>
          <w:p w14:paraId="65E69A1B" w14:textId="1777C0F5" w:rsidR="002C3503" w:rsidRDefault="005D5296" w:rsidP="003D2AFD">
            <w:pPr>
              <w:pStyle w:val="Paragraph"/>
              <w:spacing w:before="80" w:after="80" w:line="240" w:lineRule="auto"/>
              <w:jc w:val="center"/>
              <w:rPr>
                <w:rFonts w:cs="Arial"/>
                <w:b/>
                <w:bCs/>
                <w:color w:val="000000"/>
                <w:kern w:val="24"/>
              </w:rPr>
            </w:pPr>
            <w:r>
              <w:rPr>
                <w:rFonts w:cs="Arial"/>
                <w:b/>
                <w:bCs/>
                <w:color w:val="000000"/>
                <w:kern w:val="24"/>
              </w:rPr>
              <w:t>10</w:t>
            </w:r>
          </w:p>
        </w:tc>
        <w:tc>
          <w:tcPr>
            <w:tcW w:w="1298" w:type="dxa"/>
          </w:tcPr>
          <w:p w14:paraId="5AB2FC36" w14:textId="3F989870" w:rsidR="002C3503" w:rsidRDefault="002C3503" w:rsidP="003D2AFD">
            <w:pPr>
              <w:pStyle w:val="Paragraph"/>
              <w:spacing w:before="80" w:after="80" w:line="240" w:lineRule="auto"/>
              <w:jc w:val="center"/>
              <w:rPr>
                <w:lang w:eastAsia="en-GB"/>
              </w:rPr>
            </w:pPr>
            <w:r>
              <w:rPr>
                <w:lang w:eastAsia="en-GB"/>
              </w:rPr>
              <w:t>n/a</w:t>
            </w:r>
          </w:p>
        </w:tc>
        <w:tc>
          <w:tcPr>
            <w:tcW w:w="1220" w:type="dxa"/>
          </w:tcPr>
          <w:p w14:paraId="1F828DDE" w14:textId="31CF802B" w:rsidR="002C3503" w:rsidRDefault="002C3503" w:rsidP="003D2AFD">
            <w:pPr>
              <w:pStyle w:val="Paragraph"/>
              <w:spacing w:before="80" w:after="80" w:line="240" w:lineRule="auto"/>
              <w:jc w:val="center"/>
              <w:rPr>
                <w:rFonts w:cs="Arial"/>
                <w:color w:val="000000"/>
                <w:kern w:val="24"/>
                <w:sz w:val="21"/>
                <w:szCs w:val="21"/>
              </w:rPr>
            </w:pPr>
            <w:r>
              <w:rPr>
                <w:rFonts w:cs="Arial"/>
                <w:color w:val="000000"/>
                <w:kern w:val="24"/>
                <w:sz w:val="21"/>
                <w:szCs w:val="21"/>
              </w:rPr>
              <w:t>55</w:t>
            </w:r>
          </w:p>
        </w:tc>
        <w:tc>
          <w:tcPr>
            <w:tcW w:w="4947" w:type="dxa"/>
          </w:tcPr>
          <w:p w14:paraId="6E8946DA" w14:textId="77073420" w:rsidR="002C3503" w:rsidRPr="002C3503" w:rsidRDefault="004946BE" w:rsidP="003D2AFD">
            <w:pPr>
              <w:pStyle w:val="NormalWeb"/>
              <w:spacing w:before="80" w:beforeAutospacing="0" w:after="80" w:afterAutospacing="0"/>
              <w:textAlignment w:val="center"/>
              <w:rPr>
                <w:rFonts w:asciiTheme="minorHAnsi" w:hAnsiTheme="minorHAnsi" w:cs="Arial"/>
                <w:b/>
                <w:bCs/>
                <w:color w:val="FF0000"/>
                <w:kern w:val="24"/>
                <w:sz w:val="22"/>
                <w:szCs w:val="22"/>
              </w:rPr>
            </w:pPr>
            <w:r w:rsidRPr="004946BE">
              <w:rPr>
                <w:rFonts w:ascii="Inter" w:hAnsi="Inter" w:cs="Arial"/>
                <w:color w:val="000000"/>
                <w:kern w:val="24"/>
                <w:sz w:val="22"/>
                <w:szCs w:val="22"/>
              </w:rPr>
              <w:t>-</w:t>
            </w:r>
          </w:p>
        </w:tc>
      </w:tr>
    </w:tbl>
    <w:p w14:paraId="56ADEB48" w14:textId="77777777" w:rsidR="008D1F43" w:rsidRDefault="008D1F43" w:rsidP="00BE6189">
      <w:pPr>
        <w:spacing w:before="360"/>
      </w:pPr>
    </w:p>
    <w:p w14:paraId="686EC7BC" w14:textId="77777777" w:rsidR="008D1F43" w:rsidRDefault="008D1F43" w:rsidP="00BE6189">
      <w:pPr>
        <w:spacing w:before="360"/>
      </w:pPr>
    </w:p>
    <w:p w14:paraId="017AF636" w14:textId="77777777" w:rsidR="00B538A2" w:rsidRDefault="00B538A2" w:rsidP="00BE6189">
      <w:pPr>
        <w:spacing w:before="360"/>
      </w:pPr>
    </w:p>
    <w:p w14:paraId="0D2E05D5" w14:textId="01CCBD07" w:rsidR="002E44AD" w:rsidRDefault="00BE6189" w:rsidP="00334586">
      <w:pPr>
        <w:spacing w:before="360"/>
        <w:rPr>
          <w:noProof/>
        </w:rPr>
      </w:pPr>
      <w:r w:rsidRPr="006902F0">
        <w:t>Chart 1</w:t>
      </w:r>
      <w:r w:rsidR="00334586" w:rsidRPr="006902F0">
        <w:t xml:space="preserve">: </w:t>
      </w:r>
      <w:r w:rsidR="000F1297">
        <w:t>M</w:t>
      </w:r>
      <w:r w:rsidR="004302F1">
        <w:t xml:space="preserve">ean </w:t>
      </w:r>
      <w:r w:rsidR="000F1297">
        <w:t>a</w:t>
      </w:r>
      <w:r w:rsidR="00334586">
        <w:t xml:space="preserve">verage time </w:t>
      </w:r>
      <w:r w:rsidR="00334586" w:rsidRPr="006902F0">
        <w:t>between marketing authorisation and NICE recommendation</w:t>
      </w:r>
      <w:r w:rsidR="00334586">
        <w:t xml:space="preserve"> (medicines)</w:t>
      </w:r>
      <w:r w:rsidR="00573AE2">
        <w:rPr>
          <w:noProof/>
        </w:rPr>
        <w:t xml:space="preserve"> </w:t>
      </w:r>
      <w:r w:rsidR="002E44AD">
        <w:rPr>
          <w:noProof/>
        </w:rPr>
        <w:drawing>
          <wp:inline distT="0" distB="0" distL="0" distR="0" wp14:anchorId="28BFF148" wp14:editId="7DE1EE53">
            <wp:extent cx="9503932" cy="2524125"/>
            <wp:effectExtent l="0" t="0" r="2540" b="0"/>
            <wp:docPr id="1651291438" name="Picture 6" descr="Bar chart with a line graph showing number of publications and mean calendar days by month from April 25 to May 26.&#10;Full data set included at Appendix A, 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91438" name="Picture 6" descr="Bar chart with a line graph showing number of publications and mean calendar days by month from April 25 to May 26.&#10;Full data set included at Appendix A, tabl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67438" cy="2540992"/>
                    </a:xfrm>
                    <a:prstGeom prst="rect">
                      <a:avLst/>
                    </a:prstGeom>
                    <a:noFill/>
                  </pic:spPr>
                </pic:pic>
              </a:graphicData>
            </a:graphic>
          </wp:inline>
        </w:drawing>
      </w:r>
    </w:p>
    <w:p w14:paraId="3A1F63BF" w14:textId="46858F09" w:rsidR="00C163EF" w:rsidRDefault="00C163EF" w:rsidP="00334586">
      <w:pPr>
        <w:spacing w:before="360"/>
      </w:pPr>
      <w:r w:rsidRPr="006902F0">
        <w:t xml:space="preserve">Chart </w:t>
      </w:r>
      <w:r>
        <w:t>2</w:t>
      </w:r>
      <w:r w:rsidRPr="006902F0">
        <w:t xml:space="preserve">: </w:t>
      </w:r>
      <w:r>
        <w:t xml:space="preserve">Median time </w:t>
      </w:r>
      <w:r w:rsidRPr="006902F0">
        <w:t>between marketing authorisation and NICE recommendation</w:t>
      </w:r>
      <w:r>
        <w:t xml:space="preserve"> (medicines)</w:t>
      </w:r>
      <w:r>
        <w:rPr>
          <w:noProof/>
          <w:lang w:eastAsia="en-US"/>
        </w:rPr>
        <w:drawing>
          <wp:inline distT="0" distB="0" distL="0" distR="0" wp14:anchorId="0CCD37DF" wp14:editId="5F05AFF9">
            <wp:extent cx="9410700" cy="2404693"/>
            <wp:effectExtent l="0" t="0" r="0" b="0"/>
            <wp:docPr id="1244812970" name="Picture 5" descr="Bar chart with a line graph showing number of publications and median number of calendar days by month from April 25 to May 26.&#10;Full data set included at Appendix A, 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12970" name="Picture 5" descr="Bar chart with a line graph showing number of publications and median number of calendar days by month from April 25 to May 26.&#10;Full data set included at Appendix A, tabl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1476" cy="2407447"/>
                    </a:xfrm>
                    <a:prstGeom prst="rect">
                      <a:avLst/>
                    </a:prstGeom>
                    <a:noFill/>
                  </pic:spPr>
                </pic:pic>
              </a:graphicData>
            </a:graphic>
          </wp:inline>
        </w:drawing>
      </w:r>
    </w:p>
    <w:p w14:paraId="480D2FA0" w14:textId="2770A853" w:rsidR="002F0847" w:rsidRPr="002F0847" w:rsidRDefault="002F0847" w:rsidP="002F0847">
      <w:pPr>
        <w:rPr>
          <w:b/>
          <w:bCs/>
          <w:lang w:eastAsia="en-US"/>
        </w:rPr>
      </w:pPr>
      <w:r>
        <w:rPr>
          <w:b/>
          <w:bCs/>
          <w:lang w:eastAsia="en-US"/>
        </w:rPr>
        <w:t>HealthTech</w:t>
      </w:r>
    </w:p>
    <w:tbl>
      <w:tblPr>
        <w:tblStyle w:val="TableGrid"/>
        <w:tblW w:w="14312" w:type="dxa"/>
        <w:tblLayout w:type="fixed"/>
        <w:tblLook w:val="04A0" w:firstRow="1" w:lastRow="0" w:firstColumn="1" w:lastColumn="0" w:noHBand="0" w:noVBand="1"/>
      </w:tblPr>
      <w:tblGrid>
        <w:gridCol w:w="4106"/>
        <w:gridCol w:w="1325"/>
        <w:gridCol w:w="1416"/>
        <w:gridCol w:w="1298"/>
        <w:gridCol w:w="1220"/>
        <w:gridCol w:w="4947"/>
      </w:tblGrid>
      <w:tr w:rsidR="009A151F" w14:paraId="6EEA829C" w14:textId="77777777" w:rsidTr="00083FF2">
        <w:trPr>
          <w:trHeight w:val="328"/>
          <w:tblHeader/>
        </w:trPr>
        <w:tc>
          <w:tcPr>
            <w:tcW w:w="4106" w:type="dxa"/>
            <w:shd w:val="clear" w:color="auto" w:fill="00436C" w:themeFill="accent2"/>
            <w:vAlign w:val="center"/>
          </w:tcPr>
          <w:p w14:paraId="1A00B8F7" w14:textId="7D2E95E8" w:rsidR="009A151F" w:rsidRDefault="009A151F" w:rsidP="00083FF2">
            <w:pPr>
              <w:pStyle w:val="Paragraph"/>
              <w:spacing w:after="0" w:line="240" w:lineRule="auto"/>
              <w:rPr>
                <w:b/>
                <w:bCs/>
                <w:color w:val="FFFFFF" w:themeColor="background1"/>
                <w:lang w:eastAsia="en-GB"/>
              </w:rPr>
            </w:pPr>
            <w:r>
              <w:rPr>
                <w:b/>
                <w:bCs/>
                <w:color w:val="FFFFFF" w:themeColor="background1"/>
                <w:lang w:eastAsia="en-GB"/>
              </w:rPr>
              <w:t>Indicator</w:t>
            </w:r>
          </w:p>
        </w:tc>
        <w:tc>
          <w:tcPr>
            <w:tcW w:w="1325" w:type="dxa"/>
            <w:shd w:val="clear" w:color="auto" w:fill="00436C" w:themeFill="accent2"/>
            <w:vAlign w:val="center"/>
          </w:tcPr>
          <w:p w14:paraId="28C4AB9B" w14:textId="77777777" w:rsidR="009A151F" w:rsidRPr="002223A1" w:rsidRDefault="009A151F" w:rsidP="00083FF2">
            <w:pPr>
              <w:pStyle w:val="Paragraph"/>
              <w:spacing w:after="0" w:line="240" w:lineRule="auto"/>
              <w:jc w:val="center"/>
              <w:rPr>
                <w:b/>
                <w:bCs/>
                <w:color w:val="FFFFFF" w:themeColor="background1"/>
                <w:lang w:eastAsia="en-GB"/>
              </w:rPr>
            </w:pPr>
            <w:r w:rsidRPr="002223A1">
              <w:rPr>
                <w:b/>
                <w:bCs/>
                <w:color w:val="FFFFFF" w:themeColor="background1"/>
                <w:lang w:eastAsia="en-GB"/>
              </w:rPr>
              <w:t>Target (26</w:t>
            </w:r>
            <w:r>
              <w:rPr>
                <w:b/>
                <w:bCs/>
                <w:color w:val="FFFFFF" w:themeColor="background1"/>
                <w:lang w:eastAsia="en-GB"/>
              </w:rPr>
              <w:t>/27</w:t>
            </w:r>
            <w:r w:rsidRPr="002223A1">
              <w:rPr>
                <w:b/>
                <w:bCs/>
                <w:color w:val="FFFFFF" w:themeColor="background1"/>
                <w:lang w:eastAsia="en-GB"/>
              </w:rPr>
              <w:t>)</w:t>
            </w:r>
          </w:p>
        </w:tc>
        <w:tc>
          <w:tcPr>
            <w:tcW w:w="1416" w:type="dxa"/>
            <w:shd w:val="clear" w:color="auto" w:fill="00436C" w:themeFill="accent2"/>
            <w:vAlign w:val="center"/>
          </w:tcPr>
          <w:p w14:paraId="1BF824EA" w14:textId="76E2D6C0" w:rsidR="009A151F" w:rsidRDefault="002E7A8C" w:rsidP="00083FF2">
            <w:pPr>
              <w:pStyle w:val="Paragraph"/>
              <w:spacing w:after="0" w:line="240" w:lineRule="auto"/>
              <w:jc w:val="center"/>
              <w:rPr>
                <w:b/>
                <w:bCs/>
                <w:color w:val="FFFFFF" w:themeColor="background1"/>
                <w:lang w:eastAsia="en-GB"/>
              </w:rPr>
            </w:pPr>
            <w:r>
              <w:rPr>
                <w:b/>
                <w:bCs/>
                <w:color w:val="FFFFFF" w:themeColor="background1"/>
                <w:lang w:eastAsia="en-GB"/>
              </w:rPr>
              <w:t>Apr-May 26</w:t>
            </w:r>
          </w:p>
        </w:tc>
        <w:tc>
          <w:tcPr>
            <w:tcW w:w="1298" w:type="dxa"/>
            <w:shd w:val="clear" w:color="auto" w:fill="00436C" w:themeFill="accent2"/>
            <w:vAlign w:val="center"/>
          </w:tcPr>
          <w:p w14:paraId="19ACE30D" w14:textId="77777777" w:rsidR="009A151F" w:rsidRDefault="009A151F" w:rsidP="00083FF2">
            <w:pPr>
              <w:pStyle w:val="Paragraph"/>
              <w:spacing w:after="0" w:line="240" w:lineRule="auto"/>
              <w:jc w:val="center"/>
              <w:rPr>
                <w:b/>
                <w:bCs/>
                <w:color w:val="FFFFFF" w:themeColor="background1"/>
                <w:lang w:eastAsia="en-GB"/>
              </w:rPr>
            </w:pPr>
            <w:r>
              <w:rPr>
                <w:b/>
                <w:bCs/>
                <w:color w:val="FFFFFF" w:themeColor="background1"/>
                <w:lang w:eastAsia="en-GB"/>
              </w:rPr>
              <w:t>Status</w:t>
            </w:r>
          </w:p>
        </w:tc>
        <w:tc>
          <w:tcPr>
            <w:tcW w:w="1220" w:type="dxa"/>
            <w:shd w:val="clear" w:color="auto" w:fill="00436C" w:themeFill="accent2"/>
            <w:vAlign w:val="center"/>
          </w:tcPr>
          <w:p w14:paraId="188F2C7D" w14:textId="77777777" w:rsidR="009A151F" w:rsidRDefault="009A151F" w:rsidP="00083FF2">
            <w:pPr>
              <w:pStyle w:val="Paragraph"/>
              <w:spacing w:after="0" w:line="240" w:lineRule="auto"/>
              <w:jc w:val="center"/>
              <w:rPr>
                <w:b/>
                <w:bCs/>
                <w:color w:val="FFFFFF" w:themeColor="background1"/>
                <w:lang w:eastAsia="en-GB"/>
              </w:rPr>
            </w:pPr>
            <w:r>
              <w:rPr>
                <w:b/>
                <w:bCs/>
                <w:color w:val="FFFFFF" w:themeColor="background1"/>
                <w:lang w:eastAsia="en-GB"/>
              </w:rPr>
              <w:t>25/26 baseline</w:t>
            </w:r>
          </w:p>
        </w:tc>
        <w:tc>
          <w:tcPr>
            <w:tcW w:w="4947" w:type="dxa"/>
            <w:shd w:val="clear" w:color="auto" w:fill="00436C" w:themeFill="accent2"/>
            <w:vAlign w:val="center"/>
          </w:tcPr>
          <w:p w14:paraId="47AA64D1" w14:textId="77777777" w:rsidR="009A151F" w:rsidRDefault="009A151F" w:rsidP="00083FF2">
            <w:pPr>
              <w:pStyle w:val="Paragraph"/>
              <w:spacing w:after="0" w:line="240" w:lineRule="auto"/>
              <w:rPr>
                <w:b/>
                <w:bCs/>
                <w:color w:val="FFFFFF" w:themeColor="background1"/>
                <w:lang w:eastAsia="en-GB"/>
              </w:rPr>
            </w:pPr>
            <w:r>
              <w:rPr>
                <w:b/>
                <w:bCs/>
                <w:color w:val="FFFFFF" w:themeColor="background1"/>
                <w:lang w:eastAsia="en-GB"/>
              </w:rPr>
              <w:t>Commentary</w:t>
            </w:r>
          </w:p>
        </w:tc>
      </w:tr>
      <w:tr w:rsidR="009A151F" w:rsidRPr="00136CAE" w14:paraId="4C8F3B84" w14:textId="77777777" w:rsidTr="00083FF2">
        <w:trPr>
          <w:trHeight w:val="509"/>
        </w:trPr>
        <w:tc>
          <w:tcPr>
            <w:tcW w:w="4106" w:type="dxa"/>
            <w:vAlign w:val="center"/>
          </w:tcPr>
          <w:p w14:paraId="5378A747" w14:textId="77777777" w:rsidR="009A151F" w:rsidRPr="00CA38CF" w:rsidRDefault="009A151F" w:rsidP="00083FF2">
            <w:pPr>
              <w:pStyle w:val="Paragraph"/>
              <w:spacing w:before="80" w:after="80" w:line="240" w:lineRule="auto"/>
              <w:rPr>
                <w:color w:val="000000"/>
                <w:kern w:val="24"/>
              </w:rPr>
            </w:pPr>
            <w:r>
              <w:rPr>
                <w:rFonts w:ascii="Inter" w:hAnsi="Inter"/>
                <w:color w:val="000000"/>
              </w:rPr>
              <w:t>Median number of working days taken for healthtech guidance production, from guidance initiation through to guidance publication</w:t>
            </w:r>
          </w:p>
        </w:tc>
        <w:tc>
          <w:tcPr>
            <w:tcW w:w="1325" w:type="dxa"/>
          </w:tcPr>
          <w:p w14:paraId="56B642A2" w14:textId="77777777" w:rsidR="009A151F" w:rsidRDefault="009A151F" w:rsidP="00083FF2">
            <w:pPr>
              <w:pStyle w:val="Paragraph"/>
              <w:spacing w:before="80" w:after="80" w:line="240" w:lineRule="auto"/>
              <w:jc w:val="center"/>
              <w:rPr>
                <w:rFonts w:cs="Arial"/>
                <w:color w:val="000000"/>
                <w:kern w:val="24"/>
              </w:rPr>
            </w:pPr>
            <w:r>
              <w:rPr>
                <w:rFonts w:cs="Arial"/>
                <w:color w:val="000000"/>
                <w:kern w:val="24"/>
                <w:sz w:val="21"/>
                <w:szCs w:val="21"/>
              </w:rPr>
              <w:t>212</w:t>
            </w:r>
          </w:p>
        </w:tc>
        <w:tc>
          <w:tcPr>
            <w:tcW w:w="1416" w:type="dxa"/>
          </w:tcPr>
          <w:p w14:paraId="292713A6" w14:textId="751FDB36" w:rsidR="009A151F" w:rsidRPr="00013FE1" w:rsidRDefault="00A24EBB" w:rsidP="00083FF2">
            <w:pPr>
              <w:pStyle w:val="Paragraph"/>
              <w:spacing w:before="80" w:after="80" w:line="240" w:lineRule="auto"/>
              <w:jc w:val="center"/>
              <w:rPr>
                <w:rFonts w:cs="Arial"/>
                <w:b/>
                <w:bCs/>
                <w:color w:val="000000"/>
                <w:kern w:val="24"/>
              </w:rPr>
            </w:pPr>
            <w:r>
              <w:rPr>
                <w:rFonts w:cs="Arial"/>
                <w:b/>
                <w:bCs/>
                <w:color w:val="000000"/>
                <w:kern w:val="24"/>
              </w:rPr>
              <w:t>210</w:t>
            </w:r>
          </w:p>
        </w:tc>
        <w:tc>
          <w:tcPr>
            <w:tcW w:w="1298" w:type="dxa"/>
            <w:shd w:val="clear" w:color="auto" w:fill="CDE3DA"/>
          </w:tcPr>
          <w:p w14:paraId="5B299621" w14:textId="6332735D" w:rsidR="009A151F" w:rsidRDefault="00A24EBB" w:rsidP="00083FF2">
            <w:pPr>
              <w:pStyle w:val="Paragraph"/>
              <w:spacing w:before="80" w:after="80" w:line="240" w:lineRule="auto"/>
              <w:jc w:val="center"/>
              <w:rPr>
                <w:lang w:eastAsia="en-GB"/>
              </w:rPr>
            </w:pPr>
            <w:r>
              <w:rPr>
                <w:lang w:eastAsia="en-GB"/>
              </w:rPr>
              <w:t>Green</w:t>
            </w:r>
          </w:p>
        </w:tc>
        <w:tc>
          <w:tcPr>
            <w:tcW w:w="1220" w:type="dxa"/>
          </w:tcPr>
          <w:p w14:paraId="65714D1F" w14:textId="77777777" w:rsidR="009A151F" w:rsidRDefault="009A151F" w:rsidP="00083FF2">
            <w:pPr>
              <w:pStyle w:val="Paragraph"/>
              <w:spacing w:before="80" w:after="80" w:line="240" w:lineRule="auto"/>
              <w:jc w:val="center"/>
              <w:rPr>
                <w:rFonts w:cs="Arial"/>
                <w:color w:val="000000"/>
                <w:kern w:val="24"/>
              </w:rPr>
            </w:pPr>
            <w:r>
              <w:rPr>
                <w:rFonts w:cs="Arial"/>
                <w:color w:val="000000"/>
                <w:kern w:val="24"/>
                <w:sz w:val="21"/>
                <w:szCs w:val="21"/>
              </w:rPr>
              <w:t>225</w:t>
            </w:r>
          </w:p>
        </w:tc>
        <w:tc>
          <w:tcPr>
            <w:tcW w:w="4947" w:type="dxa"/>
          </w:tcPr>
          <w:p w14:paraId="57642AA4" w14:textId="77777777" w:rsidR="008027AC" w:rsidRDefault="00852372" w:rsidP="00083FF2">
            <w:pPr>
              <w:pStyle w:val="NormalWeb"/>
              <w:spacing w:before="80" w:beforeAutospacing="0" w:after="80" w:afterAutospacing="0"/>
              <w:textAlignment w:val="center"/>
              <w:rPr>
                <w:rFonts w:asciiTheme="minorHAnsi" w:eastAsiaTheme="minorEastAsia" w:hAnsiTheme="minorHAnsi" w:cs="Arial"/>
                <w:b/>
                <w:bCs/>
                <w:kern w:val="24"/>
                <w:sz w:val="22"/>
                <w:szCs w:val="22"/>
                <w:lang w:eastAsia="en-US"/>
              </w:rPr>
            </w:pPr>
            <w:r>
              <w:rPr>
                <w:rFonts w:asciiTheme="minorHAnsi" w:eastAsiaTheme="minorEastAsia" w:hAnsiTheme="minorHAnsi" w:cs="Arial"/>
                <w:b/>
                <w:bCs/>
                <w:color w:val="007E39"/>
                <w:kern w:val="24"/>
                <w:sz w:val="22"/>
                <w:szCs w:val="22"/>
                <w:lang w:eastAsia="en-US"/>
              </w:rPr>
              <w:t xml:space="preserve">Improvement </w:t>
            </w:r>
            <w:r w:rsidRPr="005C4C92">
              <w:rPr>
                <w:rFonts w:asciiTheme="minorHAnsi" w:eastAsiaTheme="minorEastAsia" w:hAnsiTheme="minorHAnsi" w:cs="Arial"/>
                <w:b/>
                <w:bCs/>
                <w:kern w:val="24"/>
                <w:sz w:val="22"/>
                <w:szCs w:val="22"/>
                <w:lang w:eastAsia="en-US"/>
              </w:rPr>
              <w:t>on last year</w:t>
            </w:r>
          </w:p>
          <w:p w14:paraId="46A895FF" w14:textId="0DB44267" w:rsidR="009A151F" w:rsidRPr="00136CAE" w:rsidRDefault="00852372" w:rsidP="00083FF2">
            <w:pPr>
              <w:pStyle w:val="NormalWeb"/>
              <w:spacing w:before="80" w:beforeAutospacing="0" w:after="80" w:afterAutospacing="0"/>
              <w:textAlignment w:val="center"/>
              <w:rPr>
                <w:rFonts w:asciiTheme="minorHAnsi" w:eastAsiaTheme="minorEastAsia" w:hAnsiTheme="minorHAnsi" w:cs="Arial"/>
                <w:b/>
                <w:bCs/>
                <w:color w:val="007E39"/>
                <w:kern w:val="24"/>
                <w:sz w:val="22"/>
                <w:szCs w:val="22"/>
                <w:lang w:eastAsia="en-US"/>
              </w:rPr>
            </w:pPr>
            <w:r w:rsidRPr="005C4C92">
              <w:rPr>
                <w:rFonts w:asciiTheme="minorHAnsi" w:eastAsiaTheme="minorEastAsia" w:hAnsiTheme="minorHAnsi" w:cs="Arial"/>
                <w:kern w:val="24"/>
                <w:sz w:val="22"/>
                <w:szCs w:val="22"/>
                <w:lang w:eastAsia="en-US"/>
              </w:rPr>
              <w:t>(-</w:t>
            </w:r>
            <w:r w:rsidR="005C4C92" w:rsidRPr="005C4C92">
              <w:rPr>
                <w:rFonts w:asciiTheme="minorHAnsi" w:eastAsiaTheme="minorEastAsia" w:hAnsiTheme="minorHAnsi" w:cs="Arial"/>
                <w:kern w:val="24"/>
                <w:sz w:val="22"/>
                <w:szCs w:val="22"/>
                <w:lang w:eastAsia="en-US"/>
              </w:rPr>
              <w:t>15 days, 7% faster than 25/26 median)</w:t>
            </w:r>
          </w:p>
        </w:tc>
      </w:tr>
    </w:tbl>
    <w:p w14:paraId="6D82FDB4" w14:textId="77777777" w:rsidR="00415FF8" w:rsidRDefault="00415FF8" w:rsidP="004D0065">
      <w:pPr>
        <w:spacing w:after="0"/>
      </w:pPr>
    </w:p>
    <w:p w14:paraId="7D73B9DB" w14:textId="515E6E6E" w:rsidR="004939FB" w:rsidRDefault="004939FB" w:rsidP="004939FB">
      <w:pPr>
        <w:spacing w:before="240"/>
      </w:pPr>
      <w:r w:rsidRPr="006902F0">
        <w:t>Chart</w:t>
      </w:r>
      <w:r>
        <w:t xml:space="preserve"> </w:t>
      </w:r>
      <w:r w:rsidR="00C163EF">
        <w:t>3</w:t>
      </w:r>
      <w:r w:rsidRPr="006902F0">
        <w:t xml:space="preserve">: </w:t>
      </w:r>
      <w:r>
        <w:t>Median number of working days for healthtech guidance production</w:t>
      </w:r>
    </w:p>
    <w:p w14:paraId="3597ECA0" w14:textId="5537BD66" w:rsidR="00340C5E" w:rsidRDefault="001B22B7" w:rsidP="00340C5E">
      <w:r>
        <w:rPr>
          <w:noProof/>
        </w:rPr>
        <w:drawing>
          <wp:inline distT="0" distB="0" distL="0" distR="0" wp14:anchorId="3505C71C" wp14:editId="044C9B29">
            <wp:extent cx="8943975" cy="3344298"/>
            <wp:effectExtent l="0" t="0" r="0" b="8890"/>
            <wp:docPr id="1168087298" name="Picture 9" descr="Bar chart with a line graph showing number of publications and median number of working days taken to publish HealthTech guidance by month from April 25 to May 26.&#10;Full data set included at Appendix A, tab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87298" name="Picture 9" descr="Bar chart with a line graph showing number of publications and median number of working days taken to publish HealthTech guidance by month from April 25 to May 26.&#10;Full data set included at Appendix A, tabl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74681" cy="3355779"/>
                    </a:xfrm>
                    <a:prstGeom prst="rect">
                      <a:avLst/>
                    </a:prstGeom>
                    <a:noFill/>
                  </pic:spPr>
                </pic:pic>
              </a:graphicData>
            </a:graphic>
          </wp:inline>
        </w:drawing>
      </w:r>
    </w:p>
    <w:p w14:paraId="36DC3957" w14:textId="633A9C0B" w:rsidR="002F0847" w:rsidRPr="002F0847" w:rsidRDefault="002F0847" w:rsidP="002F0847">
      <w:pPr>
        <w:rPr>
          <w:b/>
          <w:bCs/>
          <w:lang w:eastAsia="en-US"/>
        </w:rPr>
      </w:pPr>
      <w:r>
        <w:rPr>
          <w:b/>
          <w:bCs/>
          <w:lang w:eastAsia="en-US"/>
        </w:rPr>
        <w:t>Guidelines</w:t>
      </w:r>
    </w:p>
    <w:tbl>
      <w:tblPr>
        <w:tblStyle w:val="TableGrid"/>
        <w:tblW w:w="14312" w:type="dxa"/>
        <w:tblLayout w:type="fixed"/>
        <w:tblLook w:val="04A0" w:firstRow="1" w:lastRow="0" w:firstColumn="1" w:lastColumn="0" w:noHBand="0" w:noVBand="1"/>
      </w:tblPr>
      <w:tblGrid>
        <w:gridCol w:w="4531"/>
        <w:gridCol w:w="1325"/>
        <w:gridCol w:w="1416"/>
        <w:gridCol w:w="1298"/>
        <w:gridCol w:w="1220"/>
        <w:gridCol w:w="4522"/>
      </w:tblGrid>
      <w:tr w:rsidR="00AC507D" w14:paraId="6D14798A" w14:textId="77777777" w:rsidTr="00A06F6D">
        <w:trPr>
          <w:trHeight w:val="328"/>
          <w:tblHeader/>
        </w:trPr>
        <w:tc>
          <w:tcPr>
            <w:tcW w:w="4531" w:type="dxa"/>
            <w:shd w:val="clear" w:color="auto" w:fill="00436C" w:themeFill="accent2"/>
            <w:vAlign w:val="center"/>
          </w:tcPr>
          <w:p w14:paraId="0F52AF06" w14:textId="77777777" w:rsidR="00AC507D" w:rsidRDefault="00AC507D" w:rsidP="00083FF2">
            <w:pPr>
              <w:pStyle w:val="Paragraph"/>
              <w:spacing w:after="0" w:line="240" w:lineRule="auto"/>
              <w:rPr>
                <w:b/>
                <w:bCs/>
                <w:color w:val="FFFFFF" w:themeColor="background1"/>
                <w:lang w:eastAsia="en-GB"/>
              </w:rPr>
            </w:pPr>
            <w:r>
              <w:rPr>
                <w:b/>
                <w:bCs/>
                <w:color w:val="FFFFFF" w:themeColor="background1"/>
                <w:lang w:eastAsia="en-GB"/>
              </w:rPr>
              <w:t>Indicator</w:t>
            </w:r>
          </w:p>
        </w:tc>
        <w:tc>
          <w:tcPr>
            <w:tcW w:w="1325" w:type="dxa"/>
            <w:shd w:val="clear" w:color="auto" w:fill="00436C" w:themeFill="accent2"/>
            <w:vAlign w:val="center"/>
          </w:tcPr>
          <w:p w14:paraId="721134D2" w14:textId="77777777" w:rsidR="00AC507D" w:rsidRPr="002223A1" w:rsidRDefault="00AC507D" w:rsidP="00083FF2">
            <w:pPr>
              <w:pStyle w:val="Paragraph"/>
              <w:spacing w:after="0" w:line="240" w:lineRule="auto"/>
              <w:jc w:val="center"/>
              <w:rPr>
                <w:b/>
                <w:bCs/>
                <w:color w:val="FFFFFF" w:themeColor="background1"/>
                <w:lang w:eastAsia="en-GB"/>
              </w:rPr>
            </w:pPr>
            <w:r w:rsidRPr="002223A1">
              <w:rPr>
                <w:b/>
                <w:bCs/>
                <w:color w:val="FFFFFF" w:themeColor="background1"/>
                <w:lang w:eastAsia="en-GB"/>
              </w:rPr>
              <w:t>Target (26</w:t>
            </w:r>
            <w:r>
              <w:rPr>
                <w:b/>
                <w:bCs/>
                <w:color w:val="FFFFFF" w:themeColor="background1"/>
                <w:lang w:eastAsia="en-GB"/>
              </w:rPr>
              <w:t>/27</w:t>
            </w:r>
            <w:r w:rsidRPr="002223A1">
              <w:rPr>
                <w:b/>
                <w:bCs/>
                <w:color w:val="FFFFFF" w:themeColor="background1"/>
                <w:lang w:eastAsia="en-GB"/>
              </w:rPr>
              <w:t>)</w:t>
            </w:r>
          </w:p>
        </w:tc>
        <w:tc>
          <w:tcPr>
            <w:tcW w:w="1416" w:type="dxa"/>
            <w:shd w:val="clear" w:color="auto" w:fill="00436C" w:themeFill="accent2"/>
            <w:vAlign w:val="center"/>
          </w:tcPr>
          <w:p w14:paraId="19244C9C" w14:textId="2829A894" w:rsidR="00AC507D" w:rsidRDefault="002E7A8C" w:rsidP="00083FF2">
            <w:pPr>
              <w:pStyle w:val="Paragraph"/>
              <w:spacing w:after="0" w:line="240" w:lineRule="auto"/>
              <w:jc w:val="center"/>
              <w:rPr>
                <w:b/>
                <w:bCs/>
                <w:color w:val="FFFFFF" w:themeColor="background1"/>
                <w:lang w:eastAsia="en-GB"/>
              </w:rPr>
            </w:pPr>
            <w:r>
              <w:rPr>
                <w:b/>
                <w:bCs/>
                <w:color w:val="FFFFFF" w:themeColor="background1"/>
                <w:lang w:eastAsia="en-GB"/>
              </w:rPr>
              <w:t>Apr-May 26</w:t>
            </w:r>
          </w:p>
        </w:tc>
        <w:tc>
          <w:tcPr>
            <w:tcW w:w="1298" w:type="dxa"/>
            <w:shd w:val="clear" w:color="auto" w:fill="00436C" w:themeFill="accent2"/>
            <w:vAlign w:val="center"/>
          </w:tcPr>
          <w:p w14:paraId="209BBAF1" w14:textId="77777777" w:rsidR="00AC507D" w:rsidRDefault="00AC507D" w:rsidP="00083FF2">
            <w:pPr>
              <w:pStyle w:val="Paragraph"/>
              <w:spacing w:after="0" w:line="240" w:lineRule="auto"/>
              <w:jc w:val="center"/>
              <w:rPr>
                <w:b/>
                <w:bCs/>
                <w:color w:val="FFFFFF" w:themeColor="background1"/>
                <w:lang w:eastAsia="en-GB"/>
              </w:rPr>
            </w:pPr>
            <w:r>
              <w:rPr>
                <w:b/>
                <w:bCs/>
                <w:color w:val="FFFFFF" w:themeColor="background1"/>
                <w:lang w:eastAsia="en-GB"/>
              </w:rPr>
              <w:t>Status</w:t>
            </w:r>
          </w:p>
        </w:tc>
        <w:tc>
          <w:tcPr>
            <w:tcW w:w="1220" w:type="dxa"/>
            <w:shd w:val="clear" w:color="auto" w:fill="00436C" w:themeFill="accent2"/>
            <w:vAlign w:val="center"/>
          </w:tcPr>
          <w:p w14:paraId="115F60DB" w14:textId="77777777" w:rsidR="00AC507D" w:rsidRDefault="00AC507D" w:rsidP="00083FF2">
            <w:pPr>
              <w:pStyle w:val="Paragraph"/>
              <w:spacing w:after="0" w:line="240" w:lineRule="auto"/>
              <w:jc w:val="center"/>
              <w:rPr>
                <w:b/>
                <w:bCs/>
                <w:color w:val="FFFFFF" w:themeColor="background1"/>
                <w:lang w:eastAsia="en-GB"/>
              </w:rPr>
            </w:pPr>
            <w:r>
              <w:rPr>
                <w:b/>
                <w:bCs/>
                <w:color w:val="FFFFFF" w:themeColor="background1"/>
                <w:lang w:eastAsia="en-GB"/>
              </w:rPr>
              <w:t>25/26 baseline</w:t>
            </w:r>
          </w:p>
        </w:tc>
        <w:tc>
          <w:tcPr>
            <w:tcW w:w="4522" w:type="dxa"/>
            <w:shd w:val="clear" w:color="auto" w:fill="00436C" w:themeFill="accent2"/>
            <w:vAlign w:val="center"/>
          </w:tcPr>
          <w:p w14:paraId="131378F8" w14:textId="77777777" w:rsidR="00AC507D" w:rsidRDefault="00AC507D" w:rsidP="00083FF2">
            <w:pPr>
              <w:pStyle w:val="Paragraph"/>
              <w:spacing w:after="0" w:line="240" w:lineRule="auto"/>
              <w:rPr>
                <w:b/>
                <w:bCs/>
                <w:color w:val="FFFFFF" w:themeColor="background1"/>
                <w:lang w:eastAsia="en-GB"/>
              </w:rPr>
            </w:pPr>
            <w:r>
              <w:rPr>
                <w:b/>
                <w:bCs/>
                <w:color w:val="FFFFFF" w:themeColor="background1"/>
                <w:lang w:eastAsia="en-GB"/>
              </w:rPr>
              <w:t>Commentary</w:t>
            </w:r>
          </w:p>
        </w:tc>
      </w:tr>
      <w:tr w:rsidR="00AC507D" w:rsidRPr="00136CAE" w14:paraId="77156D4D" w14:textId="77777777" w:rsidTr="00A06F6D">
        <w:trPr>
          <w:trHeight w:val="1843"/>
        </w:trPr>
        <w:tc>
          <w:tcPr>
            <w:tcW w:w="4531" w:type="dxa"/>
          </w:tcPr>
          <w:p w14:paraId="6C6FE76B" w14:textId="77777777" w:rsidR="00AC507D" w:rsidRPr="00CA38CF" w:rsidRDefault="00AC507D" w:rsidP="00E656A0">
            <w:pPr>
              <w:pStyle w:val="Paragraph"/>
              <w:spacing w:before="80" w:after="80" w:line="240" w:lineRule="auto"/>
              <w:rPr>
                <w:color w:val="000000"/>
                <w:kern w:val="24"/>
              </w:rPr>
            </w:pPr>
            <w:r>
              <w:rPr>
                <w:rFonts w:ascii="Inter" w:hAnsi="Inter"/>
                <w:color w:val="000000"/>
              </w:rPr>
              <w:t>Proportion of small guideline updates published within 154 working days of development starting</w:t>
            </w:r>
          </w:p>
        </w:tc>
        <w:tc>
          <w:tcPr>
            <w:tcW w:w="1325" w:type="dxa"/>
          </w:tcPr>
          <w:p w14:paraId="1C0DF4E6" w14:textId="77777777" w:rsidR="00AC507D" w:rsidRDefault="00AC507D" w:rsidP="00083FF2">
            <w:pPr>
              <w:pStyle w:val="Paragraph"/>
              <w:spacing w:before="80" w:after="80" w:line="240" w:lineRule="auto"/>
              <w:jc w:val="center"/>
              <w:rPr>
                <w:rFonts w:cs="Arial"/>
                <w:color w:val="000000"/>
                <w:kern w:val="24"/>
              </w:rPr>
            </w:pPr>
            <w:r w:rsidRPr="002A3FBF">
              <w:rPr>
                <w:rFonts w:cs="Arial"/>
                <w:color w:val="000000"/>
                <w:kern w:val="24"/>
              </w:rPr>
              <w:t>70%</w:t>
            </w:r>
          </w:p>
        </w:tc>
        <w:tc>
          <w:tcPr>
            <w:tcW w:w="1416" w:type="dxa"/>
          </w:tcPr>
          <w:p w14:paraId="5E78ED4D" w14:textId="7015BDEA" w:rsidR="00AC507D" w:rsidRPr="00013FE1" w:rsidRDefault="00224018" w:rsidP="00083FF2">
            <w:pPr>
              <w:pStyle w:val="Paragraph"/>
              <w:spacing w:before="80" w:after="80" w:line="240" w:lineRule="auto"/>
              <w:jc w:val="center"/>
              <w:rPr>
                <w:rFonts w:cs="Arial"/>
                <w:b/>
                <w:bCs/>
                <w:color w:val="000000"/>
                <w:kern w:val="24"/>
              </w:rPr>
            </w:pPr>
            <w:r>
              <w:rPr>
                <w:rFonts w:cs="Arial"/>
                <w:b/>
                <w:bCs/>
                <w:color w:val="000000"/>
                <w:kern w:val="24"/>
              </w:rPr>
              <w:t>100</w:t>
            </w:r>
          </w:p>
        </w:tc>
        <w:tc>
          <w:tcPr>
            <w:tcW w:w="1298" w:type="dxa"/>
            <w:shd w:val="clear" w:color="auto" w:fill="CDE3DA"/>
          </w:tcPr>
          <w:p w14:paraId="60348354" w14:textId="08FE1FE0" w:rsidR="00AC507D" w:rsidRDefault="006F2F29" w:rsidP="00083FF2">
            <w:pPr>
              <w:pStyle w:val="Paragraph"/>
              <w:spacing w:before="80" w:after="80" w:line="240" w:lineRule="auto"/>
              <w:jc w:val="center"/>
              <w:rPr>
                <w:lang w:eastAsia="en-GB"/>
              </w:rPr>
            </w:pPr>
            <w:r>
              <w:rPr>
                <w:lang w:eastAsia="en-GB"/>
              </w:rPr>
              <w:t>Green</w:t>
            </w:r>
          </w:p>
        </w:tc>
        <w:tc>
          <w:tcPr>
            <w:tcW w:w="1220" w:type="dxa"/>
          </w:tcPr>
          <w:p w14:paraId="599F1DFB" w14:textId="69AC4B61" w:rsidR="00AC507D" w:rsidRDefault="00AC507D" w:rsidP="00083FF2">
            <w:pPr>
              <w:pStyle w:val="Paragraph"/>
              <w:spacing w:before="80" w:after="80" w:line="240" w:lineRule="auto"/>
              <w:jc w:val="center"/>
              <w:rPr>
                <w:rFonts w:cs="Arial"/>
                <w:color w:val="000000"/>
                <w:kern w:val="24"/>
              </w:rPr>
            </w:pPr>
            <w:r w:rsidRPr="002A3FBF">
              <w:rPr>
                <w:rFonts w:cs="Arial"/>
                <w:color w:val="000000"/>
                <w:kern w:val="24"/>
              </w:rPr>
              <w:t>100%</w:t>
            </w:r>
          </w:p>
        </w:tc>
        <w:tc>
          <w:tcPr>
            <w:tcW w:w="4522" w:type="dxa"/>
          </w:tcPr>
          <w:p w14:paraId="34FCE4DC" w14:textId="77777777" w:rsidR="00125C20" w:rsidRPr="0004173C" w:rsidRDefault="00125C20" w:rsidP="00125C20">
            <w:pPr>
              <w:pStyle w:val="Paragraph"/>
              <w:spacing w:before="120" w:after="120" w:line="240" w:lineRule="auto"/>
              <w:rPr>
                <w:rFonts w:cs="Arial"/>
                <w:b/>
                <w:bCs/>
                <w:color w:val="000000"/>
                <w:kern w:val="24"/>
              </w:rPr>
            </w:pPr>
            <w:r w:rsidRPr="00D73420">
              <w:rPr>
                <w:rFonts w:cs="Arial"/>
                <w:b/>
                <w:bCs/>
                <w:color w:val="A56600"/>
                <w:kern w:val="24"/>
              </w:rPr>
              <w:t>Unchanged</w:t>
            </w:r>
            <w:r>
              <w:rPr>
                <w:rFonts w:cs="Arial"/>
                <w:b/>
                <w:bCs/>
                <w:color w:val="000000"/>
                <w:kern w:val="24"/>
              </w:rPr>
              <w:t xml:space="preserve"> from last year</w:t>
            </w:r>
          </w:p>
          <w:p w14:paraId="484E18AD" w14:textId="7F5EB4F3" w:rsidR="00AC507D" w:rsidRPr="00136CAE" w:rsidRDefault="00E656A0" w:rsidP="00125C20">
            <w:pPr>
              <w:pStyle w:val="NormalWeb"/>
              <w:spacing w:before="80" w:beforeAutospacing="0" w:after="80" w:afterAutospacing="0"/>
              <w:textAlignment w:val="center"/>
              <w:rPr>
                <w:rFonts w:asciiTheme="minorHAnsi" w:eastAsiaTheme="minorEastAsia" w:hAnsiTheme="minorHAnsi" w:cs="Arial"/>
                <w:b/>
                <w:bCs/>
                <w:color w:val="007E39"/>
                <w:kern w:val="24"/>
                <w:sz w:val="22"/>
                <w:szCs w:val="22"/>
                <w:lang w:eastAsia="en-US"/>
              </w:rPr>
            </w:pPr>
            <w:r w:rsidRPr="002A3FBF">
              <w:rPr>
                <w:rFonts w:ascii="Inter" w:eastAsia="Inter" w:hAnsi="Inter"/>
                <w:color w:val="000000"/>
                <w:sz w:val="22"/>
                <w:szCs w:val="22"/>
              </w:rPr>
              <w:t>1 small guideline</w:t>
            </w:r>
            <w:r w:rsidR="008F0219" w:rsidRPr="002A3FBF">
              <w:rPr>
                <w:rFonts w:ascii="Inter" w:eastAsia="Inter" w:hAnsi="Inter"/>
                <w:color w:val="000000"/>
                <w:sz w:val="22"/>
                <w:szCs w:val="22"/>
              </w:rPr>
              <w:t xml:space="preserve"> </w:t>
            </w:r>
            <w:r w:rsidRPr="002A3FBF">
              <w:rPr>
                <w:rFonts w:ascii="Inter" w:eastAsia="Inter" w:hAnsi="Inter"/>
                <w:color w:val="000000"/>
                <w:sz w:val="22"/>
                <w:szCs w:val="22"/>
              </w:rPr>
              <w:t xml:space="preserve">published in </w:t>
            </w:r>
            <w:r w:rsidR="00DD6253" w:rsidRPr="002A3FBF">
              <w:rPr>
                <w:rFonts w:ascii="Inter" w:eastAsia="Inter" w:hAnsi="Inter"/>
                <w:color w:val="000000"/>
                <w:sz w:val="22"/>
                <w:szCs w:val="22"/>
              </w:rPr>
              <w:t xml:space="preserve">May </w:t>
            </w:r>
            <w:r w:rsidR="008F0219" w:rsidRPr="002A3FBF">
              <w:rPr>
                <w:rFonts w:ascii="Inter" w:eastAsia="Inter" w:hAnsi="Inter"/>
                <w:color w:val="000000"/>
                <w:sz w:val="22"/>
                <w:szCs w:val="22"/>
              </w:rPr>
              <w:t>and</w:t>
            </w:r>
            <w:r w:rsidRPr="002A3FBF">
              <w:rPr>
                <w:rFonts w:ascii="Inter" w:eastAsia="Inter" w:hAnsi="Inter"/>
                <w:color w:val="000000"/>
                <w:sz w:val="22"/>
                <w:szCs w:val="22"/>
              </w:rPr>
              <w:t xml:space="preserve"> 5 in </w:t>
            </w:r>
            <w:r w:rsidR="00DD6253" w:rsidRPr="002A3FBF">
              <w:rPr>
                <w:rFonts w:ascii="Inter" w:eastAsia="Inter" w:hAnsi="Inter"/>
                <w:color w:val="000000"/>
                <w:sz w:val="22"/>
                <w:szCs w:val="22"/>
              </w:rPr>
              <w:t>April</w:t>
            </w:r>
            <w:r w:rsidRPr="002A3FBF">
              <w:rPr>
                <w:rFonts w:ascii="Inter" w:eastAsia="Inter" w:hAnsi="Inter"/>
                <w:color w:val="000000"/>
                <w:sz w:val="22"/>
                <w:szCs w:val="22"/>
              </w:rPr>
              <w:t>. All published within 154 working days of development starting</w:t>
            </w:r>
            <w:r w:rsidR="00125C20" w:rsidRPr="002A3FBF">
              <w:rPr>
                <w:rFonts w:ascii="Inter" w:eastAsia="Inter" w:hAnsi="Inter"/>
                <w:color w:val="000000"/>
                <w:sz w:val="22"/>
                <w:szCs w:val="22"/>
              </w:rPr>
              <w:t>.</w:t>
            </w:r>
          </w:p>
        </w:tc>
      </w:tr>
      <w:tr w:rsidR="00AC507D" w:rsidRPr="00136CAE" w14:paraId="5363B17F" w14:textId="77777777" w:rsidTr="00A06F6D">
        <w:trPr>
          <w:trHeight w:val="1437"/>
        </w:trPr>
        <w:tc>
          <w:tcPr>
            <w:tcW w:w="4531" w:type="dxa"/>
          </w:tcPr>
          <w:p w14:paraId="0C0F159E" w14:textId="77777777" w:rsidR="00AC507D" w:rsidRPr="00CA38CF" w:rsidRDefault="00AC507D" w:rsidP="00E656A0">
            <w:pPr>
              <w:pStyle w:val="Paragraph"/>
              <w:spacing w:before="80" w:after="80" w:line="240" w:lineRule="auto"/>
              <w:rPr>
                <w:color w:val="000000"/>
                <w:kern w:val="24"/>
              </w:rPr>
            </w:pPr>
            <w:r>
              <w:rPr>
                <w:rFonts w:ascii="Inter" w:hAnsi="Inter"/>
                <w:color w:val="000000"/>
              </w:rPr>
              <w:t>Proportion of medium guideline topics published within 286 working days of development starting</w:t>
            </w:r>
          </w:p>
        </w:tc>
        <w:tc>
          <w:tcPr>
            <w:tcW w:w="1325" w:type="dxa"/>
          </w:tcPr>
          <w:p w14:paraId="39BCFE94" w14:textId="77777777" w:rsidR="00AC507D" w:rsidRDefault="00AC507D" w:rsidP="00083FF2">
            <w:pPr>
              <w:pStyle w:val="Paragraph"/>
              <w:spacing w:before="80" w:after="80" w:line="240" w:lineRule="auto"/>
              <w:jc w:val="center"/>
              <w:rPr>
                <w:rFonts w:cs="Arial"/>
                <w:color w:val="000000"/>
                <w:kern w:val="24"/>
              </w:rPr>
            </w:pPr>
            <w:r w:rsidRPr="002A3FBF">
              <w:rPr>
                <w:rFonts w:cs="Arial"/>
                <w:color w:val="000000"/>
                <w:kern w:val="24"/>
              </w:rPr>
              <w:t>60%</w:t>
            </w:r>
          </w:p>
        </w:tc>
        <w:tc>
          <w:tcPr>
            <w:tcW w:w="1416" w:type="dxa"/>
          </w:tcPr>
          <w:p w14:paraId="227F45BD" w14:textId="6B50C4D4" w:rsidR="00AC507D" w:rsidRPr="00013FE1" w:rsidRDefault="00C14E4E" w:rsidP="00083FF2">
            <w:pPr>
              <w:pStyle w:val="Paragraph"/>
              <w:spacing w:before="80" w:after="80" w:line="240" w:lineRule="auto"/>
              <w:jc w:val="center"/>
              <w:rPr>
                <w:rFonts w:cs="Arial"/>
                <w:b/>
                <w:bCs/>
                <w:color w:val="000000"/>
                <w:kern w:val="24"/>
              </w:rPr>
            </w:pPr>
            <w:r>
              <w:rPr>
                <w:rFonts w:cs="Arial"/>
                <w:b/>
                <w:bCs/>
                <w:color w:val="000000"/>
                <w:kern w:val="24"/>
              </w:rPr>
              <w:t>n/a</w:t>
            </w:r>
          </w:p>
        </w:tc>
        <w:tc>
          <w:tcPr>
            <w:tcW w:w="1298" w:type="dxa"/>
            <w:shd w:val="clear" w:color="auto" w:fill="CDE3DA"/>
          </w:tcPr>
          <w:p w14:paraId="07A33290" w14:textId="0F2ABD51" w:rsidR="00AC507D" w:rsidRDefault="006F2F29" w:rsidP="00083FF2">
            <w:pPr>
              <w:pStyle w:val="Paragraph"/>
              <w:spacing w:before="80" w:after="80" w:line="240" w:lineRule="auto"/>
              <w:jc w:val="center"/>
              <w:rPr>
                <w:lang w:eastAsia="en-GB"/>
              </w:rPr>
            </w:pPr>
            <w:r>
              <w:rPr>
                <w:lang w:eastAsia="en-GB"/>
              </w:rPr>
              <w:t>Green</w:t>
            </w:r>
          </w:p>
        </w:tc>
        <w:tc>
          <w:tcPr>
            <w:tcW w:w="1220" w:type="dxa"/>
          </w:tcPr>
          <w:p w14:paraId="1AD77C0E" w14:textId="5057E6B3" w:rsidR="00AC507D" w:rsidRDefault="0061307C" w:rsidP="00083FF2">
            <w:pPr>
              <w:pStyle w:val="Paragraph"/>
              <w:spacing w:before="80" w:after="80" w:line="240" w:lineRule="auto"/>
              <w:jc w:val="center"/>
              <w:rPr>
                <w:rFonts w:cs="Arial"/>
                <w:color w:val="000000"/>
                <w:kern w:val="24"/>
              </w:rPr>
            </w:pPr>
            <w:r w:rsidRPr="002A3FBF">
              <w:rPr>
                <w:rFonts w:cs="Arial"/>
                <w:color w:val="000000"/>
                <w:kern w:val="24"/>
              </w:rPr>
              <w:t>n/a</w:t>
            </w:r>
          </w:p>
        </w:tc>
        <w:tc>
          <w:tcPr>
            <w:tcW w:w="4522" w:type="dxa"/>
          </w:tcPr>
          <w:p w14:paraId="57BEF256" w14:textId="3CDD9D40" w:rsidR="00AC507D" w:rsidRPr="00136CAE" w:rsidRDefault="00C14E4E" w:rsidP="00C14E4E">
            <w:pPr>
              <w:pStyle w:val="NormalWeb"/>
              <w:spacing w:before="80" w:beforeAutospacing="0" w:after="80" w:afterAutospacing="0"/>
              <w:textAlignment w:val="center"/>
              <w:rPr>
                <w:rFonts w:asciiTheme="minorHAnsi" w:eastAsiaTheme="minorEastAsia" w:hAnsiTheme="minorHAnsi" w:cs="Arial"/>
                <w:b/>
                <w:bCs/>
                <w:color w:val="007E39"/>
                <w:kern w:val="24"/>
                <w:sz w:val="22"/>
                <w:szCs w:val="22"/>
                <w:lang w:eastAsia="en-US"/>
              </w:rPr>
            </w:pPr>
            <w:r w:rsidRPr="002A3FBF">
              <w:rPr>
                <w:rFonts w:ascii="Inter" w:eastAsia="Inter" w:hAnsi="Inter"/>
                <w:color w:val="000000"/>
                <w:sz w:val="22"/>
                <w:szCs w:val="22"/>
              </w:rPr>
              <w:t>No medium guideline</w:t>
            </w:r>
            <w:r w:rsidR="008F0219" w:rsidRPr="002A3FBF">
              <w:rPr>
                <w:rFonts w:ascii="Inter" w:eastAsia="Inter" w:hAnsi="Inter"/>
                <w:color w:val="000000"/>
                <w:sz w:val="22"/>
                <w:szCs w:val="22"/>
              </w:rPr>
              <w:t xml:space="preserve"> topics published April to May 26.</w:t>
            </w:r>
          </w:p>
        </w:tc>
      </w:tr>
      <w:tr w:rsidR="00AC507D" w:rsidRPr="00136CAE" w14:paraId="1AAF4171" w14:textId="77777777" w:rsidTr="00A06F6D">
        <w:trPr>
          <w:trHeight w:val="1507"/>
        </w:trPr>
        <w:tc>
          <w:tcPr>
            <w:tcW w:w="4531" w:type="dxa"/>
          </w:tcPr>
          <w:p w14:paraId="329D3053" w14:textId="77777777" w:rsidR="00AC507D" w:rsidRPr="00CA38CF" w:rsidRDefault="00AC507D" w:rsidP="00E656A0">
            <w:pPr>
              <w:pStyle w:val="Paragraph"/>
              <w:spacing w:before="80" w:after="80" w:line="240" w:lineRule="auto"/>
              <w:rPr>
                <w:color w:val="000000"/>
                <w:kern w:val="24"/>
              </w:rPr>
            </w:pPr>
            <w:r>
              <w:rPr>
                <w:rFonts w:ascii="Inter" w:hAnsi="Inter"/>
                <w:color w:val="000000"/>
              </w:rPr>
              <w:t xml:space="preserve">Proportion of new guidelines or large guideline updates published within 396 working days of development starting </w:t>
            </w:r>
          </w:p>
        </w:tc>
        <w:tc>
          <w:tcPr>
            <w:tcW w:w="1325" w:type="dxa"/>
          </w:tcPr>
          <w:p w14:paraId="5353BC2A" w14:textId="77777777" w:rsidR="00AC507D" w:rsidRDefault="00AC507D" w:rsidP="00083FF2">
            <w:pPr>
              <w:pStyle w:val="Paragraph"/>
              <w:spacing w:before="80" w:after="80" w:line="240" w:lineRule="auto"/>
              <w:jc w:val="center"/>
              <w:rPr>
                <w:rFonts w:cs="Arial"/>
                <w:color w:val="000000"/>
                <w:kern w:val="24"/>
              </w:rPr>
            </w:pPr>
            <w:r w:rsidRPr="002A3FBF">
              <w:rPr>
                <w:rFonts w:cs="Arial"/>
                <w:color w:val="000000"/>
                <w:kern w:val="24"/>
              </w:rPr>
              <w:t>50%</w:t>
            </w:r>
          </w:p>
        </w:tc>
        <w:tc>
          <w:tcPr>
            <w:tcW w:w="1416" w:type="dxa"/>
          </w:tcPr>
          <w:p w14:paraId="4E667332" w14:textId="282EA4E7" w:rsidR="00AC507D" w:rsidRPr="00013FE1" w:rsidRDefault="00C14E4E" w:rsidP="00083FF2">
            <w:pPr>
              <w:pStyle w:val="Paragraph"/>
              <w:spacing w:before="80" w:after="80" w:line="240" w:lineRule="auto"/>
              <w:jc w:val="center"/>
              <w:rPr>
                <w:rFonts w:cs="Arial"/>
                <w:b/>
                <w:bCs/>
                <w:color w:val="000000"/>
                <w:kern w:val="24"/>
              </w:rPr>
            </w:pPr>
            <w:r>
              <w:rPr>
                <w:rFonts w:cs="Arial"/>
                <w:b/>
                <w:bCs/>
                <w:color w:val="000000"/>
                <w:kern w:val="24"/>
              </w:rPr>
              <w:t>n/a</w:t>
            </w:r>
          </w:p>
        </w:tc>
        <w:tc>
          <w:tcPr>
            <w:tcW w:w="1298" w:type="dxa"/>
            <w:shd w:val="clear" w:color="auto" w:fill="CDE3DA"/>
          </w:tcPr>
          <w:p w14:paraId="4B5E1A22" w14:textId="16F6FCA8" w:rsidR="00AC507D" w:rsidRDefault="006F2F29" w:rsidP="00083FF2">
            <w:pPr>
              <w:pStyle w:val="Paragraph"/>
              <w:spacing w:before="80" w:after="80" w:line="240" w:lineRule="auto"/>
              <w:jc w:val="center"/>
              <w:rPr>
                <w:lang w:eastAsia="en-GB"/>
              </w:rPr>
            </w:pPr>
            <w:r>
              <w:rPr>
                <w:lang w:eastAsia="en-GB"/>
              </w:rPr>
              <w:t>Green</w:t>
            </w:r>
          </w:p>
        </w:tc>
        <w:tc>
          <w:tcPr>
            <w:tcW w:w="1220" w:type="dxa"/>
          </w:tcPr>
          <w:p w14:paraId="741D6370" w14:textId="77777777" w:rsidR="00AC507D" w:rsidRDefault="00AC507D" w:rsidP="00083FF2">
            <w:pPr>
              <w:pStyle w:val="Paragraph"/>
              <w:spacing w:before="80" w:after="80" w:line="240" w:lineRule="auto"/>
              <w:jc w:val="center"/>
              <w:rPr>
                <w:rFonts w:cs="Arial"/>
                <w:color w:val="000000"/>
                <w:kern w:val="24"/>
              </w:rPr>
            </w:pPr>
            <w:r w:rsidRPr="002A3FBF">
              <w:rPr>
                <w:rFonts w:cs="Arial"/>
                <w:color w:val="000000"/>
                <w:kern w:val="24"/>
              </w:rPr>
              <w:t>n/a</w:t>
            </w:r>
          </w:p>
        </w:tc>
        <w:tc>
          <w:tcPr>
            <w:tcW w:w="4522" w:type="dxa"/>
          </w:tcPr>
          <w:p w14:paraId="267CBEC5" w14:textId="6CD4B48B" w:rsidR="00AC507D" w:rsidRPr="00136CAE" w:rsidRDefault="008F0219" w:rsidP="00C14E4E">
            <w:pPr>
              <w:pStyle w:val="NormalWeb"/>
              <w:spacing w:before="80" w:beforeAutospacing="0" w:after="80" w:afterAutospacing="0"/>
              <w:textAlignment w:val="center"/>
              <w:rPr>
                <w:rFonts w:asciiTheme="minorHAnsi" w:eastAsiaTheme="minorEastAsia" w:hAnsiTheme="minorHAnsi" w:cs="Arial"/>
                <w:b/>
                <w:bCs/>
                <w:color w:val="007E39"/>
                <w:kern w:val="24"/>
                <w:sz w:val="22"/>
                <w:szCs w:val="22"/>
                <w:lang w:eastAsia="en-US"/>
              </w:rPr>
            </w:pPr>
            <w:r w:rsidRPr="002A3FBF">
              <w:rPr>
                <w:rFonts w:ascii="Inter" w:eastAsia="Inter" w:hAnsi="Inter"/>
                <w:color w:val="000000"/>
                <w:sz w:val="22"/>
                <w:szCs w:val="22"/>
              </w:rPr>
              <w:t>No large guideline topics published April to May 26.</w:t>
            </w:r>
          </w:p>
        </w:tc>
      </w:tr>
    </w:tbl>
    <w:p w14:paraId="4855BB58" w14:textId="77777777" w:rsidR="00244386" w:rsidRDefault="00244386" w:rsidP="00102F31">
      <w:pPr>
        <w:spacing w:before="240"/>
      </w:pPr>
    </w:p>
    <w:p w14:paraId="436D7324" w14:textId="77777777" w:rsidR="00AC507D" w:rsidRDefault="00AC507D" w:rsidP="00102F31">
      <w:pPr>
        <w:spacing w:before="240"/>
      </w:pPr>
    </w:p>
    <w:p w14:paraId="4EB994E5" w14:textId="4D44753A" w:rsidR="00681314" w:rsidRDefault="00314A7C" w:rsidP="00681314">
      <w:pPr>
        <w:pStyle w:val="Heading2"/>
        <w:ind w:left="567" w:hanging="567"/>
      </w:pPr>
      <w:bookmarkStart w:id="6" w:name="_Toc234391367"/>
      <w:r>
        <w:t>Stronger NICE</w:t>
      </w:r>
      <w:bookmarkEnd w:id="6"/>
    </w:p>
    <w:tbl>
      <w:tblPr>
        <w:tblStyle w:val="TableGrid"/>
        <w:tblW w:w="15163" w:type="dxa"/>
        <w:tblLayout w:type="fixed"/>
        <w:tblLook w:val="04A0" w:firstRow="1" w:lastRow="0" w:firstColumn="1" w:lastColumn="0" w:noHBand="0" w:noVBand="1"/>
      </w:tblPr>
      <w:tblGrid>
        <w:gridCol w:w="4531"/>
        <w:gridCol w:w="1418"/>
        <w:gridCol w:w="1416"/>
        <w:gridCol w:w="1298"/>
        <w:gridCol w:w="1220"/>
        <w:gridCol w:w="5280"/>
      </w:tblGrid>
      <w:tr w:rsidR="00A852F8" w14:paraId="3096BF85" w14:textId="77777777" w:rsidTr="00A06F6D">
        <w:trPr>
          <w:trHeight w:val="328"/>
          <w:tblHeader/>
        </w:trPr>
        <w:tc>
          <w:tcPr>
            <w:tcW w:w="4531" w:type="dxa"/>
            <w:shd w:val="clear" w:color="auto" w:fill="00436C" w:themeFill="accent2"/>
            <w:vAlign w:val="center"/>
          </w:tcPr>
          <w:p w14:paraId="70724D29" w14:textId="77777777" w:rsidR="00A852F8" w:rsidRDefault="00A852F8" w:rsidP="00083FF2">
            <w:pPr>
              <w:pStyle w:val="Paragraph"/>
              <w:spacing w:after="0" w:line="240" w:lineRule="auto"/>
              <w:rPr>
                <w:b/>
                <w:bCs/>
                <w:color w:val="FFFFFF" w:themeColor="background1"/>
                <w:lang w:eastAsia="en-GB"/>
              </w:rPr>
            </w:pPr>
            <w:r>
              <w:rPr>
                <w:b/>
                <w:bCs/>
                <w:color w:val="FFFFFF" w:themeColor="background1"/>
                <w:lang w:eastAsia="en-GB"/>
              </w:rPr>
              <w:t>Indicator</w:t>
            </w:r>
          </w:p>
        </w:tc>
        <w:tc>
          <w:tcPr>
            <w:tcW w:w="1418" w:type="dxa"/>
            <w:shd w:val="clear" w:color="auto" w:fill="00436C" w:themeFill="accent2"/>
            <w:vAlign w:val="center"/>
          </w:tcPr>
          <w:p w14:paraId="6C06FFD3" w14:textId="77777777" w:rsidR="00A852F8" w:rsidRPr="002223A1" w:rsidRDefault="00A852F8" w:rsidP="00083FF2">
            <w:pPr>
              <w:pStyle w:val="Paragraph"/>
              <w:spacing w:after="0" w:line="240" w:lineRule="auto"/>
              <w:jc w:val="center"/>
              <w:rPr>
                <w:b/>
                <w:bCs/>
                <w:color w:val="FFFFFF" w:themeColor="background1"/>
                <w:lang w:eastAsia="en-GB"/>
              </w:rPr>
            </w:pPr>
            <w:r w:rsidRPr="002223A1">
              <w:rPr>
                <w:b/>
                <w:bCs/>
                <w:color w:val="FFFFFF" w:themeColor="background1"/>
                <w:lang w:eastAsia="en-GB"/>
              </w:rPr>
              <w:t>Target (26</w:t>
            </w:r>
            <w:r>
              <w:rPr>
                <w:b/>
                <w:bCs/>
                <w:color w:val="FFFFFF" w:themeColor="background1"/>
                <w:lang w:eastAsia="en-GB"/>
              </w:rPr>
              <w:t>/27</w:t>
            </w:r>
            <w:r w:rsidRPr="002223A1">
              <w:rPr>
                <w:b/>
                <w:bCs/>
                <w:color w:val="FFFFFF" w:themeColor="background1"/>
                <w:lang w:eastAsia="en-GB"/>
              </w:rPr>
              <w:t>)</w:t>
            </w:r>
          </w:p>
        </w:tc>
        <w:tc>
          <w:tcPr>
            <w:tcW w:w="1416" w:type="dxa"/>
            <w:shd w:val="clear" w:color="auto" w:fill="00436C" w:themeFill="accent2"/>
            <w:vAlign w:val="center"/>
          </w:tcPr>
          <w:p w14:paraId="63912B13" w14:textId="4715737D" w:rsidR="00A852F8" w:rsidRDefault="002E7A8C" w:rsidP="00083FF2">
            <w:pPr>
              <w:pStyle w:val="Paragraph"/>
              <w:spacing w:after="0" w:line="240" w:lineRule="auto"/>
              <w:jc w:val="center"/>
              <w:rPr>
                <w:b/>
                <w:bCs/>
                <w:color w:val="FFFFFF" w:themeColor="background1"/>
                <w:lang w:eastAsia="en-GB"/>
              </w:rPr>
            </w:pPr>
            <w:r>
              <w:rPr>
                <w:b/>
                <w:bCs/>
                <w:color w:val="FFFFFF" w:themeColor="background1"/>
                <w:lang w:eastAsia="en-GB"/>
              </w:rPr>
              <w:t>Apr-May 26</w:t>
            </w:r>
          </w:p>
        </w:tc>
        <w:tc>
          <w:tcPr>
            <w:tcW w:w="1298" w:type="dxa"/>
            <w:shd w:val="clear" w:color="auto" w:fill="00436C" w:themeFill="accent2"/>
            <w:vAlign w:val="center"/>
          </w:tcPr>
          <w:p w14:paraId="532E679F" w14:textId="77777777" w:rsidR="00A852F8" w:rsidRDefault="00A852F8" w:rsidP="00083FF2">
            <w:pPr>
              <w:pStyle w:val="Paragraph"/>
              <w:spacing w:after="0" w:line="240" w:lineRule="auto"/>
              <w:jc w:val="center"/>
              <w:rPr>
                <w:b/>
                <w:bCs/>
                <w:color w:val="FFFFFF" w:themeColor="background1"/>
                <w:lang w:eastAsia="en-GB"/>
              </w:rPr>
            </w:pPr>
            <w:r>
              <w:rPr>
                <w:b/>
                <w:bCs/>
                <w:color w:val="FFFFFF" w:themeColor="background1"/>
                <w:lang w:eastAsia="en-GB"/>
              </w:rPr>
              <w:t>Status</w:t>
            </w:r>
          </w:p>
        </w:tc>
        <w:tc>
          <w:tcPr>
            <w:tcW w:w="1220" w:type="dxa"/>
            <w:shd w:val="clear" w:color="auto" w:fill="00436C" w:themeFill="accent2"/>
            <w:vAlign w:val="center"/>
          </w:tcPr>
          <w:p w14:paraId="364A11EF" w14:textId="77777777" w:rsidR="00A852F8" w:rsidRDefault="00A852F8" w:rsidP="00083FF2">
            <w:pPr>
              <w:pStyle w:val="Paragraph"/>
              <w:spacing w:after="0" w:line="240" w:lineRule="auto"/>
              <w:jc w:val="center"/>
              <w:rPr>
                <w:b/>
                <w:bCs/>
                <w:color w:val="FFFFFF" w:themeColor="background1"/>
                <w:lang w:eastAsia="en-GB"/>
              </w:rPr>
            </w:pPr>
            <w:r>
              <w:rPr>
                <w:b/>
                <w:bCs/>
                <w:color w:val="FFFFFF" w:themeColor="background1"/>
                <w:lang w:eastAsia="en-GB"/>
              </w:rPr>
              <w:t>25/26 baseline</w:t>
            </w:r>
          </w:p>
        </w:tc>
        <w:tc>
          <w:tcPr>
            <w:tcW w:w="5280" w:type="dxa"/>
            <w:shd w:val="clear" w:color="auto" w:fill="00436C" w:themeFill="accent2"/>
            <w:vAlign w:val="center"/>
          </w:tcPr>
          <w:p w14:paraId="529EC920" w14:textId="77777777" w:rsidR="00A852F8" w:rsidRDefault="00A852F8" w:rsidP="00083FF2">
            <w:pPr>
              <w:pStyle w:val="Paragraph"/>
              <w:spacing w:after="0" w:line="240" w:lineRule="auto"/>
              <w:rPr>
                <w:b/>
                <w:bCs/>
                <w:color w:val="FFFFFF" w:themeColor="background1"/>
                <w:lang w:eastAsia="en-GB"/>
              </w:rPr>
            </w:pPr>
            <w:r>
              <w:rPr>
                <w:b/>
                <w:bCs/>
                <w:color w:val="FFFFFF" w:themeColor="background1"/>
                <w:lang w:eastAsia="en-GB"/>
              </w:rPr>
              <w:t>Commentary</w:t>
            </w:r>
          </w:p>
        </w:tc>
      </w:tr>
      <w:tr w:rsidR="00693C10" w:rsidRPr="008D47BA" w14:paraId="039BB190" w14:textId="77777777" w:rsidTr="00A06F6D">
        <w:trPr>
          <w:trHeight w:val="509"/>
        </w:trPr>
        <w:tc>
          <w:tcPr>
            <w:tcW w:w="4531" w:type="dxa"/>
          </w:tcPr>
          <w:p w14:paraId="223E2490" w14:textId="3EDBCFE6" w:rsidR="00693C10" w:rsidRPr="00CA38CF" w:rsidRDefault="00693C10" w:rsidP="00F45BA9">
            <w:pPr>
              <w:pStyle w:val="Paragraph"/>
              <w:spacing w:before="80" w:after="80" w:line="240" w:lineRule="auto"/>
              <w:rPr>
                <w:color w:val="000000"/>
                <w:kern w:val="24"/>
              </w:rPr>
            </w:pPr>
            <w:r>
              <w:rPr>
                <w:rFonts w:ascii="Inter" w:hAnsi="Inter"/>
                <w:color w:val="000000"/>
              </w:rPr>
              <w:t>Full-year financial deficit / surplus</w:t>
            </w:r>
          </w:p>
        </w:tc>
        <w:tc>
          <w:tcPr>
            <w:tcW w:w="1418" w:type="dxa"/>
          </w:tcPr>
          <w:p w14:paraId="450D7A95" w14:textId="1516E43A" w:rsidR="00693C10" w:rsidRPr="008D47BA" w:rsidRDefault="00693C10" w:rsidP="00E95342">
            <w:pPr>
              <w:pStyle w:val="Paragraph"/>
              <w:spacing w:before="80" w:after="80" w:line="240" w:lineRule="auto"/>
              <w:jc w:val="center"/>
              <w:rPr>
                <w:lang w:eastAsia="en-GB"/>
              </w:rPr>
            </w:pPr>
            <w:r w:rsidRPr="00E66FB5">
              <w:rPr>
                <w:lang w:eastAsia="en-GB"/>
              </w:rPr>
              <w:t>Surplus &lt; £1m, no deficit</w:t>
            </w:r>
          </w:p>
        </w:tc>
        <w:tc>
          <w:tcPr>
            <w:tcW w:w="1416" w:type="dxa"/>
          </w:tcPr>
          <w:p w14:paraId="312490E7" w14:textId="03F72168" w:rsidR="00693C10" w:rsidRPr="00E12C9B" w:rsidRDefault="003C2E12" w:rsidP="00693C10">
            <w:pPr>
              <w:pStyle w:val="Paragraph"/>
              <w:spacing w:before="80" w:after="80" w:line="240" w:lineRule="auto"/>
              <w:jc w:val="center"/>
              <w:rPr>
                <w:lang w:eastAsia="en-GB"/>
              </w:rPr>
            </w:pPr>
            <w:r>
              <w:rPr>
                <w:lang w:eastAsia="en-GB"/>
              </w:rPr>
              <w:t>Full year f</w:t>
            </w:r>
            <w:r w:rsidR="00461CC9">
              <w:rPr>
                <w:lang w:eastAsia="en-GB"/>
              </w:rPr>
              <w:t>orecast</w:t>
            </w:r>
            <w:r w:rsidR="00A31A62">
              <w:rPr>
                <w:lang w:eastAsia="en-GB"/>
              </w:rPr>
              <w:t xml:space="preserve"> = Breakeven</w:t>
            </w:r>
            <w:r w:rsidR="00461CC9">
              <w:rPr>
                <w:lang w:eastAsia="en-GB"/>
              </w:rPr>
              <w:t xml:space="preserve"> </w:t>
            </w:r>
            <w:r w:rsidR="00991859">
              <w:rPr>
                <w:lang w:eastAsia="en-GB"/>
              </w:rPr>
              <w:t xml:space="preserve"> </w:t>
            </w:r>
          </w:p>
        </w:tc>
        <w:tc>
          <w:tcPr>
            <w:tcW w:w="1298" w:type="dxa"/>
            <w:shd w:val="clear" w:color="auto" w:fill="F4E8AA"/>
          </w:tcPr>
          <w:p w14:paraId="62D7C189" w14:textId="467C3DCF" w:rsidR="00693C10" w:rsidRPr="008D47BA" w:rsidRDefault="002B564B" w:rsidP="00693C10">
            <w:pPr>
              <w:pStyle w:val="Paragraph"/>
              <w:spacing w:before="80" w:after="80" w:line="240" w:lineRule="auto"/>
              <w:jc w:val="center"/>
              <w:rPr>
                <w:lang w:eastAsia="en-GB"/>
              </w:rPr>
            </w:pPr>
            <w:r>
              <w:rPr>
                <w:lang w:eastAsia="en-GB"/>
              </w:rPr>
              <w:t>Amber</w:t>
            </w:r>
          </w:p>
        </w:tc>
        <w:tc>
          <w:tcPr>
            <w:tcW w:w="1220" w:type="dxa"/>
          </w:tcPr>
          <w:p w14:paraId="0A2899E3" w14:textId="1311CAF0" w:rsidR="00693C10" w:rsidRPr="008D47BA" w:rsidRDefault="00693C10" w:rsidP="00E12C9B">
            <w:pPr>
              <w:pStyle w:val="Paragraph"/>
              <w:spacing w:before="80" w:after="80" w:line="240" w:lineRule="auto"/>
              <w:jc w:val="center"/>
              <w:rPr>
                <w:lang w:eastAsia="en-GB"/>
              </w:rPr>
            </w:pPr>
            <w:r w:rsidRPr="006D4C09">
              <w:rPr>
                <w:rFonts w:cs="Arial"/>
                <w:color w:val="000000"/>
                <w:kern w:val="24"/>
                <w:sz w:val="21"/>
                <w:szCs w:val="21"/>
              </w:rPr>
              <w:t>£0.32m surplus</w:t>
            </w:r>
          </w:p>
        </w:tc>
        <w:tc>
          <w:tcPr>
            <w:tcW w:w="5280" w:type="dxa"/>
          </w:tcPr>
          <w:p w14:paraId="52A44945" w14:textId="7DD4766F" w:rsidR="00693C10" w:rsidRPr="00E95342" w:rsidRDefault="002253AB" w:rsidP="00693C10">
            <w:pPr>
              <w:pStyle w:val="NormalWeb"/>
              <w:spacing w:before="80" w:beforeAutospacing="0" w:after="80" w:afterAutospacing="0"/>
              <w:textAlignment w:val="center"/>
              <w:rPr>
                <w:rFonts w:asciiTheme="minorHAnsi" w:hAnsiTheme="minorHAnsi"/>
              </w:rPr>
            </w:pPr>
            <w:r>
              <w:rPr>
                <w:rFonts w:asciiTheme="minorHAnsi" w:hAnsiTheme="minorHAnsi"/>
                <w:sz w:val="22"/>
                <w:szCs w:val="22"/>
              </w:rPr>
              <w:t>KPI rated</w:t>
            </w:r>
            <w:r w:rsidR="004957B8">
              <w:rPr>
                <w:rFonts w:asciiTheme="minorHAnsi" w:hAnsiTheme="minorHAnsi"/>
                <w:sz w:val="22"/>
                <w:szCs w:val="22"/>
              </w:rPr>
              <w:t xml:space="preserve"> amber </w:t>
            </w:r>
            <w:r>
              <w:rPr>
                <w:rFonts w:asciiTheme="minorHAnsi" w:hAnsiTheme="minorHAnsi"/>
                <w:sz w:val="22"/>
                <w:szCs w:val="22"/>
              </w:rPr>
              <w:t>because</w:t>
            </w:r>
            <w:r w:rsidR="00972AE0">
              <w:rPr>
                <w:rFonts w:asciiTheme="minorHAnsi" w:hAnsiTheme="minorHAnsi"/>
                <w:sz w:val="22"/>
                <w:szCs w:val="22"/>
              </w:rPr>
              <w:t xml:space="preserve"> </w:t>
            </w:r>
            <w:r w:rsidR="00CC0A9F">
              <w:rPr>
                <w:rFonts w:asciiTheme="minorHAnsi" w:hAnsiTheme="minorHAnsi"/>
                <w:sz w:val="22"/>
                <w:szCs w:val="22"/>
              </w:rPr>
              <w:t>of</w:t>
            </w:r>
            <w:r w:rsidR="00972AE0">
              <w:rPr>
                <w:rFonts w:asciiTheme="minorHAnsi" w:hAnsiTheme="minorHAnsi"/>
                <w:sz w:val="22"/>
                <w:szCs w:val="22"/>
              </w:rPr>
              <w:t xml:space="preserve"> the </w:t>
            </w:r>
            <w:r>
              <w:rPr>
                <w:rFonts w:asciiTheme="minorHAnsi" w:hAnsiTheme="minorHAnsi"/>
                <w:sz w:val="22"/>
                <w:szCs w:val="22"/>
              </w:rPr>
              <w:t>year</w:t>
            </w:r>
            <w:r w:rsidR="003C2E12">
              <w:rPr>
                <w:rFonts w:asciiTheme="minorHAnsi" w:hAnsiTheme="minorHAnsi"/>
                <w:sz w:val="22"/>
                <w:szCs w:val="22"/>
              </w:rPr>
              <w:t>-</w:t>
            </w:r>
            <w:r>
              <w:rPr>
                <w:rFonts w:asciiTheme="minorHAnsi" w:hAnsiTheme="minorHAnsi"/>
                <w:sz w:val="22"/>
                <w:szCs w:val="22"/>
              </w:rPr>
              <w:t>to</w:t>
            </w:r>
            <w:r w:rsidR="003C2E12">
              <w:rPr>
                <w:rFonts w:asciiTheme="minorHAnsi" w:hAnsiTheme="minorHAnsi"/>
                <w:sz w:val="22"/>
                <w:szCs w:val="22"/>
              </w:rPr>
              <w:t>-</w:t>
            </w:r>
            <w:r>
              <w:rPr>
                <w:rFonts w:asciiTheme="minorHAnsi" w:hAnsiTheme="minorHAnsi"/>
                <w:sz w:val="22"/>
                <w:szCs w:val="22"/>
              </w:rPr>
              <w:t>date</w:t>
            </w:r>
            <w:r w:rsidR="00882DE9">
              <w:rPr>
                <w:rFonts w:asciiTheme="minorHAnsi" w:hAnsiTheme="minorHAnsi"/>
                <w:sz w:val="22"/>
                <w:szCs w:val="22"/>
              </w:rPr>
              <w:t xml:space="preserve"> </w:t>
            </w:r>
            <w:r w:rsidR="00882DE9" w:rsidRPr="00E95342">
              <w:rPr>
                <w:rFonts w:asciiTheme="minorHAnsi" w:hAnsiTheme="minorHAnsi"/>
                <w:sz w:val="22"/>
                <w:szCs w:val="22"/>
              </w:rPr>
              <w:t>deficit</w:t>
            </w:r>
            <w:r w:rsidR="003C2E12">
              <w:rPr>
                <w:rFonts w:asciiTheme="minorHAnsi" w:hAnsiTheme="minorHAnsi"/>
                <w:sz w:val="22"/>
                <w:szCs w:val="22"/>
              </w:rPr>
              <w:t xml:space="preserve"> (£0.90m)</w:t>
            </w:r>
            <w:r w:rsidR="00183700">
              <w:rPr>
                <w:rFonts w:asciiTheme="minorHAnsi" w:hAnsiTheme="minorHAnsi"/>
                <w:sz w:val="22"/>
                <w:szCs w:val="22"/>
              </w:rPr>
              <w:t xml:space="preserve">. </w:t>
            </w:r>
            <w:r w:rsidR="00396A76">
              <w:rPr>
                <w:rFonts w:asciiTheme="minorHAnsi" w:hAnsiTheme="minorHAnsi"/>
                <w:sz w:val="22"/>
                <w:szCs w:val="22"/>
              </w:rPr>
              <w:t>Focus on recovery of</w:t>
            </w:r>
            <w:r w:rsidR="00183700">
              <w:rPr>
                <w:rFonts w:asciiTheme="minorHAnsi" w:hAnsiTheme="minorHAnsi"/>
                <w:sz w:val="22"/>
                <w:szCs w:val="22"/>
              </w:rPr>
              <w:t xml:space="preserve"> </w:t>
            </w:r>
            <w:r w:rsidR="00972AE0">
              <w:rPr>
                <w:rFonts w:asciiTheme="minorHAnsi" w:hAnsiTheme="minorHAnsi"/>
                <w:sz w:val="22"/>
                <w:szCs w:val="22"/>
              </w:rPr>
              <w:t xml:space="preserve">the </w:t>
            </w:r>
            <w:r w:rsidR="00A92BAF" w:rsidRPr="00E95342">
              <w:rPr>
                <w:rFonts w:asciiTheme="minorHAnsi" w:hAnsiTheme="minorHAnsi"/>
                <w:sz w:val="22"/>
                <w:szCs w:val="22"/>
              </w:rPr>
              <w:t>i</w:t>
            </w:r>
            <w:r w:rsidR="00A17964" w:rsidRPr="00E95342">
              <w:rPr>
                <w:rFonts w:asciiTheme="minorHAnsi" w:hAnsiTheme="minorHAnsi"/>
                <w:sz w:val="22"/>
                <w:szCs w:val="22"/>
              </w:rPr>
              <w:t xml:space="preserve">ncome </w:t>
            </w:r>
            <w:r w:rsidR="00183700">
              <w:rPr>
                <w:rFonts w:asciiTheme="minorHAnsi" w:hAnsiTheme="minorHAnsi"/>
                <w:sz w:val="22"/>
                <w:szCs w:val="22"/>
              </w:rPr>
              <w:t xml:space="preserve">position </w:t>
            </w:r>
            <w:r w:rsidR="00A17964" w:rsidRPr="00E95342">
              <w:rPr>
                <w:rFonts w:asciiTheme="minorHAnsi" w:hAnsiTheme="minorHAnsi"/>
                <w:sz w:val="22"/>
                <w:szCs w:val="22"/>
              </w:rPr>
              <w:t xml:space="preserve">and </w:t>
            </w:r>
            <w:r w:rsidR="00E66CC2" w:rsidRPr="00E95342">
              <w:rPr>
                <w:rFonts w:asciiTheme="minorHAnsi" w:hAnsiTheme="minorHAnsi"/>
                <w:sz w:val="22"/>
                <w:szCs w:val="22"/>
              </w:rPr>
              <w:t xml:space="preserve">cost </w:t>
            </w:r>
            <w:r w:rsidR="00E3350C">
              <w:rPr>
                <w:rFonts w:asciiTheme="minorHAnsi" w:hAnsiTheme="minorHAnsi"/>
                <w:sz w:val="22"/>
                <w:szCs w:val="22"/>
              </w:rPr>
              <w:t>management</w:t>
            </w:r>
            <w:r w:rsidR="00A92BAF" w:rsidRPr="00E95342">
              <w:rPr>
                <w:rFonts w:asciiTheme="minorHAnsi" w:hAnsiTheme="minorHAnsi"/>
                <w:sz w:val="22"/>
                <w:szCs w:val="22"/>
              </w:rPr>
              <w:t xml:space="preserve"> </w:t>
            </w:r>
            <w:r w:rsidR="0092271A">
              <w:rPr>
                <w:rFonts w:asciiTheme="minorHAnsi" w:hAnsiTheme="minorHAnsi"/>
                <w:sz w:val="22"/>
                <w:szCs w:val="22"/>
              </w:rPr>
              <w:t>controls</w:t>
            </w:r>
            <w:r w:rsidR="00972AE0">
              <w:rPr>
                <w:rFonts w:asciiTheme="minorHAnsi" w:hAnsiTheme="minorHAnsi"/>
                <w:sz w:val="22"/>
                <w:szCs w:val="22"/>
              </w:rPr>
              <w:t xml:space="preserve"> will be required to achieve</w:t>
            </w:r>
            <w:r w:rsidR="00D46E5F">
              <w:rPr>
                <w:rFonts w:asciiTheme="minorHAnsi" w:hAnsiTheme="minorHAnsi"/>
                <w:sz w:val="22"/>
                <w:szCs w:val="22"/>
              </w:rPr>
              <w:t xml:space="preserve"> a</w:t>
            </w:r>
            <w:r w:rsidR="00D46E5F" w:rsidRPr="00E95342">
              <w:rPr>
                <w:rFonts w:asciiTheme="minorHAnsi" w:hAnsiTheme="minorHAnsi"/>
                <w:sz w:val="22"/>
                <w:szCs w:val="22"/>
              </w:rPr>
              <w:t xml:space="preserve"> breakeven forecast outturn</w:t>
            </w:r>
            <w:r w:rsidR="00972AE0">
              <w:rPr>
                <w:rFonts w:asciiTheme="minorHAnsi" w:hAnsiTheme="minorHAnsi"/>
                <w:sz w:val="22"/>
                <w:szCs w:val="22"/>
              </w:rPr>
              <w:t>.</w:t>
            </w:r>
          </w:p>
        </w:tc>
      </w:tr>
      <w:tr w:rsidR="00693C10" w14:paraId="1B3E2E9E" w14:textId="77777777" w:rsidTr="00A06F6D">
        <w:trPr>
          <w:trHeight w:val="509"/>
        </w:trPr>
        <w:tc>
          <w:tcPr>
            <w:tcW w:w="4531" w:type="dxa"/>
          </w:tcPr>
          <w:p w14:paraId="650FDB0E" w14:textId="664AD23A" w:rsidR="00693C10" w:rsidRDefault="00693C10" w:rsidP="00F45BA9">
            <w:pPr>
              <w:pStyle w:val="Paragraph"/>
              <w:spacing w:before="80" w:after="80" w:line="240" w:lineRule="auto"/>
              <w:rPr>
                <w:color w:val="000000"/>
                <w:kern w:val="24"/>
              </w:rPr>
            </w:pPr>
            <w:r>
              <w:rPr>
                <w:rFonts w:ascii="Inter" w:hAnsi="Inter"/>
                <w:color w:val="000000"/>
              </w:rPr>
              <w:t>Confidentiality Breaches (HealthTech)</w:t>
            </w:r>
          </w:p>
        </w:tc>
        <w:tc>
          <w:tcPr>
            <w:tcW w:w="1418" w:type="dxa"/>
          </w:tcPr>
          <w:p w14:paraId="2C539363" w14:textId="65C28134" w:rsidR="00693C10" w:rsidRDefault="00693C10" w:rsidP="00E95342">
            <w:pPr>
              <w:pStyle w:val="Paragraph"/>
              <w:spacing w:before="80" w:after="80" w:line="240" w:lineRule="auto"/>
              <w:jc w:val="center"/>
              <w:rPr>
                <w:rFonts w:cs="Arial"/>
                <w:color w:val="000000"/>
                <w:kern w:val="24"/>
              </w:rPr>
            </w:pPr>
            <w:r>
              <w:rPr>
                <w:rFonts w:cs="Arial"/>
                <w:color w:val="000000"/>
                <w:kern w:val="24"/>
                <w:sz w:val="21"/>
                <w:szCs w:val="21"/>
              </w:rPr>
              <w:t>2 or less</w:t>
            </w:r>
          </w:p>
        </w:tc>
        <w:tc>
          <w:tcPr>
            <w:tcW w:w="1416" w:type="dxa"/>
          </w:tcPr>
          <w:p w14:paraId="1D49F4A4" w14:textId="64CD9025" w:rsidR="00693C10" w:rsidRPr="00E12C9B" w:rsidRDefault="00E12C9B" w:rsidP="00693C10">
            <w:pPr>
              <w:pStyle w:val="Paragraph"/>
              <w:spacing w:before="80" w:after="80" w:line="240" w:lineRule="auto"/>
              <w:jc w:val="center"/>
              <w:rPr>
                <w:lang w:eastAsia="en-GB"/>
              </w:rPr>
            </w:pPr>
            <w:r w:rsidRPr="00E12C9B">
              <w:rPr>
                <w:lang w:eastAsia="en-GB"/>
              </w:rPr>
              <w:t>0</w:t>
            </w:r>
          </w:p>
        </w:tc>
        <w:tc>
          <w:tcPr>
            <w:tcW w:w="1298" w:type="dxa"/>
            <w:shd w:val="clear" w:color="auto" w:fill="CDE3DA"/>
          </w:tcPr>
          <w:p w14:paraId="393AE97B" w14:textId="4E825F63" w:rsidR="00693C10" w:rsidRDefault="00E12C9B" w:rsidP="00693C10">
            <w:pPr>
              <w:pStyle w:val="Paragraph"/>
              <w:spacing w:before="80" w:after="80" w:line="240" w:lineRule="auto"/>
              <w:jc w:val="center"/>
              <w:rPr>
                <w:lang w:eastAsia="en-GB"/>
              </w:rPr>
            </w:pPr>
            <w:r>
              <w:rPr>
                <w:lang w:eastAsia="en-GB"/>
              </w:rPr>
              <w:t>Green</w:t>
            </w:r>
          </w:p>
        </w:tc>
        <w:tc>
          <w:tcPr>
            <w:tcW w:w="1220" w:type="dxa"/>
          </w:tcPr>
          <w:p w14:paraId="241BEC7A" w14:textId="7966E26B" w:rsidR="00693C10" w:rsidRDefault="00693C10" w:rsidP="00E12C9B">
            <w:pPr>
              <w:pStyle w:val="Paragraph"/>
              <w:spacing w:before="80" w:after="80" w:line="240" w:lineRule="auto"/>
              <w:jc w:val="center"/>
              <w:rPr>
                <w:rFonts w:cs="Arial"/>
                <w:color w:val="000000"/>
                <w:kern w:val="24"/>
              </w:rPr>
            </w:pPr>
            <w:r>
              <w:rPr>
                <w:rFonts w:cs="Arial"/>
                <w:color w:val="000000"/>
                <w:kern w:val="24"/>
                <w:sz w:val="21"/>
                <w:szCs w:val="21"/>
              </w:rPr>
              <w:t>1</w:t>
            </w:r>
          </w:p>
        </w:tc>
        <w:tc>
          <w:tcPr>
            <w:tcW w:w="5280" w:type="dxa"/>
          </w:tcPr>
          <w:p w14:paraId="5E4BC129" w14:textId="2689EF49" w:rsidR="00693C10" w:rsidRPr="00411849" w:rsidRDefault="00E12C9B" w:rsidP="00411849">
            <w:pPr>
              <w:pStyle w:val="Paragraph"/>
              <w:spacing w:before="80" w:after="80" w:line="240" w:lineRule="auto"/>
              <w:rPr>
                <w:rFonts w:ascii="Inter" w:hAnsi="Inter"/>
                <w:color w:val="000000"/>
              </w:rPr>
            </w:pPr>
            <w:r w:rsidRPr="00411849">
              <w:rPr>
                <w:rFonts w:ascii="Inter" w:hAnsi="Inter"/>
                <w:color w:val="000000"/>
              </w:rPr>
              <w:t>N</w:t>
            </w:r>
            <w:r w:rsidR="00411849">
              <w:rPr>
                <w:rFonts w:ascii="Inter" w:hAnsi="Inter"/>
                <w:color w:val="000000"/>
              </w:rPr>
              <w:t>o co</w:t>
            </w:r>
            <w:r w:rsidR="00577C32">
              <w:rPr>
                <w:rFonts w:ascii="Inter" w:hAnsi="Inter"/>
                <w:color w:val="000000"/>
              </w:rPr>
              <w:t xml:space="preserve">mmercial or academic confidentiality breaches </w:t>
            </w:r>
            <w:r w:rsidR="00A73BE9">
              <w:rPr>
                <w:rFonts w:ascii="Inter" w:hAnsi="Inter"/>
                <w:color w:val="000000"/>
              </w:rPr>
              <w:t>between 1/4/26 and 31/5/26.</w:t>
            </w:r>
          </w:p>
        </w:tc>
      </w:tr>
      <w:tr w:rsidR="00693C10" w:rsidRPr="00136CAE" w14:paraId="1E05B074" w14:textId="77777777" w:rsidTr="00A06F6D">
        <w:trPr>
          <w:trHeight w:val="509"/>
        </w:trPr>
        <w:tc>
          <w:tcPr>
            <w:tcW w:w="4531" w:type="dxa"/>
          </w:tcPr>
          <w:p w14:paraId="3B8F2C61" w14:textId="43364F1A" w:rsidR="00693C10" w:rsidRPr="00CA38CF" w:rsidRDefault="00693C10" w:rsidP="00F45BA9">
            <w:pPr>
              <w:pStyle w:val="Paragraph"/>
              <w:spacing w:before="80" w:after="80" w:line="240" w:lineRule="auto"/>
              <w:rPr>
                <w:color w:val="000000"/>
                <w:kern w:val="24"/>
              </w:rPr>
            </w:pPr>
            <w:r>
              <w:rPr>
                <w:rFonts w:ascii="Inter" w:hAnsi="Inter"/>
                <w:color w:val="000000"/>
              </w:rPr>
              <w:t>Confidentiality Breaches (Medicines)</w:t>
            </w:r>
          </w:p>
        </w:tc>
        <w:tc>
          <w:tcPr>
            <w:tcW w:w="1418" w:type="dxa"/>
          </w:tcPr>
          <w:p w14:paraId="7EA65BED" w14:textId="3A8CB70E" w:rsidR="00693C10" w:rsidRDefault="00693C10" w:rsidP="00E95342">
            <w:pPr>
              <w:pStyle w:val="Paragraph"/>
              <w:spacing w:before="80" w:after="80" w:line="240" w:lineRule="auto"/>
              <w:jc w:val="center"/>
              <w:rPr>
                <w:rFonts w:cs="Arial"/>
                <w:color w:val="000000"/>
                <w:kern w:val="24"/>
              </w:rPr>
            </w:pPr>
            <w:r>
              <w:rPr>
                <w:rFonts w:cs="Arial"/>
                <w:color w:val="000000"/>
                <w:kern w:val="24"/>
                <w:sz w:val="21"/>
                <w:szCs w:val="21"/>
              </w:rPr>
              <w:t>8 or less</w:t>
            </w:r>
          </w:p>
        </w:tc>
        <w:tc>
          <w:tcPr>
            <w:tcW w:w="1416" w:type="dxa"/>
          </w:tcPr>
          <w:p w14:paraId="4F21995E" w14:textId="3D1FBCC6" w:rsidR="00693C10" w:rsidRPr="00E12C9B" w:rsidRDefault="00E12C9B" w:rsidP="00693C10">
            <w:pPr>
              <w:pStyle w:val="Paragraph"/>
              <w:spacing w:before="80" w:after="80" w:line="240" w:lineRule="auto"/>
              <w:jc w:val="center"/>
              <w:rPr>
                <w:lang w:eastAsia="en-GB"/>
              </w:rPr>
            </w:pPr>
            <w:r w:rsidRPr="00E12C9B">
              <w:rPr>
                <w:lang w:eastAsia="en-GB"/>
              </w:rPr>
              <w:t>0</w:t>
            </w:r>
          </w:p>
        </w:tc>
        <w:tc>
          <w:tcPr>
            <w:tcW w:w="1298" w:type="dxa"/>
            <w:shd w:val="clear" w:color="auto" w:fill="CDE3DA"/>
          </w:tcPr>
          <w:p w14:paraId="5705982B" w14:textId="7A923DAA" w:rsidR="00693C10" w:rsidRDefault="00E12C9B" w:rsidP="00693C10">
            <w:pPr>
              <w:pStyle w:val="Paragraph"/>
              <w:spacing w:before="80" w:after="80" w:line="240" w:lineRule="auto"/>
              <w:jc w:val="center"/>
              <w:rPr>
                <w:lang w:eastAsia="en-GB"/>
              </w:rPr>
            </w:pPr>
            <w:r>
              <w:rPr>
                <w:lang w:eastAsia="en-GB"/>
              </w:rPr>
              <w:t>Green</w:t>
            </w:r>
          </w:p>
        </w:tc>
        <w:tc>
          <w:tcPr>
            <w:tcW w:w="1220" w:type="dxa"/>
          </w:tcPr>
          <w:p w14:paraId="0CAB8E7A" w14:textId="29F211DF" w:rsidR="00693C10" w:rsidRDefault="00693C10" w:rsidP="00E12C9B">
            <w:pPr>
              <w:pStyle w:val="Paragraph"/>
              <w:spacing w:before="80" w:after="80" w:line="240" w:lineRule="auto"/>
              <w:jc w:val="center"/>
              <w:rPr>
                <w:rFonts w:cs="Arial"/>
                <w:color w:val="000000"/>
                <w:kern w:val="24"/>
              </w:rPr>
            </w:pPr>
            <w:r>
              <w:rPr>
                <w:rFonts w:cs="Arial"/>
                <w:color w:val="000000"/>
                <w:kern w:val="24"/>
                <w:sz w:val="21"/>
                <w:szCs w:val="21"/>
              </w:rPr>
              <w:t>8</w:t>
            </w:r>
          </w:p>
        </w:tc>
        <w:tc>
          <w:tcPr>
            <w:tcW w:w="5280" w:type="dxa"/>
          </w:tcPr>
          <w:p w14:paraId="2C85A488" w14:textId="1DFC7350" w:rsidR="00693C10" w:rsidRPr="00411849" w:rsidRDefault="00A73BE9" w:rsidP="00411849">
            <w:pPr>
              <w:pStyle w:val="Paragraph"/>
              <w:spacing w:before="80" w:after="80" w:line="240" w:lineRule="auto"/>
              <w:rPr>
                <w:rFonts w:ascii="Inter" w:hAnsi="Inter"/>
                <w:color w:val="000000"/>
              </w:rPr>
            </w:pPr>
            <w:r w:rsidRPr="00411849">
              <w:rPr>
                <w:rFonts w:ascii="Inter" w:hAnsi="Inter"/>
                <w:color w:val="000000"/>
              </w:rPr>
              <w:t>N</w:t>
            </w:r>
            <w:r>
              <w:rPr>
                <w:rFonts w:ascii="Inter" w:hAnsi="Inter"/>
                <w:color w:val="000000"/>
              </w:rPr>
              <w:t>o commercial or academic confidentiality breaches between 1/4/26 and 31/5/26.</w:t>
            </w:r>
          </w:p>
        </w:tc>
      </w:tr>
      <w:tr w:rsidR="00693C10" w:rsidRPr="00136CAE" w14:paraId="7C6B6580" w14:textId="77777777" w:rsidTr="00A06F6D">
        <w:trPr>
          <w:trHeight w:val="509"/>
        </w:trPr>
        <w:tc>
          <w:tcPr>
            <w:tcW w:w="4531" w:type="dxa"/>
            <w:vAlign w:val="center"/>
          </w:tcPr>
          <w:p w14:paraId="5B4F0AB6" w14:textId="3CC99F6A" w:rsidR="00693C10" w:rsidRPr="00CA38CF" w:rsidRDefault="00693C10" w:rsidP="00693C10">
            <w:pPr>
              <w:pStyle w:val="Paragraph"/>
              <w:spacing w:before="80" w:after="80" w:line="240" w:lineRule="auto"/>
              <w:rPr>
                <w:color w:val="000000"/>
                <w:kern w:val="24"/>
              </w:rPr>
            </w:pPr>
            <w:r>
              <w:rPr>
                <w:rFonts w:ascii="Inter" w:hAnsi="Inter"/>
                <w:color w:val="000000"/>
              </w:rPr>
              <w:t>Cyber Resilience and preparedness score (incorporating cyber posture, business continuity &amp; disaster recovery and sentiment</w:t>
            </w:r>
            <w:r w:rsidR="0066081C">
              <w:rPr>
                <w:rFonts w:ascii="Inter" w:hAnsi="Inter"/>
                <w:color w:val="000000"/>
              </w:rPr>
              <w:t xml:space="preserve"> measures</w:t>
            </w:r>
            <w:r>
              <w:rPr>
                <w:rFonts w:ascii="Inter" w:hAnsi="Inter"/>
                <w:color w:val="000000"/>
              </w:rPr>
              <w:t xml:space="preserve">). </w:t>
            </w:r>
          </w:p>
        </w:tc>
        <w:tc>
          <w:tcPr>
            <w:tcW w:w="1418" w:type="dxa"/>
          </w:tcPr>
          <w:p w14:paraId="025AC748" w14:textId="3EE46A72" w:rsidR="00693C10" w:rsidRDefault="00693C10" w:rsidP="00A73BE9">
            <w:pPr>
              <w:pStyle w:val="Paragraph"/>
              <w:spacing w:before="80" w:after="80" w:line="240" w:lineRule="auto"/>
              <w:jc w:val="center"/>
              <w:rPr>
                <w:rFonts w:cs="Arial"/>
                <w:color w:val="000000"/>
                <w:kern w:val="24"/>
              </w:rPr>
            </w:pPr>
            <w:r w:rsidRPr="006863BF">
              <w:rPr>
                <w:rFonts w:cs="Arial"/>
                <w:color w:val="000000"/>
                <w:kern w:val="24"/>
                <w:sz w:val="21"/>
                <w:szCs w:val="21"/>
              </w:rPr>
              <w:t>Green</w:t>
            </w:r>
          </w:p>
        </w:tc>
        <w:tc>
          <w:tcPr>
            <w:tcW w:w="1416" w:type="dxa"/>
          </w:tcPr>
          <w:p w14:paraId="6F9BBC7E" w14:textId="5D8BF2AF" w:rsidR="00693C10" w:rsidRPr="00013FE1" w:rsidRDefault="0040393A" w:rsidP="00693C10">
            <w:pPr>
              <w:pStyle w:val="Paragraph"/>
              <w:spacing w:before="80" w:after="80" w:line="240" w:lineRule="auto"/>
              <w:jc w:val="center"/>
              <w:rPr>
                <w:rFonts w:cs="Arial"/>
                <w:b/>
                <w:bCs/>
                <w:color w:val="000000"/>
                <w:kern w:val="24"/>
              </w:rPr>
            </w:pPr>
            <w:r>
              <w:rPr>
                <w:lang w:eastAsia="en-GB"/>
              </w:rPr>
              <w:t>Amber</w:t>
            </w:r>
          </w:p>
        </w:tc>
        <w:tc>
          <w:tcPr>
            <w:tcW w:w="1298" w:type="dxa"/>
            <w:shd w:val="clear" w:color="auto" w:fill="F4E8AA"/>
          </w:tcPr>
          <w:p w14:paraId="449B157A" w14:textId="79359DB2" w:rsidR="00693C10" w:rsidRDefault="00FA38C6" w:rsidP="00693C10">
            <w:pPr>
              <w:pStyle w:val="Paragraph"/>
              <w:spacing w:before="80" w:after="80" w:line="240" w:lineRule="auto"/>
              <w:jc w:val="center"/>
              <w:rPr>
                <w:lang w:eastAsia="en-GB"/>
              </w:rPr>
            </w:pPr>
            <w:r>
              <w:rPr>
                <w:lang w:eastAsia="en-GB"/>
              </w:rPr>
              <w:t>Amber</w:t>
            </w:r>
          </w:p>
        </w:tc>
        <w:tc>
          <w:tcPr>
            <w:tcW w:w="1220" w:type="dxa"/>
          </w:tcPr>
          <w:p w14:paraId="0C93C2DD" w14:textId="6433D88D" w:rsidR="00693C10" w:rsidRDefault="00A609FD" w:rsidP="00E12C9B">
            <w:pPr>
              <w:pStyle w:val="Paragraph"/>
              <w:spacing w:before="80" w:after="80" w:line="240" w:lineRule="auto"/>
              <w:jc w:val="center"/>
              <w:rPr>
                <w:rFonts w:cs="Arial"/>
                <w:color w:val="000000"/>
                <w:kern w:val="24"/>
              </w:rPr>
            </w:pPr>
            <w:r>
              <w:rPr>
                <w:rFonts w:cs="Arial"/>
                <w:color w:val="000000"/>
                <w:kern w:val="24"/>
                <w:sz w:val="21"/>
                <w:szCs w:val="21"/>
              </w:rPr>
              <w:t>Amber</w:t>
            </w:r>
          </w:p>
        </w:tc>
        <w:tc>
          <w:tcPr>
            <w:tcW w:w="5280" w:type="dxa"/>
          </w:tcPr>
          <w:p w14:paraId="1BA74E16" w14:textId="541BF64A" w:rsidR="00693C10" w:rsidRPr="00A73BE9" w:rsidRDefault="00CA4C7A" w:rsidP="00A73BE9">
            <w:pPr>
              <w:pStyle w:val="Paragraph"/>
              <w:spacing w:before="80" w:after="80" w:line="240" w:lineRule="auto"/>
              <w:rPr>
                <w:rFonts w:ascii="Inter" w:hAnsi="Inter"/>
                <w:color w:val="000000"/>
              </w:rPr>
            </w:pPr>
            <w:r>
              <w:rPr>
                <w:rFonts w:ascii="Inter" w:hAnsi="Inter"/>
                <w:color w:val="000000"/>
              </w:rPr>
              <w:t xml:space="preserve">Composite score </w:t>
            </w:r>
            <w:r w:rsidR="00103B4D">
              <w:rPr>
                <w:rFonts w:ascii="Inter" w:hAnsi="Inter"/>
                <w:color w:val="000000"/>
              </w:rPr>
              <w:t>rated</w:t>
            </w:r>
            <w:r w:rsidR="00FA38C6">
              <w:rPr>
                <w:rFonts w:ascii="Inter" w:hAnsi="Inter"/>
                <w:color w:val="000000"/>
              </w:rPr>
              <w:t xml:space="preserve"> amber </w:t>
            </w:r>
            <w:r w:rsidR="00D30971">
              <w:rPr>
                <w:rFonts w:ascii="Inter" w:hAnsi="Inter"/>
                <w:color w:val="000000"/>
              </w:rPr>
              <w:t xml:space="preserve">in May, </w:t>
            </w:r>
            <w:r w:rsidR="00FA38C6">
              <w:rPr>
                <w:rFonts w:ascii="Inter" w:hAnsi="Inter"/>
                <w:color w:val="000000"/>
              </w:rPr>
              <w:t xml:space="preserve">based on the performance of 3 of the underpinning </w:t>
            </w:r>
            <w:r w:rsidR="00D30971">
              <w:rPr>
                <w:rFonts w:ascii="Inter" w:hAnsi="Inter"/>
                <w:color w:val="000000"/>
              </w:rPr>
              <w:t xml:space="preserve">measures </w:t>
            </w:r>
            <w:r w:rsidR="00BC23F7">
              <w:rPr>
                <w:rFonts w:ascii="Inter" w:hAnsi="Inter"/>
                <w:color w:val="000000"/>
              </w:rPr>
              <w:t>(in</w:t>
            </w:r>
            <w:r w:rsidR="007D142E">
              <w:rPr>
                <w:rFonts w:ascii="Inter" w:hAnsi="Inter"/>
                <w:color w:val="000000"/>
              </w:rPr>
              <w:t xml:space="preserve">cluding business continuity </w:t>
            </w:r>
            <w:r w:rsidR="00E2728C">
              <w:rPr>
                <w:rFonts w:ascii="Inter" w:hAnsi="Inter"/>
                <w:color w:val="000000"/>
              </w:rPr>
              <w:t>and</w:t>
            </w:r>
            <w:r w:rsidR="007D142E">
              <w:rPr>
                <w:rFonts w:ascii="Inter" w:hAnsi="Inter"/>
                <w:color w:val="000000"/>
              </w:rPr>
              <w:t xml:space="preserve"> training)</w:t>
            </w:r>
            <w:r w:rsidR="00EC651F">
              <w:rPr>
                <w:rFonts w:ascii="Inter" w:hAnsi="Inter"/>
                <w:color w:val="000000"/>
              </w:rPr>
              <w:t xml:space="preserve">. </w:t>
            </w:r>
          </w:p>
        </w:tc>
      </w:tr>
    </w:tbl>
    <w:p w14:paraId="6A093DAD" w14:textId="77777777" w:rsidR="00992F55" w:rsidRDefault="00992F55" w:rsidP="009B2395"/>
    <w:p w14:paraId="531E3FC0" w14:textId="77777777" w:rsidR="00992F55" w:rsidRDefault="00992F55" w:rsidP="009B2395"/>
    <w:p w14:paraId="414693B2" w14:textId="77777777" w:rsidR="00992F55" w:rsidRDefault="00992F55" w:rsidP="009B2395"/>
    <w:p w14:paraId="076022BB" w14:textId="4A8090FA" w:rsidR="009B2395" w:rsidRDefault="009B2395" w:rsidP="009B2395">
      <w:r>
        <w:br w:type="page"/>
      </w:r>
    </w:p>
    <w:p w14:paraId="05435AA9" w14:textId="3DA10907" w:rsidR="00314A7C" w:rsidRPr="00517723" w:rsidRDefault="00314A7C" w:rsidP="00314A7C">
      <w:pPr>
        <w:pStyle w:val="Heading1"/>
        <w:ind w:left="426" w:hanging="426"/>
      </w:pPr>
      <w:bookmarkStart w:id="7" w:name="_Toc234391368"/>
      <w:r>
        <w:t>Corporate projects</w:t>
      </w:r>
      <w:bookmarkEnd w:id="7"/>
    </w:p>
    <w:tbl>
      <w:tblPr>
        <w:tblStyle w:val="TableGrid"/>
        <w:tblW w:w="14454" w:type="dxa"/>
        <w:tblLayout w:type="fixed"/>
        <w:tblLook w:val="04A0" w:firstRow="1" w:lastRow="0" w:firstColumn="1" w:lastColumn="0" w:noHBand="0" w:noVBand="1"/>
      </w:tblPr>
      <w:tblGrid>
        <w:gridCol w:w="10915"/>
        <w:gridCol w:w="1276"/>
        <w:gridCol w:w="2263"/>
      </w:tblGrid>
      <w:tr w:rsidR="00D22C14" w14:paraId="60EB130F" w14:textId="77777777" w:rsidTr="008B18E2">
        <w:trPr>
          <w:trHeight w:val="464"/>
        </w:trPr>
        <w:tc>
          <w:tcPr>
            <w:tcW w:w="10915" w:type="dxa"/>
            <w:tcBorders>
              <w:top w:val="single" w:sz="4" w:space="0" w:color="auto"/>
              <w:left w:val="nil"/>
              <w:bottom w:val="nil"/>
              <w:right w:val="single" w:sz="4" w:space="0" w:color="auto"/>
            </w:tcBorders>
            <w:vAlign w:val="center"/>
          </w:tcPr>
          <w:p w14:paraId="1E1AF222" w14:textId="1A957B37" w:rsidR="00D22C14" w:rsidRPr="00563A89" w:rsidRDefault="00D1575D" w:rsidP="00D1575D">
            <w:pPr>
              <w:pStyle w:val="Heading2"/>
              <w:ind w:left="567" w:hanging="567"/>
            </w:pPr>
            <w:bookmarkStart w:id="8" w:name="_Toc234391369"/>
            <w:r>
              <w:t>Whole lifecycle approach</w:t>
            </w:r>
            <w:bookmarkEnd w:id="8"/>
          </w:p>
        </w:tc>
        <w:tc>
          <w:tcPr>
            <w:tcW w:w="1276" w:type="dxa"/>
            <w:tcBorders>
              <w:left w:val="single" w:sz="4" w:space="0" w:color="auto"/>
            </w:tcBorders>
            <w:shd w:val="clear" w:color="auto" w:fill="00436C"/>
            <w:vAlign w:val="center"/>
          </w:tcPr>
          <w:p w14:paraId="0AC7D4DA" w14:textId="77777777" w:rsidR="00D22C14" w:rsidRPr="002F1968" w:rsidRDefault="00D22C14" w:rsidP="00967A2A">
            <w:pPr>
              <w:spacing w:after="0"/>
              <w:jc w:val="right"/>
              <w:rPr>
                <w:b/>
                <w:bCs/>
              </w:rPr>
            </w:pPr>
            <w:r>
              <w:rPr>
                <w:b/>
                <w:bCs/>
              </w:rPr>
              <w:t>Status</w:t>
            </w:r>
            <w:r w:rsidRPr="002F1968">
              <w:rPr>
                <w:b/>
                <w:bCs/>
              </w:rPr>
              <w:t>:</w:t>
            </w:r>
          </w:p>
        </w:tc>
        <w:tc>
          <w:tcPr>
            <w:tcW w:w="2263" w:type="dxa"/>
            <w:shd w:val="clear" w:color="auto" w:fill="CDE3DA"/>
            <w:vAlign w:val="center"/>
          </w:tcPr>
          <w:p w14:paraId="2F3D6226" w14:textId="32CF008B" w:rsidR="00D22C14" w:rsidRPr="008025FD" w:rsidRDefault="006F3145">
            <w:pPr>
              <w:spacing w:after="0"/>
              <w:jc w:val="center"/>
              <w:rPr>
                <w:b/>
                <w:bCs/>
              </w:rPr>
            </w:pPr>
            <w:r>
              <w:rPr>
                <w:b/>
                <w:bCs/>
              </w:rPr>
              <w:t>Green</w:t>
            </w:r>
          </w:p>
        </w:tc>
      </w:tr>
    </w:tbl>
    <w:p w14:paraId="5DF7F325" w14:textId="77777777" w:rsidR="009C330D" w:rsidRDefault="009C330D" w:rsidP="009C330D">
      <w:pPr>
        <w:pStyle w:val="Heading3"/>
      </w:pPr>
      <w:r>
        <w:t>Project overview</w:t>
      </w:r>
    </w:p>
    <w:p w14:paraId="0C37C28A" w14:textId="324A5DD2" w:rsidR="009C330D" w:rsidRDefault="00C7464A" w:rsidP="009C330D">
      <w:r w:rsidRPr="00440376">
        <w:t xml:space="preserve">NICE is evolving towards a whole lifecycle approach </w:t>
      </w:r>
      <w:r>
        <w:t xml:space="preserve">(WLA) </w:t>
      </w:r>
      <w:r w:rsidRPr="00440376">
        <w:t>to guidance production to ensure it continues to provide the NHS with useful and usable guidance.</w:t>
      </w:r>
    </w:p>
    <w:p w14:paraId="21FBBCAD" w14:textId="10CAB760" w:rsidR="002F6450" w:rsidRDefault="006D0760" w:rsidP="006D0760">
      <w:pPr>
        <w:pStyle w:val="Heading3"/>
      </w:pPr>
      <w:r>
        <w:t>Highlights</w:t>
      </w:r>
    </w:p>
    <w:tbl>
      <w:tblPr>
        <w:tblStyle w:val="TableGrid"/>
        <w:tblW w:w="14454" w:type="dxa"/>
        <w:tblLook w:val="04A0" w:firstRow="1" w:lastRow="0" w:firstColumn="1" w:lastColumn="0" w:noHBand="0" w:noVBand="1"/>
      </w:tblPr>
      <w:tblGrid>
        <w:gridCol w:w="8642"/>
        <w:gridCol w:w="5812"/>
      </w:tblGrid>
      <w:tr w:rsidR="00A60A03" w:rsidRPr="008D47BA" w14:paraId="1EC829F7" w14:textId="77777777" w:rsidTr="00336D68">
        <w:trPr>
          <w:tblHeader/>
        </w:trPr>
        <w:tc>
          <w:tcPr>
            <w:tcW w:w="8642" w:type="dxa"/>
            <w:shd w:val="clear" w:color="auto" w:fill="00436C" w:themeFill="accent2"/>
          </w:tcPr>
          <w:p w14:paraId="013F2D8A" w14:textId="77777777" w:rsidR="00A60A03" w:rsidRDefault="00A60A03">
            <w:pPr>
              <w:pStyle w:val="Paragraph"/>
              <w:spacing w:before="120" w:after="120" w:line="240" w:lineRule="auto"/>
              <w:rPr>
                <w:b/>
                <w:bCs/>
                <w:color w:val="FFFFFF" w:themeColor="background1"/>
                <w:lang w:eastAsia="en-GB"/>
              </w:rPr>
            </w:pPr>
            <w:r>
              <w:rPr>
                <w:b/>
                <w:bCs/>
                <w:color w:val="FFFFFF" w:themeColor="background1"/>
                <w:lang w:eastAsia="en-GB"/>
              </w:rPr>
              <w:t>Progress and achievements</w:t>
            </w:r>
          </w:p>
        </w:tc>
        <w:tc>
          <w:tcPr>
            <w:tcW w:w="5812" w:type="dxa"/>
            <w:shd w:val="clear" w:color="auto" w:fill="00436C" w:themeFill="accent2"/>
          </w:tcPr>
          <w:p w14:paraId="6FC2C9E4" w14:textId="30A37304" w:rsidR="00A60A03" w:rsidRPr="008D47BA" w:rsidRDefault="00A60A03">
            <w:pPr>
              <w:pStyle w:val="Paragraph"/>
              <w:spacing w:before="120" w:after="120" w:line="240" w:lineRule="auto"/>
              <w:rPr>
                <w:color w:val="FFFFFF" w:themeColor="background1"/>
                <w:lang w:eastAsia="en-GB"/>
              </w:rPr>
            </w:pPr>
            <w:r>
              <w:rPr>
                <w:b/>
                <w:bCs/>
                <w:color w:val="FFFFFF" w:themeColor="background1"/>
                <w:lang w:eastAsia="en-GB"/>
              </w:rPr>
              <w:t xml:space="preserve">Key </w:t>
            </w:r>
            <w:r w:rsidR="00F76EEC">
              <w:rPr>
                <w:b/>
                <w:bCs/>
                <w:color w:val="FFFFFF" w:themeColor="background1"/>
                <w:lang w:eastAsia="en-GB"/>
              </w:rPr>
              <w:t>next steps</w:t>
            </w:r>
          </w:p>
        </w:tc>
      </w:tr>
      <w:tr w:rsidR="00A60A03" w:rsidRPr="008D47BA" w14:paraId="672F5143" w14:textId="77777777" w:rsidTr="00336D68">
        <w:trPr>
          <w:trHeight w:val="365"/>
        </w:trPr>
        <w:tc>
          <w:tcPr>
            <w:tcW w:w="8642" w:type="dxa"/>
          </w:tcPr>
          <w:p w14:paraId="48252115" w14:textId="15ADC63B" w:rsidR="00520FE9" w:rsidRPr="00520FE9" w:rsidRDefault="00520FE9" w:rsidP="00E95342">
            <w:pPr>
              <w:numPr>
                <w:ilvl w:val="0"/>
                <w:numId w:val="7"/>
              </w:numPr>
              <w:spacing w:before="120" w:after="120" w:line="264" w:lineRule="auto"/>
              <w:ind w:left="307" w:hanging="284"/>
              <w:rPr>
                <w:rFonts w:cs="Arial"/>
              </w:rPr>
            </w:pPr>
            <w:r w:rsidRPr="00520FE9">
              <w:rPr>
                <w:rFonts w:cs="Arial"/>
              </w:rPr>
              <w:t xml:space="preserve">WLA definition </w:t>
            </w:r>
            <w:r>
              <w:rPr>
                <w:rFonts w:cs="Arial"/>
              </w:rPr>
              <w:t xml:space="preserve">for guidance production </w:t>
            </w:r>
            <w:r w:rsidRPr="00520FE9">
              <w:rPr>
                <w:rFonts w:cs="Arial"/>
              </w:rPr>
              <w:t>agreed</w:t>
            </w:r>
          </w:p>
          <w:p w14:paraId="5372F8CC" w14:textId="0FFA6273" w:rsidR="00520FE9" w:rsidRPr="00520FE9" w:rsidRDefault="00520FE9" w:rsidP="00E95342">
            <w:pPr>
              <w:numPr>
                <w:ilvl w:val="0"/>
                <w:numId w:val="7"/>
              </w:numPr>
              <w:spacing w:before="120" w:after="120" w:line="264" w:lineRule="auto"/>
              <w:ind w:left="307" w:hanging="284"/>
              <w:rPr>
                <w:rFonts w:cs="Arial"/>
              </w:rPr>
            </w:pPr>
            <w:r w:rsidRPr="00520FE9">
              <w:rPr>
                <w:rFonts w:cs="Arial"/>
              </w:rPr>
              <w:t xml:space="preserve">WLA </w:t>
            </w:r>
            <w:r>
              <w:rPr>
                <w:rFonts w:cs="Arial"/>
              </w:rPr>
              <w:t xml:space="preserve">revised </w:t>
            </w:r>
            <w:r w:rsidRPr="00520FE9">
              <w:rPr>
                <w:rFonts w:cs="Arial"/>
              </w:rPr>
              <w:t>governance structure 26-27 agreed and being implemented</w:t>
            </w:r>
          </w:p>
          <w:p w14:paraId="7CBF7F99" w14:textId="7FB2CD30" w:rsidR="00520FE9" w:rsidRPr="00520FE9" w:rsidRDefault="00520FE9" w:rsidP="00E95342">
            <w:pPr>
              <w:numPr>
                <w:ilvl w:val="0"/>
                <w:numId w:val="7"/>
              </w:numPr>
              <w:spacing w:before="120" w:after="120" w:line="264" w:lineRule="auto"/>
              <w:ind w:left="307" w:hanging="284"/>
              <w:rPr>
                <w:rFonts w:cs="Arial"/>
              </w:rPr>
            </w:pPr>
            <w:r w:rsidRPr="00520FE9">
              <w:rPr>
                <w:rFonts w:cs="Arial"/>
              </w:rPr>
              <w:t>WLA project plan for 26-27 agreed, including work with key dependencies</w:t>
            </w:r>
            <w:r>
              <w:rPr>
                <w:rFonts w:cs="Arial"/>
              </w:rPr>
              <w:t xml:space="preserve">. This includes monthly and quarterly monitoring </w:t>
            </w:r>
            <w:r w:rsidR="00642C3B">
              <w:rPr>
                <w:rFonts w:cs="Arial"/>
              </w:rPr>
              <w:t>arrangements</w:t>
            </w:r>
          </w:p>
          <w:p w14:paraId="064FE7AF" w14:textId="151CCB78" w:rsidR="00642C3B" w:rsidRPr="00520FE9" w:rsidRDefault="000207DE" w:rsidP="00E95342">
            <w:pPr>
              <w:numPr>
                <w:ilvl w:val="0"/>
                <w:numId w:val="7"/>
              </w:numPr>
              <w:spacing w:before="120" w:after="120" w:line="264" w:lineRule="auto"/>
              <w:ind w:left="307" w:hanging="284"/>
              <w:rPr>
                <w:rFonts w:cs="Arial"/>
              </w:rPr>
            </w:pPr>
            <w:r>
              <w:rPr>
                <w:rFonts w:cs="Arial"/>
              </w:rPr>
              <w:t>Technology Appraisals (</w:t>
            </w:r>
            <w:r w:rsidR="00642C3B">
              <w:rPr>
                <w:rFonts w:cs="Arial"/>
              </w:rPr>
              <w:t>TAs</w:t>
            </w:r>
            <w:r>
              <w:rPr>
                <w:rFonts w:cs="Arial"/>
              </w:rPr>
              <w:t>)</w:t>
            </w:r>
            <w:r w:rsidR="00642C3B">
              <w:rPr>
                <w:rFonts w:cs="Arial"/>
              </w:rPr>
              <w:t xml:space="preserve"> considered for </w:t>
            </w:r>
            <w:r w:rsidR="00CE558E">
              <w:rPr>
                <w:rFonts w:cs="Arial"/>
              </w:rPr>
              <w:t>incorporation</w:t>
            </w:r>
            <w:r w:rsidR="00642C3B">
              <w:rPr>
                <w:rFonts w:cs="Arial"/>
              </w:rPr>
              <w:t xml:space="preserve"> into </w:t>
            </w:r>
            <w:r w:rsidR="00CE558E">
              <w:rPr>
                <w:rFonts w:cs="Arial"/>
              </w:rPr>
              <w:t>guidelines exceeding targets</w:t>
            </w:r>
          </w:p>
          <w:p w14:paraId="598F1A73" w14:textId="7B21802C" w:rsidR="00520FE9" w:rsidRPr="00520FE9" w:rsidRDefault="00520FE9" w:rsidP="00E95342">
            <w:pPr>
              <w:numPr>
                <w:ilvl w:val="0"/>
                <w:numId w:val="7"/>
              </w:numPr>
              <w:spacing w:before="120" w:after="120" w:line="264" w:lineRule="auto"/>
              <w:ind w:left="307" w:hanging="284"/>
              <w:rPr>
                <w:rFonts w:cs="Arial"/>
              </w:rPr>
            </w:pPr>
            <w:r w:rsidRPr="00520FE9">
              <w:rPr>
                <w:rFonts w:cs="Arial"/>
              </w:rPr>
              <w:t xml:space="preserve">Proposal for 26-27 </w:t>
            </w:r>
            <w:r w:rsidR="001300CC">
              <w:rPr>
                <w:rFonts w:cs="Arial"/>
              </w:rPr>
              <w:t>t</w:t>
            </w:r>
            <w:r w:rsidRPr="00520FE9">
              <w:rPr>
                <w:rFonts w:cs="Arial"/>
              </w:rPr>
              <w:t>est cases at an advanced stage</w:t>
            </w:r>
            <w:r w:rsidR="00F071D5">
              <w:rPr>
                <w:rFonts w:cs="Arial"/>
              </w:rPr>
              <w:t>, including a systemic approach to capturing and sharing learning</w:t>
            </w:r>
            <w:r w:rsidR="002F7E0F">
              <w:rPr>
                <w:rFonts w:cs="Arial"/>
              </w:rPr>
              <w:t>.</w:t>
            </w:r>
            <w:r w:rsidR="00F071D5">
              <w:rPr>
                <w:rFonts w:cs="Arial"/>
              </w:rPr>
              <w:t xml:space="preserve"> </w:t>
            </w:r>
          </w:p>
          <w:p w14:paraId="66612C2D" w14:textId="77777777" w:rsidR="00A60A03" w:rsidRDefault="008D4EEA" w:rsidP="00E95342">
            <w:pPr>
              <w:numPr>
                <w:ilvl w:val="0"/>
                <w:numId w:val="7"/>
              </w:numPr>
              <w:spacing w:before="120" w:after="120" w:line="264" w:lineRule="auto"/>
              <w:ind w:left="307" w:hanging="284"/>
              <w:rPr>
                <w:rFonts w:cs="Arial"/>
              </w:rPr>
            </w:pPr>
            <w:r>
              <w:rPr>
                <w:rFonts w:cs="Arial"/>
              </w:rPr>
              <w:t>Robust c</w:t>
            </w:r>
            <w:r w:rsidR="00520FE9" w:rsidRPr="00520FE9">
              <w:rPr>
                <w:rFonts w:cs="Arial"/>
              </w:rPr>
              <w:t xml:space="preserve">ollaboration </w:t>
            </w:r>
            <w:r>
              <w:rPr>
                <w:rFonts w:cs="Arial"/>
              </w:rPr>
              <w:t>established</w:t>
            </w:r>
            <w:r w:rsidR="00520FE9" w:rsidRPr="00520FE9">
              <w:rPr>
                <w:rFonts w:cs="Arial"/>
              </w:rPr>
              <w:t xml:space="preserve"> with the methods manual/s and knowledge platform</w:t>
            </w:r>
            <w:r>
              <w:rPr>
                <w:rFonts w:cs="Arial"/>
              </w:rPr>
              <w:t xml:space="preserve"> work</w:t>
            </w:r>
          </w:p>
          <w:p w14:paraId="27CD4D58" w14:textId="7A6F6E9F" w:rsidR="00A60A03" w:rsidRPr="00B05E5D" w:rsidRDefault="00CE558E" w:rsidP="00E95342">
            <w:pPr>
              <w:numPr>
                <w:ilvl w:val="0"/>
                <w:numId w:val="7"/>
              </w:numPr>
              <w:spacing w:before="120" w:after="120" w:line="264" w:lineRule="auto"/>
              <w:ind w:left="307" w:hanging="284"/>
              <w:rPr>
                <w:rFonts w:cs="Arial"/>
              </w:rPr>
            </w:pPr>
            <w:r>
              <w:rPr>
                <w:rFonts w:cs="Arial"/>
              </w:rPr>
              <w:t>Joint working with NHSE on Single National Formulary (SNF) commenced</w:t>
            </w:r>
          </w:p>
        </w:tc>
        <w:tc>
          <w:tcPr>
            <w:tcW w:w="5812" w:type="dxa"/>
          </w:tcPr>
          <w:p w14:paraId="2314BA2F" w14:textId="5C0AD5B5" w:rsidR="00D90243" w:rsidRPr="00D90243" w:rsidRDefault="00D90243" w:rsidP="00E95342">
            <w:pPr>
              <w:numPr>
                <w:ilvl w:val="0"/>
                <w:numId w:val="7"/>
              </w:numPr>
              <w:spacing w:before="120" w:after="120" w:line="264" w:lineRule="auto"/>
              <w:ind w:left="307" w:hanging="284"/>
              <w:rPr>
                <w:rFonts w:cs="Arial"/>
              </w:rPr>
            </w:pPr>
            <w:r w:rsidRPr="00D90243">
              <w:rPr>
                <w:rFonts w:cs="Arial"/>
              </w:rPr>
              <w:t xml:space="preserve">Develop a shared understanding of the approach to archiving guidance </w:t>
            </w:r>
          </w:p>
          <w:p w14:paraId="61188735" w14:textId="72F35D19" w:rsidR="007506C4" w:rsidRPr="00D90243" w:rsidRDefault="007506C4" w:rsidP="00E95342">
            <w:pPr>
              <w:numPr>
                <w:ilvl w:val="0"/>
                <w:numId w:val="7"/>
              </w:numPr>
              <w:spacing w:before="120" w:after="120" w:line="264" w:lineRule="auto"/>
              <w:ind w:left="307" w:hanging="284"/>
              <w:rPr>
                <w:rFonts w:cs="Arial"/>
              </w:rPr>
            </w:pPr>
            <w:r>
              <w:rPr>
                <w:rFonts w:cs="Arial"/>
              </w:rPr>
              <w:t>Consider the learning from TA incorporation work to date and how will inform business as usual</w:t>
            </w:r>
          </w:p>
          <w:p w14:paraId="6D375C29" w14:textId="6C89AECA" w:rsidR="00D90243" w:rsidRPr="00D90243" w:rsidRDefault="00D90243" w:rsidP="00E95342">
            <w:pPr>
              <w:numPr>
                <w:ilvl w:val="0"/>
                <w:numId w:val="7"/>
              </w:numPr>
              <w:spacing w:before="120" w:after="120" w:line="264" w:lineRule="auto"/>
              <w:ind w:left="307" w:hanging="284"/>
              <w:rPr>
                <w:rFonts w:cs="Arial"/>
              </w:rPr>
            </w:pPr>
            <w:r w:rsidRPr="00D90243">
              <w:rPr>
                <w:rFonts w:cs="Arial"/>
              </w:rPr>
              <w:t>Commenc</w:t>
            </w:r>
            <w:r w:rsidR="00E55946">
              <w:rPr>
                <w:rFonts w:cs="Arial"/>
              </w:rPr>
              <w:t>e</w:t>
            </w:r>
            <w:r w:rsidRPr="00D90243">
              <w:rPr>
                <w:rFonts w:cs="Arial"/>
              </w:rPr>
              <w:t xml:space="preserve"> work on how best to evaluate   off-patent medicines</w:t>
            </w:r>
          </w:p>
          <w:p w14:paraId="7FD78ED8" w14:textId="56D92BEC" w:rsidR="00D90243" w:rsidRPr="00D90243" w:rsidRDefault="00D90243" w:rsidP="00E95342">
            <w:pPr>
              <w:numPr>
                <w:ilvl w:val="0"/>
                <w:numId w:val="7"/>
              </w:numPr>
              <w:spacing w:before="120" w:after="120" w:line="264" w:lineRule="auto"/>
              <w:ind w:left="307" w:hanging="284"/>
              <w:rPr>
                <w:rFonts w:cs="Arial"/>
              </w:rPr>
            </w:pPr>
            <w:r w:rsidRPr="00D90243">
              <w:rPr>
                <w:rFonts w:cs="Arial"/>
              </w:rPr>
              <w:t xml:space="preserve">Plan </w:t>
            </w:r>
            <w:r w:rsidR="002F7E0F">
              <w:rPr>
                <w:rFonts w:cs="Arial"/>
              </w:rPr>
              <w:t xml:space="preserve">the </w:t>
            </w:r>
            <w:r w:rsidRPr="00D90243">
              <w:rPr>
                <w:rFonts w:cs="Arial"/>
              </w:rPr>
              <w:t>WLA stakeholder panel</w:t>
            </w:r>
            <w:r w:rsidR="002F7E0F">
              <w:rPr>
                <w:rFonts w:cs="Arial"/>
              </w:rPr>
              <w:t xml:space="preserve"> for 26-27, including a revision of </w:t>
            </w:r>
            <w:r w:rsidR="008F49BD">
              <w:rPr>
                <w:rFonts w:cs="Arial"/>
              </w:rPr>
              <w:t>Terms of Reference</w:t>
            </w:r>
            <w:r w:rsidR="00EC30B1">
              <w:rPr>
                <w:rFonts w:cs="Arial"/>
              </w:rPr>
              <w:t xml:space="preserve"> and membership</w:t>
            </w:r>
          </w:p>
          <w:p w14:paraId="29B6DC54" w14:textId="28650709" w:rsidR="00A60A03" w:rsidRPr="00A60A03" w:rsidRDefault="00D90243" w:rsidP="00E95342">
            <w:pPr>
              <w:numPr>
                <w:ilvl w:val="0"/>
                <w:numId w:val="7"/>
              </w:numPr>
              <w:spacing w:before="120" w:after="120" w:line="264" w:lineRule="auto"/>
              <w:ind w:left="307" w:hanging="284"/>
              <w:rPr>
                <w:rFonts w:cs="Arial"/>
              </w:rPr>
            </w:pPr>
            <w:r w:rsidRPr="00D90243">
              <w:rPr>
                <w:rFonts w:cs="Arial"/>
              </w:rPr>
              <w:t>Develop of a corporate WLA communications narrative</w:t>
            </w:r>
            <w:r w:rsidR="00EC30B1">
              <w:rPr>
                <w:rFonts w:cs="Arial"/>
              </w:rPr>
              <w:t xml:space="preserve"> and plan internal communication activity </w:t>
            </w:r>
          </w:p>
        </w:tc>
      </w:tr>
    </w:tbl>
    <w:p w14:paraId="5400181F" w14:textId="6EF86FE6" w:rsidR="009A7DD7" w:rsidRDefault="009A7DD7"/>
    <w:tbl>
      <w:tblPr>
        <w:tblStyle w:val="TableGrid"/>
        <w:tblW w:w="14454" w:type="dxa"/>
        <w:tblLayout w:type="fixed"/>
        <w:tblLook w:val="04A0" w:firstRow="1" w:lastRow="0" w:firstColumn="1" w:lastColumn="0" w:noHBand="0" w:noVBand="1"/>
      </w:tblPr>
      <w:tblGrid>
        <w:gridCol w:w="10915"/>
        <w:gridCol w:w="1276"/>
        <w:gridCol w:w="2263"/>
      </w:tblGrid>
      <w:tr w:rsidR="008B18E2" w14:paraId="0FED186A" w14:textId="77777777" w:rsidTr="00776A78">
        <w:trPr>
          <w:trHeight w:val="554"/>
        </w:trPr>
        <w:tc>
          <w:tcPr>
            <w:tcW w:w="10915" w:type="dxa"/>
            <w:tcBorders>
              <w:top w:val="single" w:sz="4" w:space="0" w:color="auto"/>
              <w:left w:val="nil"/>
              <w:bottom w:val="nil"/>
              <w:right w:val="single" w:sz="4" w:space="0" w:color="auto"/>
            </w:tcBorders>
            <w:vAlign w:val="center"/>
          </w:tcPr>
          <w:p w14:paraId="0E55A375" w14:textId="03E7329B" w:rsidR="008B18E2" w:rsidRPr="00563A89" w:rsidRDefault="00697BB6" w:rsidP="00083FF2">
            <w:pPr>
              <w:pStyle w:val="Heading2"/>
              <w:ind w:left="567" w:hanging="567"/>
            </w:pPr>
            <w:bookmarkStart w:id="9" w:name="_Toc234391370"/>
            <w:r>
              <w:t>Planning and scheduling management</w:t>
            </w:r>
            <w:bookmarkEnd w:id="9"/>
          </w:p>
        </w:tc>
        <w:tc>
          <w:tcPr>
            <w:tcW w:w="1276" w:type="dxa"/>
            <w:tcBorders>
              <w:left w:val="single" w:sz="4" w:space="0" w:color="auto"/>
            </w:tcBorders>
            <w:shd w:val="clear" w:color="auto" w:fill="00436C"/>
            <w:vAlign w:val="center"/>
          </w:tcPr>
          <w:p w14:paraId="066C868A" w14:textId="77777777" w:rsidR="008B18E2" w:rsidRPr="002F1968" w:rsidRDefault="008B18E2" w:rsidP="00083FF2">
            <w:pPr>
              <w:spacing w:after="0"/>
              <w:jc w:val="right"/>
              <w:rPr>
                <w:b/>
                <w:bCs/>
              </w:rPr>
            </w:pPr>
            <w:r>
              <w:rPr>
                <w:b/>
                <w:bCs/>
              </w:rPr>
              <w:t>Status</w:t>
            </w:r>
            <w:r w:rsidRPr="002F1968">
              <w:rPr>
                <w:b/>
                <w:bCs/>
              </w:rPr>
              <w:t>:</w:t>
            </w:r>
          </w:p>
        </w:tc>
        <w:tc>
          <w:tcPr>
            <w:tcW w:w="2263" w:type="dxa"/>
            <w:shd w:val="clear" w:color="auto" w:fill="CDE3DA"/>
            <w:vAlign w:val="center"/>
          </w:tcPr>
          <w:p w14:paraId="0C72171B" w14:textId="77777777" w:rsidR="008B18E2" w:rsidRPr="008025FD" w:rsidRDefault="008B18E2" w:rsidP="00083FF2">
            <w:pPr>
              <w:spacing w:after="0"/>
              <w:jc w:val="center"/>
              <w:rPr>
                <w:b/>
                <w:bCs/>
              </w:rPr>
            </w:pPr>
            <w:r>
              <w:rPr>
                <w:b/>
                <w:bCs/>
              </w:rPr>
              <w:t>Green</w:t>
            </w:r>
          </w:p>
        </w:tc>
      </w:tr>
    </w:tbl>
    <w:p w14:paraId="6D6A2D3C" w14:textId="18FF7565" w:rsidR="00C7464A" w:rsidRDefault="00C7464A" w:rsidP="00C7464A">
      <w:pPr>
        <w:pStyle w:val="Heading3"/>
      </w:pPr>
      <w:r>
        <w:t>Project overview</w:t>
      </w:r>
    </w:p>
    <w:p w14:paraId="1C31C1C1" w14:textId="09041357" w:rsidR="00776A78" w:rsidRDefault="00776A78" w:rsidP="00776A78">
      <w:pPr>
        <w:rPr>
          <w:lang w:eastAsia="en-US"/>
        </w:rPr>
      </w:pPr>
      <w:r>
        <w:t>T</w:t>
      </w:r>
      <w:r w:rsidRPr="004002F4">
        <w:t xml:space="preserve">he project </w:t>
      </w:r>
      <w:r>
        <w:t xml:space="preserve">will </w:t>
      </w:r>
      <w:r w:rsidRPr="004002F4">
        <w:t>modernise planning and scheduling, strengthen digital maturity, streamline processes, and enable better integration of data and technology. It will create coherent, organisation</w:t>
      </w:r>
      <w:r w:rsidRPr="004002F4">
        <w:noBreakHyphen/>
        <w:t>wide approaches that support effective decision</w:t>
      </w:r>
      <w:r w:rsidRPr="004002F4">
        <w:noBreakHyphen/>
        <w:t>making and lay the foundation for a future unified planning and resourcing platform</w:t>
      </w:r>
    </w:p>
    <w:p w14:paraId="15CE576D" w14:textId="71DBEBB7" w:rsidR="008B18E2" w:rsidRDefault="008B18E2" w:rsidP="008B18E2">
      <w:pPr>
        <w:pStyle w:val="Heading3"/>
      </w:pPr>
      <w:r>
        <w:t>Highlights</w:t>
      </w:r>
    </w:p>
    <w:tbl>
      <w:tblPr>
        <w:tblStyle w:val="TableGrid"/>
        <w:tblW w:w="14454" w:type="dxa"/>
        <w:tblLook w:val="04A0" w:firstRow="1" w:lastRow="0" w:firstColumn="1" w:lastColumn="0" w:noHBand="0" w:noVBand="1"/>
      </w:tblPr>
      <w:tblGrid>
        <w:gridCol w:w="6941"/>
        <w:gridCol w:w="7513"/>
      </w:tblGrid>
      <w:tr w:rsidR="008B18E2" w:rsidRPr="008D47BA" w14:paraId="26651B13" w14:textId="77777777" w:rsidTr="00083FF2">
        <w:trPr>
          <w:tblHeader/>
        </w:trPr>
        <w:tc>
          <w:tcPr>
            <w:tcW w:w="6941" w:type="dxa"/>
            <w:shd w:val="clear" w:color="auto" w:fill="00436C" w:themeFill="accent2"/>
          </w:tcPr>
          <w:p w14:paraId="27FCBDED" w14:textId="77777777" w:rsidR="008B18E2" w:rsidRDefault="008B18E2" w:rsidP="00083FF2">
            <w:pPr>
              <w:pStyle w:val="Paragraph"/>
              <w:spacing w:before="120" w:after="120" w:line="240" w:lineRule="auto"/>
              <w:rPr>
                <w:b/>
                <w:bCs/>
                <w:color w:val="FFFFFF" w:themeColor="background1"/>
                <w:lang w:eastAsia="en-GB"/>
              </w:rPr>
            </w:pPr>
            <w:r>
              <w:rPr>
                <w:b/>
                <w:bCs/>
                <w:color w:val="FFFFFF" w:themeColor="background1"/>
                <w:lang w:eastAsia="en-GB"/>
              </w:rPr>
              <w:t>Progress and achievements</w:t>
            </w:r>
          </w:p>
        </w:tc>
        <w:tc>
          <w:tcPr>
            <w:tcW w:w="7513" w:type="dxa"/>
            <w:shd w:val="clear" w:color="auto" w:fill="00436C" w:themeFill="accent2"/>
          </w:tcPr>
          <w:p w14:paraId="260EF1F5" w14:textId="77777777" w:rsidR="008B18E2" w:rsidRPr="008D47BA" w:rsidRDefault="008B18E2" w:rsidP="00083FF2">
            <w:pPr>
              <w:pStyle w:val="Paragraph"/>
              <w:spacing w:before="120" w:after="120" w:line="240" w:lineRule="auto"/>
              <w:rPr>
                <w:color w:val="FFFFFF" w:themeColor="background1"/>
                <w:lang w:eastAsia="en-GB"/>
              </w:rPr>
            </w:pPr>
            <w:r>
              <w:rPr>
                <w:b/>
                <w:bCs/>
                <w:color w:val="FFFFFF" w:themeColor="background1"/>
                <w:lang w:eastAsia="en-GB"/>
              </w:rPr>
              <w:t>Key next steps</w:t>
            </w:r>
          </w:p>
        </w:tc>
      </w:tr>
      <w:tr w:rsidR="008B18E2" w:rsidRPr="008D47BA" w14:paraId="5477F951" w14:textId="77777777" w:rsidTr="00BE6E56">
        <w:trPr>
          <w:trHeight w:val="1697"/>
        </w:trPr>
        <w:tc>
          <w:tcPr>
            <w:tcW w:w="6941" w:type="dxa"/>
          </w:tcPr>
          <w:p w14:paraId="1E61216C" w14:textId="2A26E7DB" w:rsidR="00B05E5D" w:rsidRDefault="00EB34ED" w:rsidP="00B05E5D">
            <w:pPr>
              <w:numPr>
                <w:ilvl w:val="0"/>
                <w:numId w:val="7"/>
              </w:numPr>
              <w:spacing w:before="120" w:after="120" w:line="264" w:lineRule="auto"/>
              <w:ind w:left="189" w:hanging="149"/>
              <w:rPr>
                <w:rFonts w:cs="Arial"/>
              </w:rPr>
            </w:pPr>
            <w:r>
              <w:rPr>
                <w:rFonts w:cs="Arial"/>
              </w:rPr>
              <w:t xml:space="preserve">The new </w:t>
            </w:r>
            <w:r w:rsidR="00B05E5D" w:rsidRPr="0079593F">
              <w:rPr>
                <w:rFonts w:cs="Arial"/>
              </w:rPr>
              <w:t>Org</w:t>
            </w:r>
            <w:r>
              <w:rPr>
                <w:rFonts w:cs="Arial"/>
              </w:rPr>
              <w:t>anisation</w:t>
            </w:r>
            <w:r w:rsidR="00B05E5D" w:rsidRPr="0079593F">
              <w:rPr>
                <w:rFonts w:cs="Arial"/>
              </w:rPr>
              <w:t xml:space="preserve"> &amp; Contacts </w:t>
            </w:r>
            <w:r>
              <w:rPr>
                <w:rFonts w:cs="Arial"/>
              </w:rPr>
              <w:t>System</w:t>
            </w:r>
            <w:r w:rsidR="00B05E5D" w:rsidRPr="0079593F">
              <w:rPr>
                <w:rFonts w:cs="Arial"/>
              </w:rPr>
              <w:t xml:space="preserve"> is live for </w:t>
            </w:r>
            <w:r w:rsidR="009A7DD7">
              <w:rPr>
                <w:rFonts w:cs="Arial"/>
              </w:rPr>
              <w:t>HealthTech</w:t>
            </w:r>
            <w:r w:rsidR="00B05E5D" w:rsidRPr="0079593F">
              <w:rPr>
                <w:rFonts w:cs="Arial"/>
              </w:rPr>
              <w:t xml:space="preserve"> and Med</w:t>
            </w:r>
            <w:r w:rsidR="009A7DD7">
              <w:rPr>
                <w:rFonts w:cs="Arial"/>
              </w:rPr>
              <w:t>icines Evaluation</w:t>
            </w:r>
            <w:r w:rsidR="00B05E5D" w:rsidRPr="0079593F">
              <w:rPr>
                <w:rFonts w:cs="Arial"/>
              </w:rPr>
              <w:t xml:space="preserve">; </w:t>
            </w:r>
            <w:r w:rsidR="009A7DD7">
              <w:rPr>
                <w:rFonts w:cs="Arial"/>
              </w:rPr>
              <w:t>Centre for Guidelines (</w:t>
            </w:r>
            <w:r w:rsidR="00B05E5D" w:rsidRPr="0079593F">
              <w:rPr>
                <w:rFonts w:cs="Arial"/>
              </w:rPr>
              <w:t>CfG</w:t>
            </w:r>
            <w:r w:rsidR="009A7DD7">
              <w:rPr>
                <w:rFonts w:cs="Arial"/>
              </w:rPr>
              <w:t>)</w:t>
            </w:r>
            <w:r w:rsidR="00B05E5D" w:rsidRPr="0079593F">
              <w:rPr>
                <w:rFonts w:cs="Arial"/>
              </w:rPr>
              <w:t xml:space="preserve"> has migrated live topics and Q</w:t>
            </w:r>
            <w:r>
              <w:rPr>
                <w:rFonts w:cs="Arial"/>
              </w:rPr>
              <w:t xml:space="preserve">uality </w:t>
            </w:r>
            <w:r w:rsidR="00B05E5D" w:rsidRPr="0079593F">
              <w:rPr>
                <w:rFonts w:cs="Arial"/>
              </w:rPr>
              <w:t>S</w:t>
            </w:r>
            <w:r>
              <w:rPr>
                <w:rFonts w:cs="Arial"/>
              </w:rPr>
              <w:t>tandards</w:t>
            </w:r>
            <w:r w:rsidR="00B05E5D" w:rsidRPr="0079593F">
              <w:rPr>
                <w:rFonts w:cs="Arial"/>
              </w:rPr>
              <w:t xml:space="preserve"> cutover is due </w:t>
            </w:r>
            <w:r>
              <w:rPr>
                <w:rFonts w:cs="Arial"/>
              </w:rPr>
              <w:t>22</w:t>
            </w:r>
            <w:r w:rsidRPr="00D44D38">
              <w:rPr>
                <w:rFonts w:cs="Arial"/>
                <w:vertAlign w:val="superscript"/>
              </w:rPr>
              <w:t>nd</w:t>
            </w:r>
            <w:r w:rsidR="009A7DD7">
              <w:rPr>
                <w:rFonts w:cs="Arial"/>
              </w:rPr>
              <w:t xml:space="preserve"> </w:t>
            </w:r>
            <w:r w:rsidR="00B05E5D" w:rsidRPr="0079593F">
              <w:rPr>
                <w:rFonts w:cs="Arial"/>
              </w:rPr>
              <w:t>June.</w:t>
            </w:r>
          </w:p>
          <w:p w14:paraId="0F4BEFD3" w14:textId="1440E8C6" w:rsidR="00B05E5D" w:rsidRDefault="00B05E5D" w:rsidP="00B05E5D">
            <w:pPr>
              <w:numPr>
                <w:ilvl w:val="0"/>
                <w:numId w:val="7"/>
              </w:numPr>
              <w:spacing w:before="120" w:after="120" w:line="264" w:lineRule="auto"/>
              <w:ind w:left="189" w:hanging="149"/>
              <w:rPr>
                <w:rFonts w:cs="Arial"/>
              </w:rPr>
            </w:pPr>
            <w:r w:rsidRPr="0079593F">
              <w:rPr>
                <w:rFonts w:cs="Arial"/>
              </w:rPr>
              <w:t>Planner Premium proof of concept is complete</w:t>
            </w:r>
            <w:r w:rsidR="00573DFE">
              <w:rPr>
                <w:rFonts w:cs="Arial"/>
              </w:rPr>
              <w:t>,</w:t>
            </w:r>
            <w:r w:rsidR="00573DFE" w:rsidRPr="0079593F">
              <w:rPr>
                <w:rFonts w:cs="Arial"/>
              </w:rPr>
              <w:t xml:space="preserve"> requirements</w:t>
            </w:r>
            <w:r w:rsidRPr="0079593F">
              <w:rPr>
                <w:rFonts w:cs="Arial"/>
              </w:rPr>
              <w:t xml:space="preserve"> are finalised</w:t>
            </w:r>
            <w:r w:rsidR="00573DFE">
              <w:rPr>
                <w:rFonts w:cs="Arial"/>
              </w:rPr>
              <w:t xml:space="preserve"> and data migration options are agreed with each programme</w:t>
            </w:r>
          </w:p>
          <w:p w14:paraId="6F3C1EFB" w14:textId="2D08739B" w:rsidR="00B05E5D" w:rsidRDefault="00B05E5D" w:rsidP="00B05E5D">
            <w:pPr>
              <w:numPr>
                <w:ilvl w:val="0"/>
                <w:numId w:val="7"/>
              </w:numPr>
              <w:spacing w:before="120" w:after="120" w:line="264" w:lineRule="auto"/>
              <w:ind w:left="189" w:hanging="149"/>
              <w:rPr>
                <w:rFonts w:cs="Arial"/>
              </w:rPr>
            </w:pPr>
            <w:r w:rsidRPr="0079593F">
              <w:rPr>
                <w:rFonts w:cs="Arial"/>
              </w:rPr>
              <w:t>Data governance is established through D</w:t>
            </w:r>
            <w:r w:rsidR="00C57324">
              <w:rPr>
                <w:rFonts w:cs="Arial"/>
              </w:rPr>
              <w:t xml:space="preserve">ata &amp; </w:t>
            </w:r>
            <w:r w:rsidRPr="0079593F">
              <w:rPr>
                <w:rFonts w:cs="Arial"/>
              </w:rPr>
              <w:t>T</w:t>
            </w:r>
            <w:r w:rsidR="00C57324">
              <w:rPr>
                <w:rFonts w:cs="Arial"/>
              </w:rPr>
              <w:t xml:space="preserve">axonomy </w:t>
            </w:r>
            <w:r w:rsidRPr="0079593F">
              <w:rPr>
                <w:rFonts w:cs="Arial"/>
              </w:rPr>
              <w:t>O</w:t>
            </w:r>
            <w:r w:rsidR="00C57324">
              <w:rPr>
                <w:rFonts w:cs="Arial"/>
              </w:rPr>
              <w:t xml:space="preserve">versight </w:t>
            </w:r>
            <w:r w:rsidRPr="0079593F">
              <w:rPr>
                <w:rFonts w:cs="Arial"/>
              </w:rPr>
              <w:t>G</w:t>
            </w:r>
            <w:r w:rsidR="00C57324">
              <w:rPr>
                <w:rFonts w:cs="Arial"/>
              </w:rPr>
              <w:t>roup</w:t>
            </w:r>
            <w:r w:rsidRPr="0079593F">
              <w:rPr>
                <w:rFonts w:cs="Arial"/>
              </w:rPr>
              <w:t xml:space="preserve"> and the Data Quality Working Group</w:t>
            </w:r>
          </w:p>
          <w:p w14:paraId="0FCC5DEE" w14:textId="5AE32E6E" w:rsidR="008B18E2" w:rsidRPr="007E472B" w:rsidRDefault="00B05E5D" w:rsidP="00B05E5D">
            <w:pPr>
              <w:numPr>
                <w:ilvl w:val="0"/>
                <w:numId w:val="7"/>
              </w:numPr>
              <w:spacing w:before="120" w:after="120" w:line="264" w:lineRule="auto"/>
              <w:ind w:left="189" w:hanging="149"/>
              <w:rPr>
                <w:rFonts w:cs="Arial"/>
              </w:rPr>
            </w:pPr>
            <w:r w:rsidRPr="0079593F">
              <w:rPr>
                <w:rFonts w:cs="Arial"/>
              </w:rPr>
              <w:t>S</w:t>
            </w:r>
            <w:r w:rsidR="00C57324">
              <w:rPr>
                <w:rFonts w:cs="Arial"/>
              </w:rPr>
              <w:t xml:space="preserve">tandard </w:t>
            </w:r>
            <w:r w:rsidRPr="0079593F">
              <w:rPr>
                <w:rFonts w:cs="Arial"/>
              </w:rPr>
              <w:t>O</w:t>
            </w:r>
            <w:r w:rsidR="00C57324">
              <w:rPr>
                <w:rFonts w:cs="Arial"/>
              </w:rPr>
              <w:t xml:space="preserve">perating </w:t>
            </w:r>
            <w:r w:rsidRPr="0079593F">
              <w:rPr>
                <w:rFonts w:cs="Arial"/>
              </w:rPr>
              <w:t>P</w:t>
            </w:r>
            <w:r w:rsidR="00C57324">
              <w:rPr>
                <w:rFonts w:cs="Arial"/>
              </w:rPr>
              <w:t>rocedure</w:t>
            </w:r>
            <w:r w:rsidRPr="0079593F">
              <w:rPr>
                <w:rFonts w:cs="Arial"/>
              </w:rPr>
              <w:t xml:space="preserve"> development and a cross-programme improvement backlog </w:t>
            </w:r>
            <w:r w:rsidR="009762A7">
              <w:rPr>
                <w:rFonts w:cs="Arial"/>
              </w:rPr>
              <w:t xml:space="preserve">is </w:t>
            </w:r>
            <w:r w:rsidRPr="0079593F">
              <w:rPr>
                <w:rFonts w:cs="Arial"/>
              </w:rPr>
              <w:t>progressing.</w:t>
            </w:r>
          </w:p>
        </w:tc>
        <w:tc>
          <w:tcPr>
            <w:tcW w:w="7513" w:type="dxa"/>
          </w:tcPr>
          <w:p w14:paraId="200E24C0" w14:textId="6ED171D7" w:rsidR="001C12D4" w:rsidRDefault="00FF32A3" w:rsidP="00083FF2">
            <w:pPr>
              <w:numPr>
                <w:ilvl w:val="0"/>
                <w:numId w:val="7"/>
              </w:numPr>
              <w:spacing w:before="120" w:after="120" w:line="264" w:lineRule="auto"/>
              <w:ind w:left="189" w:hanging="149"/>
              <w:rPr>
                <w:rFonts w:cs="Arial"/>
              </w:rPr>
            </w:pPr>
            <w:r>
              <w:rPr>
                <w:rFonts w:cs="Arial"/>
              </w:rPr>
              <w:t>Develop new templates, incorporating the new business rules and process developments, with business change leads and subject matter experts</w:t>
            </w:r>
          </w:p>
          <w:p w14:paraId="5211873A" w14:textId="77777777" w:rsidR="001C12D4" w:rsidRDefault="001C12D4" w:rsidP="00083FF2">
            <w:pPr>
              <w:numPr>
                <w:ilvl w:val="0"/>
                <w:numId w:val="7"/>
              </w:numPr>
              <w:spacing w:before="120" w:after="120" w:line="264" w:lineRule="auto"/>
              <w:ind w:left="189" w:hanging="149"/>
              <w:rPr>
                <w:rFonts w:cs="Arial"/>
              </w:rPr>
            </w:pPr>
            <w:r w:rsidRPr="001C12D4">
              <w:rPr>
                <w:rFonts w:cs="Arial"/>
              </w:rPr>
              <w:t>Finalise business change and adoption activity into tailored work packages and identify any additional resources asks.</w:t>
            </w:r>
          </w:p>
          <w:p w14:paraId="11D285D5" w14:textId="77777777" w:rsidR="001C12D4" w:rsidRDefault="001C12D4" w:rsidP="00083FF2">
            <w:pPr>
              <w:numPr>
                <w:ilvl w:val="0"/>
                <w:numId w:val="7"/>
              </w:numPr>
              <w:spacing w:before="120" w:after="120" w:line="264" w:lineRule="auto"/>
              <w:ind w:left="189" w:hanging="149"/>
              <w:rPr>
                <w:rFonts w:cs="Arial"/>
              </w:rPr>
            </w:pPr>
            <w:r w:rsidRPr="001C12D4">
              <w:rPr>
                <w:rFonts w:cs="Arial"/>
              </w:rPr>
              <w:t>Focus on benefits realisation to unlock capacity.</w:t>
            </w:r>
          </w:p>
          <w:p w14:paraId="2E3C2584" w14:textId="66CF8A67" w:rsidR="008B18E2" w:rsidRPr="00A60A03" w:rsidRDefault="001C12D4" w:rsidP="00083FF2">
            <w:pPr>
              <w:numPr>
                <w:ilvl w:val="0"/>
                <w:numId w:val="7"/>
              </w:numPr>
              <w:spacing w:before="120" w:after="120" w:line="264" w:lineRule="auto"/>
              <w:ind w:left="189" w:hanging="149"/>
              <w:rPr>
                <w:rFonts w:cs="Arial"/>
              </w:rPr>
            </w:pPr>
            <w:r w:rsidRPr="001C12D4">
              <w:rPr>
                <w:rFonts w:cs="Arial"/>
              </w:rPr>
              <w:t>Continue to work with O</w:t>
            </w:r>
            <w:r w:rsidR="00CE3942">
              <w:rPr>
                <w:rFonts w:cs="Arial"/>
              </w:rPr>
              <w:t xml:space="preserve">rganisational </w:t>
            </w:r>
            <w:r w:rsidRPr="001C12D4">
              <w:rPr>
                <w:rFonts w:cs="Arial"/>
              </w:rPr>
              <w:t>D</w:t>
            </w:r>
            <w:r w:rsidR="00CE3942">
              <w:rPr>
                <w:rFonts w:cs="Arial"/>
              </w:rPr>
              <w:t>evelopment</w:t>
            </w:r>
            <w:r w:rsidRPr="001C12D4">
              <w:rPr>
                <w:rFonts w:cs="Arial"/>
              </w:rPr>
              <w:t xml:space="preserve"> to consider how we build change into roles with unlocked capacity.</w:t>
            </w:r>
          </w:p>
        </w:tc>
      </w:tr>
    </w:tbl>
    <w:p w14:paraId="7B4A0E92" w14:textId="77777777" w:rsidR="00697BB6" w:rsidRDefault="00697BB6">
      <w:r>
        <w:br w:type="page"/>
      </w:r>
    </w:p>
    <w:tbl>
      <w:tblPr>
        <w:tblStyle w:val="TableGrid"/>
        <w:tblW w:w="14454" w:type="dxa"/>
        <w:tblLayout w:type="fixed"/>
        <w:tblLook w:val="04A0" w:firstRow="1" w:lastRow="0" w:firstColumn="1" w:lastColumn="0" w:noHBand="0" w:noVBand="1"/>
      </w:tblPr>
      <w:tblGrid>
        <w:gridCol w:w="10915"/>
        <w:gridCol w:w="1276"/>
        <w:gridCol w:w="2263"/>
      </w:tblGrid>
      <w:tr w:rsidR="00697BB6" w14:paraId="3EB4FD74" w14:textId="77777777" w:rsidTr="00C61A06">
        <w:trPr>
          <w:trHeight w:val="695"/>
        </w:trPr>
        <w:tc>
          <w:tcPr>
            <w:tcW w:w="10915" w:type="dxa"/>
            <w:tcBorders>
              <w:top w:val="single" w:sz="4" w:space="0" w:color="auto"/>
              <w:left w:val="nil"/>
              <w:bottom w:val="nil"/>
              <w:right w:val="single" w:sz="4" w:space="0" w:color="auto"/>
            </w:tcBorders>
            <w:vAlign w:val="center"/>
          </w:tcPr>
          <w:p w14:paraId="631DF837" w14:textId="65AC2557" w:rsidR="00697BB6" w:rsidRPr="00563A89" w:rsidRDefault="00697BB6" w:rsidP="00083FF2">
            <w:pPr>
              <w:pStyle w:val="Heading2"/>
              <w:ind w:left="567" w:hanging="567"/>
            </w:pPr>
            <w:bookmarkStart w:id="10" w:name="_Toc234391371"/>
            <w:r>
              <w:t>Knowledge transformation</w:t>
            </w:r>
            <w:bookmarkEnd w:id="10"/>
          </w:p>
        </w:tc>
        <w:tc>
          <w:tcPr>
            <w:tcW w:w="1276" w:type="dxa"/>
            <w:tcBorders>
              <w:left w:val="single" w:sz="4" w:space="0" w:color="auto"/>
            </w:tcBorders>
            <w:shd w:val="clear" w:color="auto" w:fill="00436C"/>
            <w:vAlign w:val="center"/>
          </w:tcPr>
          <w:p w14:paraId="0FC843E7" w14:textId="77777777" w:rsidR="00697BB6" w:rsidRPr="002F1968" w:rsidRDefault="00697BB6" w:rsidP="00083FF2">
            <w:pPr>
              <w:spacing w:after="0"/>
              <w:jc w:val="right"/>
              <w:rPr>
                <w:b/>
                <w:bCs/>
              </w:rPr>
            </w:pPr>
            <w:r>
              <w:rPr>
                <w:b/>
                <w:bCs/>
              </w:rPr>
              <w:t>Status</w:t>
            </w:r>
            <w:r w:rsidRPr="002F1968">
              <w:rPr>
                <w:b/>
                <w:bCs/>
              </w:rPr>
              <w:t>:</w:t>
            </w:r>
          </w:p>
        </w:tc>
        <w:tc>
          <w:tcPr>
            <w:tcW w:w="2263" w:type="dxa"/>
            <w:shd w:val="clear" w:color="auto" w:fill="F4E8AA"/>
            <w:vAlign w:val="center"/>
          </w:tcPr>
          <w:p w14:paraId="10E1BA4E" w14:textId="0AC6D6E1" w:rsidR="00697BB6" w:rsidRPr="008025FD" w:rsidRDefault="00C61A06" w:rsidP="00083FF2">
            <w:pPr>
              <w:spacing w:after="0"/>
              <w:jc w:val="center"/>
              <w:rPr>
                <w:b/>
                <w:bCs/>
              </w:rPr>
            </w:pPr>
            <w:r>
              <w:rPr>
                <w:b/>
                <w:bCs/>
              </w:rPr>
              <w:t>Amber</w:t>
            </w:r>
          </w:p>
        </w:tc>
      </w:tr>
    </w:tbl>
    <w:p w14:paraId="475147C3" w14:textId="77777777" w:rsidR="00776A78" w:rsidRDefault="00776A78" w:rsidP="005E3460">
      <w:pPr>
        <w:pStyle w:val="Heading3"/>
        <w:spacing w:before="60"/>
      </w:pPr>
      <w:r>
        <w:t>Project overview</w:t>
      </w:r>
    </w:p>
    <w:p w14:paraId="18F593CD" w14:textId="77777777" w:rsidR="00194B2C" w:rsidRDefault="00194B2C" w:rsidP="00194B2C">
      <w:r w:rsidRPr="00FE1A18">
        <w:t>The project will transform NICE’s knowledge products by replacing inconsistent structures and outdated technology with structured, machine</w:t>
      </w:r>
      <w:r w:rsidRPr="00FE1A18">
        <w:noBreakHyphen/>
        <w:t>readable content and modern tools. This will make guidance easier to find, use and trust, and enable syndication into partner systems, including electronic health records.</w:t>
      </w:r>
    </w:p>
    <w:p w14:paraId="406C310B" w14:textId="2599D10D" w:rsidR="00697BB6" w:rsidRDefault="00697BB6" w:rsidP="00697BB6">
      <w:pPr>
        <w:pStyle w:val="Heading3"/>
      </w:pPr>
      <w:r>
        <w:t>Highlights</w:t>
      </w:r>
    </w:p>
    <w:tbl>
      <w:tblPr>
        <w:tblStyle w:val="TableGrid"/>
        <w:tblW w:w="14454" w:type="dxa"/>
        <w:tblLook w:val="04A0" w:firstRow="1" w:lastRow="0" w:firstColumn="1" w:lastColumn="0" w:noHBand="0" w:noVBand="1"/>
      </w:tblPr>
      <w:tblGrid>
        <w:gridCol w:w="6232"/>
        <w:gridCol w:w="8222"/>
      </w:tblGrid>
      <w:tr w:rsidR="00697BB6" w:rsidRPr="008D47BA" w14:paraId="670D7D25" w14:textId="77777777" w:rsidTr="005E3460">
        <w:trPr>
          <w:tblHeader/>
        </w:trPr>
        <w:tc>
          <w:tcPr>
            <w:tcW w:w="6232" w:type="dxa"/>
            <w:shd w:val="clear" w:color="auto" w:fill="00436C" w:themeFill="accent2"/>
          </w:tcPr>
          <w:p w14:paraId="11A24E0A" w14:textId="77777777" w:rsidR="00697BB6" w:rsidRDefault="00697BB6" w:rsidP="00083FF2">
            <w:pPr>
              <w:pStyle w:val="Paragraph"/>
              <w:spacing w:before="120" w:after="120" w:line="240" w:lineRule="auto"/>
              <w:rPr>
                <w:b/>
                <w:bCs/>
                <w:color w:val="FFFFFF" w:themeColor="background1"/>
                <w:lang w:eastAsia="en-GB"/>
              </w:rPr>
            </w:pPr>
            <w:r>
              <w:rPr>
                <w:b/>
                <w:bCs/>
                <w:color w:val="FFFFFF" w:themeColor="background1"/>
                <w:lang w:eastAsia="en-GB"/>
              </w:rPr>
              <w:t>Progress and achievements</w:t>
            </w:r>
          </w:p>
        </w:tc>
        <w:tc>
          <w:tcPr>
            <w:tcW w:w="8222" w:type="dxa"/>
            <w:shd w:val="clear" w:color="auto" w:fill="00436C" w:themeFill="accent2"/>
          </w:tcPr>
          <w:p w14:paraId="1A987D59" w14:textId="77777777" w:rsidR="00697BB6" w:rsidRPr="008D47BA" w:rsidRDefault="00697BB6" w:rsidP="00083FF2">
            <w:pPr>
              <w:pStyle w:val="Paragraph"/>
              <w:spacing w:before="120" w:after="120" w:line="240" w:lineRule="auto"/>
              <w:rPr>
                <w:color w:val="FFFFFF" w:themeColor="background1"/>
                <w:lang w:eastAsia="en-GB"/>
              </w:rPr>
            </w:pPr>
            <w:r>
              <w:rPr>
                <w:b/>
                <w:bCs/>
                <w:color w:val="FFFFFF" w:themeColor="background1"/>
                <w:lang w:eastAsia="en-GB"/>
              </w:rPr>
              <w:t>Key next steps</w:t>
            </w:r>
          </w:p>
        </w:tc>
      </w:tr>
      <w:tr w:rsidR="00697BB6" w:rsidRPr="008D47BA" w14:paraId="76E26D9F" w14:textId="77777777" w:rsidTr="005E3460">
        <w:trPr>
          <w:trHeight w:val="365"/>
        </w:trPr>
        <w:tc>
          <w:tcPr>
            <w:tcW w:w="6232" w:type="dxa"/>
          </w:tcPr>
          <w:p w14:paraId="0FE5D534" w14:textId="00ADAACD" w:rsidR="003878FA" w:rsidRDefault="00C8787D" w:rsidP="005E3460">
            <w:pPr>
              <w:numPr>
                <w:ilvl w:val="0"/>
                <w:numId w:val="7"/>
              </w:numPr>
              <w:spacing w:before="60" w:after="120" w:line="264" w:lineRule="auto"/>
              <w:ind w:left="187" w:hanging="147"/>
              <w:rPr>
                <w:rFonts w:cs="Arial"/>
              </w:rPr>
            </w:pPr>
            <w:r>
              <w:rPr>
                <w:rFonts w:cs="Arial"/>
              </w:rPr>
              <w:t>Knowledge platform delivery is progressing in line with agreed scope</w:t>
            </w:r>
            <w:r w:rsidR="00514C44">
              <w:rPr>
                <w:rFonts w:cs="Arial"/>
              </w:rPr>
              <w:t xml:space="preserve"> for phase 1</w:t>
            </w:r>
            <w:r w:rsidR="000F36C5">
              <w:rPr>
                <w:rFonts w:cs="Arial"/>
              </w:rPr>
              <w:t>, with search functionality delivered</w:t>
            </w:r>
            <w:r w:rsidR="00DF1F48">
              <w:rPr>
                <w:rFonts w:cs="Arial"/>
              </w:rPr>
              <w:t xml:space="preserve"> and </w:t>
            </w:r>
            <w:r w:rsidR="003E572C">
              <w:rPr>
                <w:rFonts w:cs="Arial"/>
              </w:rPr>
              <w:t>ongoing testing with internal users</w:t>
            </w:r>
            <w:r w:rsidR="00DF1F48">
              <w:rPr>
                <w:rFonts w:cs="Arial"/>
              </w:rPr>
              <w:t xml:space="preserve"> shaping development</w:t>
            </w:r>
            <w:r w:rsidR="00851587">
              <w:rPr>
                <w:rFonts w:cs="Arial"/>
              </w:rPr>
              <w:t>.</w:t>
            </w:r>
            <w:r w:rsidR="00352FBC">
              <w:rPr>
                <w:rFonts w:cs="Arial"/>
              </w:rPr>
              <w:t xml:space="preserve"> </w:t>
            </w:r>
            <w:r w:rsidR="00BE2838">
              <w:rPr>
                <w:rFonts w:cs="Arial"/>
              </w:rPr>
              <w:t>All l</w:t>
            </w:r>
            <w:r w:rsidR="00480DA9">
              <w:rPr>
                <w:rFonts w:cs="Arial"/>
              </w:rPr>
              <w:t>ung cancer guidance</w:t>
            </w:r>
            <w:r w:rsidR="00467CDF">
              <w:rPr>
                <w:rFonts w:cs="Arial"/>
              </w:rPr>
              <w:t xml:space="preserve"> and a subset of type 2 diabetes and cardiovascular disease guidance</w:t>
            </w:r>
            <w:r w:rsidR="00480DA9">
              <w:rPr>
                <w:rFonts w:cs="Arial"/>
              </w:rPr>
              <w:t xml:space="preserve"> </w:t>
            </w:r>
            <w:r w:rsidR="00605167">
              <w:rPr>
                <w:rFonts w:cs="Arial"/>
              </w:rPr>
              <w:t>have</w:t>
            </w:r>
            <w:r w:rsidR="00480DA9">
              <w:rPr>
                <w:rFonts w:cs="Arial"/>
              </w:rPr>
              <w:t xml:space="preserve"> been successfully componentised</w:t>
            </w:r>
            <w:r w:rsidR="00EC4F23">
              <w:rPr>
                <w:rFonts w:cs="Arial"/>
              </w:rPr>
              <w:t xml:space="preserve"> and </w:t>
            </w:r>
            <w:r w:rsidR="008342E2">
              <w:rPr>
                <w:rFonts w:cs="Arial"/>
              </w:rPr>
              <w:t>added to the knowledge graph</w:t>
            </w:r>
            <w:r w:rsidR="004C5150">
              <w:rPr>
                <w:rFonts w:cs="Arial"/>
              </w:rPr>
              <w:t xml:space="preserve"> (our new data model).</w:t>
            </w:r>
          </w:p>
          <w:p w14:paraId="5AF2C99D" w14:textId="4F9E21E0" w:rsidR="003878FA" w:rsidRDefault="0062395E" w:rsidP="005E3460">
            <w:pPr>
              <w:numPr>
                <w:ilvl w:val="0"/>
                <w:numId w:val="7"/>
              </w:numPr>
              <w:spacing w:before="60" w:after="120" w:line="264" w:lineRule="auto"/>
              <w:ind w:left="187" w:hanging="147"/>
              <w:rPr>
                <w:rFonts w:cs="Arial"/>
              </w:rPr>
            </w:pPr>
            <w:r>
              <w:rPr>
                <w:rFonts w:cs="Arial"/>
              </w:rPr>
              <w:t>Guidelines</w:t>
            </w:r>
            <w:r w:rsidR="003878FA" w:rsidRPr="003878FA">
              <w:rPr>
                <w:rFonts w:cs="Arial"/>
              </w:rPr>
              <w:t xml:space="preserve"> and </w:t>
            </w:r>
            <w:r w:rsidR="0061067A">
              <w:rPr>
                <w:rFonts w:cs="Arial"/>
              </w:rPr>
              <w:t>p</w:t>
            </w:r>
            <w:r w:rsidR="003878FA" w:rsidRPr="003878FA">
              <w:rPr>
                <w:rFonts w:cs="Arial"/>
              </w:rPr>
              <w:t xml:space="preserve">ublishing </w:t>
            </w:r>
            <w:r w:rsidR="0061067A">
              <w:rPr>
                <w:rFonts w:cs="Arial"/>
              </w:rPr>
              <w:t xml:space="preserve">teams </w:t>
            </w:r>
            <w:r w:rsidR="00154A4F">
              <w:rPr>
                <w:rFonts w:cs="Arial"/>
              </w:rPr>
              <w:t xml:space="preserve">agreed approach to </w:t>
            </w:r>
            <w:r w:rsidR="003878FA" w:rsidRPr="003878FA">
              <w:rPr>
                <w:rFonts w:cs="Arial"/>
              </w:rPr>
              <w:t>support collaborative, componentised guidance development</w:t>
            </w:r>
            <w:r w:rsidR="008342E2">
              <w:rPr>
                <w:rFonts w:cs="Arial"/>
              </w:rPr>
              <w:t xml:space="preserve"> in preparation for future ways of working</w:t>
            </w:r>
            <w:r w:rsidR="003878FA" w:rsidRPr="003878FA">
              <w:rPr>
                <w:rFonts w:cs="Arial"/>
              </w:rPr>
              <w:t>.</w:t>
            </w:r>
          </w:p>
          <w:p w14:paraId="0B86EF07" w14:textId="18F8440D" w:rsidR="00697BB6" w:rsidRPr="003878FA" w:rsidRDefault="003878FA" w:rsidP="005E3460">
            <w:pPr>
              <w:numPr>
                <w:ilvl w:val="0"/>
                <w:numId w:val="7"/>
              </w:numPr>
              <w:spacing w:before="60" w:after="120" w:line="264" w:lineRule="auto"/>
              <w:ind w:left="187" w:hanging="147"/>
              <w:rPr>
                <w:rFonts w:cs="Arial"/>
              </w:rPr>
            </w:pPr>
            <w:r w:rsidRPr="003878FA">
              <w:rPr>
                <w:rFonts w:cs="Arial"/>
              </w:rPr>
              <w:t xml:space="preserve">A </w:t>
            </w:r>
            <w:r w:rsidR="008342E2">
              <w:rPr>
                <w:rFonts w:cs="Arial"/>
              </w:rPr>
              <w:t xml:space="preserve">NICE-owned </w:t>
            </w:r>
            <w:r w:rsidR="008342E2" w:rsidRPr="003B06CA">
              <w:rPr>
                <w:rFonts w:cs="Arial"/>
              </w:rPr>
              <w:t xml:space="preserve">CoPilot Agent </w:t>
            </w:r>
            <w:r w:rsidR="002B1FA1">
              <w:rPr>
                <w:rFonts w:cs="Arial"/>
              </w:rPr>
              <w:t xml:space="preserve">has been created ahead of internal testing that will allow </w:t>
            </w:r>
            <w:r w:rsidR="008342E2" w:rsidRPr="00D84924">
              <w:rPr>
                <w:rFonts w:cs="Arial"/>
              </w:rPr>
              <w:t>trusted, clinically safe access to NICE guidance at the point of need</w:t>
            </w:r>
            <w:r w:rsidR="002B1FA1">
              <w:rPr>
                <w:rFonts w:cs="Arial"/>
              </w:rPr>
              <w:t>.</w:t>
            </w:r>
          </w:p>
        </w:tc>
        <w:tc>
          <w:tcPr>
            <w:tcW w:w="8222" w:type="dxa"/>
          </w:tcPr>
          <w:p w14:paraId="42E77CFD" w14:textId="2331C88D" w:rsidR="00001B53" w:rsidRDefault="00001B53" w:rsidP="005E3460">
            <w:pPr>
              <w:numPr>
                <w:ilvl w:val="0"/>
                <w:numId w:val="7"/>
              </w:numPr>
              <w:spacing w:before="60" w:after="60" w:line="264" w:lineRule="auto"/>
              <w:ind w:left="187" w:hanging="147"/>
              <w:rPr>
                <w:rFonts w:cs="Arial"/>
              </w:rPr>
            </w:pPr>
            <w:r>
              <w:rPr>
                <w:rFonts w:cs="Arial"/>
              </w:rPr>
              <w:t>Project reporting amber</w:t>
            </w:r>
            <w:r w:rsidR="003A10D2">
              <w:rPr>
                <w:rFonts w:cs="Arial"/>
              </w:rPr>
              <w:t xml:space="preserve"> due to</w:t>
            </w:r>
            <w:r>
              <w:rPr>
                <w:rFonts w:cs="Arial"/>
              </w:rPr>
              <w:t xml:space="preserve"> critical point in development and handover of agreed </w:t>
            </w:r>
            <w:r w:rsidR="00514C44">
              <w:rPr>
                <w:rFonts w:cs="Arial"/>
              </w:rPr>
              <w:t xml:space="preserve">deliverables with AWS. </w:t>
            </w:r>
            <w:r>
              <w:rPr>
                <w:rFonts w:cs="Arial"/>
              </w:rPr>
              <w:t xml:space="preserve"> </w:t>
            </w:r>
          </w:p>
          <w:p w14:paraId="3E812B41" w14:textId="1CC80E8D" w:rsidR="002C3536" w:rsidRDefault="002C3536" w:rsidP="005E3460">
            <w:pPr>
              <w:numPr>
                <w:ilvl w:val="0"/>
                <w:numId w:val="7"/>
              </w:numPr>
              <w:spacing w:before="60" w:after="60" w:line="264" w:lineRule="auto"/>
              <w:ind w:left="187" w:hanging="147"/>
              <w:rPr>
                <w:rFonts w:cs="Arial"/>
              </w:rPr>
            </w:pPr>
            <w:r w:rsidRPr="002C3536">
              <w:rPr>
                <w:rFonts w:cs="Arial"/>
              </w:rPr>
              <w:t xml:space="preserve">Continue co-delivery of the Knowledge Platform </w:t>
            </w:r>
            <w:r w:rsidR="00353086">
              <w:rPr>
                <w:rFonts w:cs="Arial"/>
              </w:rPr>
              <w:t xml:space="preserve">phase 1 </w:t>
            </w:r>
            <w:r w:rsidRPr="002C3536">
              <w:rPr>
                <w:rFonts w:cs="Arial"/>
              </w:rPr>
              <w:t>prioritised scope focusing on classification of new Lung Cancer</w:t>
            </w:r>
            <w:r w:rsidR="00467CDF">
              <w:rPr>
                <w:rFonts w:cs="Arial"/>
              </w:rPr>
              <w:t>, type 2 diabetes and cardiovascular disease</w:t>
            </w:r>
            <w:r w:rsidRPr="002C3536">
              <w:rPr>
                <w:rFonts w:cs="Arial"/>
              </w:rPr>
              <w:t xml:space="preserve"> component types; and integration of the </w:t>
            </w:r>
            <w:r w:rsidR="00B74B4F">
              <w:rPr>
                <w:rFonts w:cs="Arial"/>
              </w:rPr>
              <w:t xml:space="preserve">Application Programming </w:t>
            </w:r>
            <w:r w:rsidR="00FF3953">
              <w:rPr>
                <w:rFonts w:cs="Arial"/>
              </w:rPr>
              <w:t>Interface (</w:t>
            </w:r>
            <w:r w:rsidRPr="002C3536">
              <w:rPr>
                <w:rFonts w:cs="Arial"/>
              </w:rPr>
              <w:t>API</w:t>
            </w:r>
            <w:r w:rsidR="00FF3953">
              <w:rPr>
                <w:rFonts w:cs="Arial"/>
              </w:rPr>
              <w:t>)</w:t>
            </w:r>
            <w:r w:rsidRPr="002C3536">
              <w:rPr>
                <w:rFonts w:cs="Arial"/>
              </w:rPr>
              <w:t xml:space="preserve"> with the </w:t>
            </w:r>
            <w:r w:rsidR="00DF0F77" w:rsidRPr="00A840E3">
              <w:rPr>
                <w:rFonts w:cs="Arial"/>
                <w:lang w:eastAsia="en-US"/>
              </w:rPr>
              <w:t>C</w:t>
            </w:r>
            <w:r w:rsidR="00DF0F77" w:rsidRPr="00C24B33">
              <w:rPr>
                <w:rFonts w:cs="Arial"/>
                <w:lang w:eastAsia="en-US"/>
              </w:rPr>
              <w:t>omponentised Content Management System</w:t>
            </w:r>
            <w:r w:rsidR="00DF0F77">
              <w:rPr>
                <w:rFonts w:cs="Arial"/>
                <w:lang w:eastAsia="en-US"/>
              </w:rPr>
              <w:t xml:space="preserve"> (</w:t>
            </w:r>
            <w:r w:rsidRPr="002C3536">
              <w:rPr>
                <w:rFonts w:cs="Arial"/>
              </w:rPr>
              <w:t>CCMS</w:t>
            </w:r>
            <w:r w:rsidR="00DF0F77">
              <w:rPr>
                <w:rFonts w:cs="Arial"/>
              </w:rPr>
              <w:t>)</w:t>
            </w:r>
            <w:r w:rsidR="00CC6CE9">
              <w:rPr>
                <w:rFonts w:cs="Arial"/>
              </w:rPr>
              <w:t xml:space="preserve"> for search</w:t>
            </w:r>
            <w:r w:rsidRPr="002C3536">
              <w:rPr>
                <w:rFonts w:cs="Arial"/>
              </w:rPr>
              <w:t xml:space="preserve">. </w:t>
            </w:r>
            <w:r w:rsidR="00685EF4">
              <w:rPr>
                <w:rFonts w:cs="Arial"/>
              </w:rPr>
              <w:t xml:space="preserve">Component versioning and taxonomies will be explored in more depth </w:t>
            </w:r>
            <w:r w:rsidR="00A00B0B">
              <w:rPr>
                <w:rFonts w:cs="Arial"/>
              </w:rPr>
              <w:t xml:space="preserve">in remaining weeks. </w:t>
            </w:r>
          </w:p>
          <w:p w14:paraId="19B12FF1" w14:textId="3D64E52C" w:rsidR="002C3536" w:rsidRDefault="002C3536" w:rsidP="005E3460">
            <w:pPr>
              <w:numPr>
                <w:ilvl w:val="0"/>
                <w:numId w:val="7"/>
              </w:numPr>
              <w:spacing w:before="60" w:after="60" w:line="264" w:lineRule="auto"/>
              <w:ind w:left="187" w:hanging="147"/>
              <w:rPr>
                <w:rFonts w:cs="Arial"/>
              </w:rPr>
            </w:pPr>
            <w:r w:rsidRPr="002C3536">
              <w:rPr>
                <w:rFonts w:cs="Arial"/>
              </w:rPr>
              <w:t>Prepar</w:t>
            </w:r>
            <w:r>
              <w:rPr>
                <w:rFonts w:cs="Arial"/>
              </w:rPr>
              <w:t>e</w:t>
            </w:r>
            <w:r w:rsidRPr="002C3536">
              <w:rPr>
                <w:rFonts w:cs="Arial"/>
              </w:rPr>
              <w:t xml:space="preserve"> for handover</w:t>
            </w:r>
            <w:r w:rsidR="004216AA">
              <w:rPr>
                <w:rFonts w:cs="Arial"/>
              </w:rPr>
              <w:t xml:space="preserve"> of minimal viable product</w:t>
            </w:r>
            <w:r w:rsidR="00D955A7">
              <w:rPr>
                <w:rFonts w:cs="Arial"/>
              </w:rPr>
              <w:t xml:space="preserve"> into NICE platforms, ensuring appropriate knowledge transfer</w:t>
            </w:r>
            <w:r w:rsidR="004E1DBA">
              <w:rPr>
                <w:rFonts w:cs="Arial"/>
              </w:rPr>
              <w:t>, training</w:t>
            </w:r>
            <w:r w:rsidR="00D955A7">
              <w:rPr>
                <w:rFonts w:cs="Arial"/>
              </w:rPr>
              <w:t xml:space="preserve"> and documentation is in place to allow for onward iteration and maintenance by NICE</w:t>
            </w:r>
            <w:r w:rsidR="00A00B0B">
              <w:rPr>
                <w:rFonts w:cs="Arial"/>
              </w:rPr>
              <w:t xml:space="preserve"> teams</w:t>
            </w:r>
            <w:r w:rsidR="00D955A7">
              <w:rPr>
                <w:rFonts w:cs="Arial"/>
              </w:rPr>
              <w:t>.</w:t>
            </w:r>
          </w:p>
          <w:p w14:paraId="495E769D" w14:textId="4DC3F2AC" w:rsidR="004C5193" w:rsidRDefault="004C5193" w:rsidP="005E3460">
            <w:pPr>
              <w:numPr>
                <w:ilvl w:val="0"/>
                <w:numId w:val="7"/>
              </w:numPr>
              <w:spacing w:before="60" w:after="60" w:line="264" w:lineRule="auto"/>
              <w:ind w:left="187" w:hanging="147"/>
              <w:rPr>
                <w:rFonts w:cs="Arial"/>
              </w:rPr>
            </w:pPr>
            <w:r>
              <w:rPr>
                <w:rFonts w:cs="Arial"/>
              </w:rPr>
              <w:t xml:space="preserve">Finalise scope of </w:t>
            </w:r>
            <w:r w:rsidR="00472320">
              <w:rPr>
                <w:rFonts w:cs="Arial"/>
              </w:rPr>
              <w:t xml:space="preserve">the proposed authoring tool to proceed </w:t>
            </w:r>
            <w:r w:rsidR="00397F4A">
              <w:rPr>
                <w:rFonts w:cs="Arial"/>
              </w:rPr>
              <w:t>to build in phase 1a,</w:t>
            </w:r>
            <w:r w:rsidR="00B6582D">
              <w:rPr>
                <w:rFonts w:cs="Arial"/>
              </w:rPr>
              <w:t xml:space="preserve"> subject to </w:t>
            </w:r>
            <w:r w:rsidR="004F6831">
              <w:rPr>
                <w:rFonts w:cs="Arial"/>
              </w:rPr>
              <w:t xml:space="preserve">estimation, </w:t>
            </w:r>
            <w:r w:rsidR="00B6582D">
              <w:rPr>
                <w:rFonts w:cs="Arial"/>
              </w:rPr>
              <w:t>appropriate controls and funding.</w:t>
            </w:r>
            <w:r w:rsidR="00397F4A">
              <w:rPr>
                <w:rFonts w:cs="Arial"/>
              </w:rPr>
              <w:t xml:space="preserve"> </w:t>
            </w:r>
          </w:p>
          <w:p w14:paraId="4F6E5E97" w14:textId="7037926B" w:rsidR="002C3536" w:rsidRDefault="003155CB" w:rsidP="005E3460">
            <w:pPr>
              <w:numPr>
                <w:ilvl w:val="0"/>
                <w:numId w:val="7"/>
              </w:numPr>
              <w:spacing w:before="60" w:after="60" w:line="264" w:lineRule="auto"/>
              <w:ind w:left="187" w:hanging="147"/>
              <w:rPr>
                <w:rFonts w:cs="Arial"/>
              </w:rPr>
            </w:pPr>
            <w:r>
              <w:rPr>
                <w:rFonts w:cs="Arial"/>
              </w:rPr>
              <w:t>Opportunities prioritised for further p</w:t>
            </w:r>
            <w:r w:rsidR="00CC6CE9">
              <w:rPr>
                <w:rFonts w:cs="Arial"/>
              </w:rPr>
              <w:t xml:space="preserve">roof of concept </w:t>
            </w:r>
            <w:r>
              <w:rPr>
                <w:rFonts w:cs="Arial"/>
              </w:rPr>
              <w:t>work</w:t>
            </w:r>
            <w:r w:rsidR="004F6831">
              <w:rPr>
                <w:rFonts w:cs="Arial"/>
              </w:rPr>
              <w:t xml:space="preserve"> to inform </w:t>
            </w:r>
            <w:r w:rsidR="00105D24">
              <w:rPr>
                <w:rFonts w:cs="Arial"/>
              </w:rPr>
              <w:t>further transformation opportunities for guidance development innovation.</w:t>
            </w:r>
            <w:r>
              <w:rPr>
                <w:rFonts w:cs="Arial"/>
              </w:rPr>
              <w:t xml:space="preserve"> </w:t>
            </w:r>
            <w:r w:rsidR="002C3536" w:rsidRPr="002C3536">
              <w:rPr>
                <w:rFonts w:cs="Arial"/>
              </w:rPr>
              <w:t xml:space="preserve"> </w:t>
            </w:r>
          </w:p>
          <w:p w14:paraId="528C9950" w14:textId="17591459" w:rsidR="00697BB6" w:rsidRPr="00A60A03" w:rsidRDefault="002C3536" w:rsidP="005E3460">
            <w:pPr>
              <w:numPr>
                <w:ilvl w:val="0"/>
                <w:numId w:val="7"/>
              </w:numPr>
              <w:spacing w:before="60" w:after="60" w:line="264" w:lineRule="auto"/>
              <w:ind w:left="187" w:hanging="147"/>
              <w:rPr>
                <w:rFonts w:cs="Arial"/>
              </w:rPr>
            </w:pPr>
            <w:r w:rsidRPr="002C3536">
              <w:rPr>
                <w:rFonts w:cs="Arial"/>
              </w:rPr>
              <w:t>Plan for implementing structured guidance in development</w:t>
            </w:r>
          </w:p>
        </w:tc>
      </w:tr>
    </w:tbl>
    <w:tbl>
      <w:tblPr>
        <w:tblStyle w:val="TableGrid"/>
        <w:tblW w:w="14454" w:type="dxa"/>
        <w:tblLayout w:type="fixed"/>
        <w:tblLook w:val="04A0" w:firstRow="1" w:lastRow="0" w:firstColumn="1" w:lastColumn="0" w:noHBand="0" w:noVBand="1"/>
      </w:tblPr>
      <w:tblGrid>
        <w:gridCol w:w="10915"/>
        <w:gridCol w:w="1276"/>
        <w:gridCol w:w="2263"/>
      </w:tblGrid>
      <w:tr w:rsidR="00697BB6" w14:paraId="6103A012" w14:textId="77777777" w:rsidTr="00083FF2">
        <w:trPr>
          <w:trHeight w:val="695"/>
        </w:trPr>
        <w:tc>
          <w:tcPr>
            <w:tcW w:w="10915" w:type="dxa"/>
            <w:tcBorders>
              <w:top w:val="single" w:sz="4" w:space="0" w:color="auto"/>
              <w:left w:val="nil"/>
              <w:bottom w:val="nil"/>
              <w:right w:val="single" w:sz="4" w:space="0" w:color="auto"/>
            </w:tcBorders>
            <w:vAlign w:val="center"/>
          </w:tcPr>
          <w:p w14:paraId="106859DF" w14:textId="6ED185E7" w:rsidR="00697BB6" w:rsidRPr="00563A89" w:rsidRDefault="00697BB6" w:rsidP="00083FF2">
            <w:pPr>
              <w:pStyle w:val="Heading2"/>
              <w:ind w:left="567" w:hanging="567"/>
            </w:pPr>
            <w:bookmarkStart w:id="11" w:name="_Toc234391372"/>
            <w:r>
              <w:t>Artificial intelligence and data</w:t>
            </w:r>
            <w:bookmarkEnd w:id="11"/>
          </w:p>
        </w:tc>
        <w:tc>
          <w:tcPr>
            <w:tcW w:w="1276" w:type="dxa"/>
            <w:tcBorders>
              <w:left w:val="single" w:sz="4" w:space="0" w:color="auto"/>
            </w:tcBorders>
            <w:shd w:val="clear" w:color="auto" w:fill="00436C"/>
            <w:vAlign w:val="center"/>
          </w:tcPr>
          <w:p w14:paraId="0E4C7F1B" w14:textId="77777777" w:rsidR="00697BB6" w:rsidRPr="002F1968" w:rsidRDefault="00697BB6" w:rsidP="00083FF2">
            <w:pPr>
              <w:spacing w:after="0"/>
              <w:jc w:val="right"/>
              <w:rPr>
                <w:b/>
                <w:bCs/>
              </w:rPr>
            </w:pPr>
            <w:r>
              <w:rPr>
                <w:b/>
                <w:bCs/>
              </w:rPr>
              <w:t>Status</w:t>
            </w:r>
            <w:r w:rsidRPr="002F1968">
              <w:rPr>
                <w:b/>
                <w:bCs/>
              </w:rPr>
              <w:t>:</w:t>
            </w:r>
          </w:p>
        </w:tc>
        <w:tc>
          <w:tcPr>
            <w:tcW w:w="2263" w:type="dxa"/>
            <w:shd w:val="clear" w:color="auto" w:fill="CDE3DA"/>
            <w:vAlign w:val="center"/>
          </w:tcPr>
          <w:p w14:paraId="27B4E00A" w14:textId="77777777" w:rsidR="00697BB6" w:rsidRPr="008025FD" w:rsidRDefault="00697BB6" w:rsidP="00083FF2">
            <w:pPr>
              <w:spacing w:after="0"/>
              <w:jc w:val="center"/>
              <w:rPr>
                <w:b/>
                <w:bCs/>
              </w:rPr>
            </w:pPr>
            <w:r>
              <w:rPr>
                <w:b/>
                <w:bCs/>
              </w:rPr>
              <w:t>Green</w:t>
            </w:r>
          </w:p>
        </w:tc>
      </w:tr>
    </w:tbl>
    <w:p w14:paraId="59389177" w14:textId="77777777" w:rsidR="00622F29" w:rsidRDefault="00622F29" w:rsidP="00622F29">
      <w:pPr>
        <w:pStyle w:val="Heading3"/>
      </w:pPr>
      <w:r>
        <w:t>Project overview</w:t>
      </w:r>
    </w:p>
    <w:p w14:paraId="6A315985" w14:textId="5B807C80" w:rsidR="00622F29" w:rsidRDefault="00FD5975" w:rsidP="004D028E">
      <w:pPr>
        <w:spacing w:before="120" w:after="120"/>
      </w:pPr>
      <w:r w:rsidRPr="00097451">
        <w:t xml:space="preserve">A </w:t>
      </w:r>
      <w:r>
        <w:t xml:space="preserve">multi-year </w:t>
      </w:r>
      <w:r w:rsidRPr="00097451">
        <w:t xml:space="preserve">programme to build the technology </w:t>
      </w:r>
      <w:r>
        <w:t xml:space="preserve">and data </w:t>
      </w:r>
      <w:r w:rsidRPr="00097451">
        <w:t xml:space="preserve">foundations for </w:t>
      </w:r>
      <w:r>
        <w:t xml:space="preserve">swift, </w:t>
      </w:r>
      <w:r w:rsidRPr="00097451">
        <w:t xml:space="preserve">safe </w:t>
      </w:r>
      <w:r>
        <w:t xml:space="preserve">and successful </w:t>
      </w:r>
      <w:r w:rsidRPr="00097451">
        <w:t>AI adoption</w:t>
      </w:r>
      <w:r>
        <w:t xml:space="preserve"> within NICE</w:t>
      </w:r>
      <w:r w:rsidRPr="00097451">
        <w:t xml:space="preserve">, deliver robust NHS-facing guidance on AI technologies </w:t>
      </w:r>
      <w:r>
        <w:t xml:space="preserve">and </w:t>
      </w:r>
      <w:r w:rsidRPr="00097451">
        <w:t xml:space="preserve">advance AI methods in </w:t>
      </w:r>
      <w:r w:rsidR="00AC0FB4">
        <w:t>health technology assessment (</w:t>
      </w:r>
      <w:r w:rsidRPr="00097451">
        <w:t>HTA</w:t>
      </w:r>
      <w:r w:rsidR="00AC0FB4">
        <w:t>)</w:t>
      </w:r>
      <w:r>
        <w:t xml:space="preserve">. This will </w:t>
      </w:r>
      <w:r w:rsidRPr="00097451">
        <w:t>enabl</w:t>
      </w:r>
      <w:r>
        <w:t>e</w:t>
      </w:r>
      <w:r w:rsidRPr="00097451">
        <w:t xml:space="preserve"> responsible innovation, strong governance, and coordinated regulation across NICE</w:t>
      </w:r>
      <w:r w:rsidR="00622F29" w:rsidRPr="00FE1A18">
        <w:t>.</w:t>
      </w:r>
    </w:p>
    <w:p w14:paraId="6320B478" w14:textId="2DE53C42" w:rsidR="00697BB6" w:rsidRDefault="00697BB6" w:rsidP="00697BB6">
      <w:pPr>
        <w:pStyle w:val="Heading3"/>
      </w:pPr>
      <w:r>
        <w:t>Highlights</w:t>
      </w:r>
    </w:p>
    <w:tbl>
      <w:tblPr>
        <w:tblStyle w:val="TableGrid"/>
        <w:tblW w:w="14454" w:type="dxa"/>
        <w:tblLook w:val="04A0" w:firstRow="1" w:lastRow="0" w:firstColumn="1" w:lastColumn="0" w:noHBand="0" w:noVBand="1"/>
      </w:tblPr>
      <w:tblGrid>
        <w:gridCol w:w="7366"/>
        <w:gridCol w:w="7088"/>
      </w:tblGrid>
      <w:tr w:rsidR="00697BB6" w:rsidRPr="008D47BA" w14:paraId="50A13778" w14:textId="77777777" w:rsidTr="00CF562C">
        <w:trPr>
          <w:tblHeader/>
        </w:trPr>
        <w:tc>
          <w:tcPr>
            <w:tcW w:w="7366" w:type="dxa"/>
            <w:shd w:val="clear" w:color="auto" w:fill="00436C" w:themeFill="accent2"/>
          </w:tcPr>
          <w:p w14:paraId="78B848F1" w14:textId="77777777" w:rsidR="00697BB6" w:rsidRDefault="00697BB6" w:rsidP="00083FF2">
            <w:pPr>
              <w:pStyle w:val="Paragraph"/>
              <w:spacing w:before="120" w:after="120" w:line="240" w:lineRule="auto"/>
              <w:rPr>
                <w:b/>
                <w:bCs/>
                <w:color w:val="FFFFFF" w:themeColor="background1"/>
                <w:lang w:eastAsia="en-GB"/>
              </w:rPr>
            </w:pPr>
            <w:r>
              <w:rPr>
                <w:b/>
                <w:bCs/>
                <w:color w:val="FFFFFF" w:themeColor="background1"/>
                <w:lang w:eastAsia="en-GB"/>
              </w:rPr>
              <w:t>Progress and achievements</w:t>
            </w:r>
          </w:p>
        </w:tc>
        <w:tc>
          <w:tcPr>
            <w:tcW w:w="7088" w:type="dxa"/>
            <w:shd w:val="clear" w:color="auto" w:fill="00436C" w:themeFill="accent2"/>
          </w:tcPr>
          <w:p w14:paraId="50D32E3A" w14:textId="77777777" w:rsidR="00697BB6" w:rsidRPr="008D47BA" w:rsidRDefault="00697BB6" w:rsidP="00083FF2">
            <w:pPr>
              <w:pStyle w:val="Paragraph"/>
              <w:spacing w:before="120" w:after="120" w:line="240" w:lineRule="auto"/>
              <w:rPr>
                <w:color w:val="FFFFFF" w:themeColor="background1"/>
                <w:lang w:eastAsia="en-GB"/>
              </w:rPr>
            </w:pPr>
            <w:r>
              <w:rPr>
                <w:b/>
                <w:bCs/>
                <w:color w:val="FFFFFF" w:themeColor="background1"/>
                <w:lang w:eastAsia="en-GB"/>
              </w:rPr>
              <w:t>Key next steps</w:t>
            </w:r>
          </w:p>
        </w:tc>
      </w:tr>
      <w:tr w:rsidR="00697BB6" w:rsidRPr="008D47BA" w14:paraId="30850E9B" w14:textId="77777777" w:rsidTr="00CF562C">
        <w:trPr>
          <w:trHeight w:val="365"/>
        </w:trPr>
        <w:tc>
          <w:tcPr>
            <w:tcW w:w="7366" w:type="dxa"/>
          </w:tcPr>
          <w:p w14:paraId="3B3A0E9F" w14:textId="2CAD7CC4" w:rsidR="00614644" w:rsidRPr="0038216B" w:rsidRDefault="00087D6B" w:rsidP="004D028E">
            <w:pPr>
              <w:spacing w:before="80" w:after="80" w:line="264" w:lineRule="auto"/>
              <w:rPr>
                <w:rFonts w:cs="Arial"/>
                <w:b/>
              </w:rPr>
            </w:pPr>
            <w:r w:rsidRPr="0038216B">
              <w:rPr>
                <w:rFonts w:cs="Arial"/>
                <w:b/>
              </w:rPr>
              <w:t>Technology and dat</w:t>
            </w:r>
            <w:r w:rsidR="00E8151B" w:rsidRPr="0038216B">
              <w:rPr>
                <w:rFonts w:cs="Arial"/>
                <w:b/>
              </w:rPr>
              <w:t>a foundations</w:t>
            </w:r>
          </w:p>
          <w:p w14:paraId="780E7F74" w14:textId="0F948451" w:rsidR="00044E29" w:rsidRDefault="00283584" w:rsidP="004D028E">
            <w:pPr>
              <w:numPr>
                <w:ilvl w:val="0"/>
                <w:numId w:val="7"/>
              </w:numPr>
              <w:spacing w:before="80" w:after="80" w:line="264" w:lineRule="auto"/>
              <w:ind w:left="189" w:hanging="149"/>
              <w:rPr>
                <w:rFonts w:cs="Arial"/>
              </w:rPr>
            </w:pPr>
            <w:r>
              <w:rPr>
                <w:rFonts w:cs="Arial"/>
              </w:rPr>
              <w:t>Approach implemented to ensure d</w:t>
            </w:r>
            <w:r w:rsidR="00E8151B">
              <w:rPr>
                <w:rFonts w:cs="Arial"/>
              </w:rPr>
              <w:t>ata quality and standardisation</w:t>
            </w:r>
            <w:r>
              <w:rPr>
                <w:rFonts w:cs="Arial"/>
              </w:rPr>
              <w:t xml:space="preserve"> for planning and scheduling</w:t>
            </w:r>
          </w:p>
          <w:p w14:paraId="52DD801B" w14:textId="3E111181" w:rsidR="0015222D" w:rsidRPr="0038216B" w:rsidRDefault="0015222D" w:rsidP="004D028E">
            <w:pPr>
              <w:spacing w:before="80" w:after="80" w:line="264" w:lineRule="auto"/>
              <w:rPr>
                <w:rFonts w:cs="Arial"/>
                <w:b/>
              </w:rPr>
            </w:pPr>
            <w:r w:rsidRPr="0038216B">
              <w:rPr>
                <w:rFonts w:cs="Arial"/>
                <w:b/>
              </w:rPr>
              <w:t>Evaluating AI technologies</w:t>
            </w:r>
          </w:p>
          <w:p w14:paraId="75EB26E0" w14:textId="78B50068" w:rsidR="00646CE8" w:rsidRPr="0015222D" w:rsidRDefault="00646CE8" w:rsidP="004D028E">
            <w:pPr>
              <w:numPr>
                <w:ilvl w:val="0"/>
                <w:numId w:val="7"/>
              </w:numPr>
              <w:spacing w:before="80" w:after="80" w:line="264" w:lineRule="auto"/>
              <w:ind w:left="189" w:hanging="149"/>
              <w:rPr>
                <w:rFonts w:cs="Arial"/>
              </w:rPr>
            </w:pPr>
            <w:r w:rsidRPr="0015222D">
              <w:rPr>
                <w:rFonts w:cs="Arial"/>
              </w:rPr>
              <w:t>D</w:t>
            </w:r>
            <w:r w:rsidR="0015222D" w:rsidRPr="0015222D">
              <w:rPr>
                <w:rFonts w:cs="Arial"/>
              </w:rPr>
              <w:t>ra</w:t>
            </w:r>
            <w:r w:rsidRPr="0015222D">
              <w:rPr>
                <w:rFonts w:cs="Arial"/>
              </w:rPr>
              <w:t xml:space="preserve">ft approach to evaluating fast follower technologies </w:t>
            </w:r>
            <w:r w:rsidR="00C50479" w:rsidRPr="0015222D">
              <w:rPr>
                <w:rFonts w:cs="Arial"/>
              </w:rPr>
              <w:t>developed</w:t>
            </w:r>
          </w:p>
          <w:p w14:paraId="72CB7F34" w14:textId="77777777" w:rsidR="00C50479" w:rsidRDefault="00493BBE" w:rsidP="004D028E">
            <w:pPr>
              <w:numPr>
                <w:ilvl w:val="0"/>
                <w:numId w:val="7"/>
              </w:numPr>
              <w:spacing w:before="80" w:after="80" w:line="264" w:lineRule="auto"/>
              <w:ind w:left="189" w:hanging="149"/>
              <w:rPr>
                <w:rFonts w:cs="Arial"/>
              </w:rPr>
            </w:pPr>
            <w:r>
              <w:rPr>
                <w:rFonts w:cs="Arial"/>
              </w:rPr>
              <w:t>Commissioned work on exploration of frontier AI completed</w:t>
            </w:r>
          </w:p>
          <w:p w14:paraId="129AD7BC" w14:textId="77777777" w:rsidR="00697BB6" w:rsidRDefault="0055193B" w:rsidP="004D028E">
            <w:pPr>
              <w:numPr>
                <w:ilvl w:val="0"/>
                <w:numId w:val="7"/>
              </w:numPr>
              <w:spacing w:before="80" w:after="80" w:line="264" w:lineRule="auto"/>
              <w:ind w:left="189" w:hanging="149"/>
              <w:rPr>
                <w:rFonts w:cs="Arial"/>
              </w:rPr>
            </w:pPr>
            <w:r>
              <w:rPr>
                <w:rFonts w:cs="Arial"/>
              </w:rPr>
              <w:t xml:space="preserve">Developed </w:t>
            </w:r>
            <w:r w:rsidR="003219A4">
              <w:rPr>
                <w:rFonts w:cs="Arial"/>
              </w:rPr>
              <w:t xml:space="preserve">draft </w:t>
            </w:r>
            <w:r>
              <w:rPr>
                <w:rFonts w:cs="Arial"/>
              </w:rPr>
              <w:t>approach to evaluating productivity</w:t>
            </w:r>
            <w:r w:rsidR="003219A4">
              <w:rPr>
                <w:rFonts w:cs="Arial"/>
              </w:rPr>
              <w:t xml:space="preserve"> within existing framework</w:t>
            </w:r>
          </w:p>
          <w:p w14:paraId="1C16F24A" w14:textId="342B2ECF" w:rsidR="00AC0FB4" w:rsidRPr="0038216B" w:rsidRDefault="00AC0FB4" w:rsidP="004D028E">
            <w:pPr>
              <w:spacing w:before="80" w:after="80" w:line="264" w:lineRule="auto"/>
              <w:rPr>
                <w:rFonts w:cs="Arial"/>
                <w:b/>
              </w:rPr>
            </w:pPr>
            <w:r w:rsidRPr="0038216B">
              <w:rPr>
                <w:rFonts w:cs="Arial"/>
                <w:b/>
              </w:rPr>
              <w:t>Advancing AI methods in HTA</w:t>
            </w:r>
            <w:r w:rsidR="00226550">
              <w:rPr>
                <w:rFonts w:cs="Arial"/>
                <w:b/>
              </w:rPr>
              <w:t xml:space="preserve"> and guidelines</w:t>
            </w:r>
          </w:p>
          <w:p w14:paraId="03C3BAE2" w14:textId="77777777" w:rsidR="00697BB6" w:rsidRPr="003A6E4F" w:rsidRDefault="00AE4620" w:rsidP="004D028E">
            <w:pPr>
              <w:numPr>
                <w:ilvl w:val="0"/>
                <w:numId w:val="7"/>
              </w:numPr>
              <w:spacing w:before="80" w:after="80" w:line="264" w:lineRule="auto"/>
              <w:ind w:left="189" w:hanging="149"/>
              <w:rPr>
                <w:rFonts w:cs="Arial"/>
              </w:rPr>
            </w:pPr>
            <w:r w:rsidRPr="003A6E4F">
              <w:rPr>
                <w:rFonts w:cs="Arial"/>
              </w:rPr>
              <w:t>Completed</w:t>
            </w:r>
            <w:r w:rsidR="00CD3F6D" w:rsidRPr="003A6E4F">
              <w:rPr>
                <w:rFonts w:cs="Arial"/>
              </w:rPr>
              <w:t xml:space="preserve"> phase 1 of</w:t>
            </w:r>
            <w:r w:rsidRPr="003A6E4F">
              <w:rPr>
                <w:rFonts w:cs="Arial"/>
              </w:rPr>
              <w:t xml:space="preserve"> HTA Lab</w:t>
            </w:r>
            <w:r w:rsidR="00CD3F6D" w:rsidRPr="003A6E4F">
              <w:rPr>
                <w:rFonts w:cs="Arial"/>
              </w:rPr>
              <w:t xml:space="preserve"> project </w:t>
            </w:r>
            <w:r w:rsidR="00CD3F6D" w:rsidRPr="00DB2FA6">
              <w:rPr>
                <w:rFonts w:cs="Arial"/>
              </w:rPr>
              <w:t>The Future of HTA with AI</w:t>
            </w:r>
            <w:r w:rsidR="00CD3F6D" w:rsidRPr="003A6E4F">
              <w:rPr>
                <w:rFonts w:cs="Arial"/>
              </w:rPr>
              <w:t xml:space="preserve"> – recommendations made for next steps of exploration.</w:t>
            </w:r>
          </w:p>
          <w:p w14:paraId="53D9CC9C" w14:textId="352BB892" w:rsidR="00697BB6" w:rsidRPr="007E472B" w:rsidRDefault="00CD3F6D" w:rsidP="004D028E">
            <w:pPr>
              <w:numPr>
                <w:ilvl w:val="0"/>
                <w:numId w:val="7"/>
              </w:numPr>
              <w:spacing w:before="80" w:after="80" w:line="264" w:lineRule="auto"/>
              <w:ind w:left="189" w:hanging="149"/>
              <w:rPr>
                <w:rFonts w:cs="Arial"/>
              </w:rPr>
            </w:pPr>
            <w:r w:rsidRPr="003A6E4F">
              <w:rPr>
                <w:rFonts w:cs="Arial"/>
              </w:rPr>
              <w:t>Initiated NICE Listens project to explore patient and public perceptions about the use of AI in HTA.</w:t>
            </w:r>
          </w:p>
        </w:tc>
        <w:tc>
          <w:tcPr>
            <w:tcW w:w="7088" w:type="dxa"/>
          </w:tcPr>
          <w:p w14:paraId="46CDED8C" w14:textId="17201049" w:rsidR="00B9138D" w:rsidRPr="00C644D3" w:rsidRDefault="00B9138D" w:rsidP="004D028E">
            <w:pPr>
              <w:spacing w:before="80" w:after="80" w:line="264" w:lineRule="auto"/>
              <w:rPr>
                <w:rFonts w:cs="Arial"/>
              </w:rPr>
            </w:pPr>
            <w:r w:rsidRPr="00C644D3">
              <w:rPr>
                <w:rFonts w:cs="Arial"/>
              </w:rPr>
              <w:t>The AI and data project plan is under</w:t>
            </w:r>
            <w:r w:rsidR="00857216" w:rsidRPr="00C644D3">
              <w:rPr>
                <w:rFonts w:cs="Arial"/>
              </w:rPr>
              <w:t xml:space="preserve"> review and unified governance being established</w:t>
            </w:r>
            <w:r w:rsidR="008A396E" w:rsidRPr="00C644D3">
              <w:rPr>
                <w:rFonts w:cs="Arial"/>
              </w:rPr>
              <w:t xml:space="preserve"> and will be in place</w:t>
            </w:r>
            <w:r w:rsidR="006419F0" w:rsidRPr="00C644D3">
              <w:rPr>
                <w:rFonts w:cs="Arial"/>
              </w:rPr>
              <w:t xml:space="preserve"> for reporting</w:t>
            </w:r>
            <w:r w:rsidR="005221F4" w:rsidRPr="00C644D3">
              <w:rPr>
                <w:rFonts w:cs="Arial"/>
              </w:rPr>
              <w:t xml:space="preserve"> in </w:t>
            </w:r>
            <w:r w:rsidR="008A396E" w:rsidRPr="00C644D3">
              <w:rPr>
                <w:rFonts w:cs="Arial"/>
              </w:rPr>
              <w:t xml:space="preserve">September </w:t>
            </w:r>
            <w:r w:rsidR="005221F4" w:rsidRPr="00C644D3">
              <w:rPr>
                <w:rFonts w:cs="Arial"/>
              </w:rPr>
              <w:t>IPR to board.</w:t>
            </w:r>
          </w:p>
          <w:p w14:paraId="145C40A3" w14:textId="58731713" w:rsidR="005800A8" w:rsidRPr="006640CA" w:rsidRDefault="00E8151B" w:rsidP="004D028E">
            <w:pPr>
              <w:spacing w:before="80" w:after="80" w:line="264" w:lineRule="auto"/>
              <w:rPr>
                <w:rFonts w:cs="Arial"/>
                <w:b/>
              </w:rPr>
            </w:pPr>
            <w:r w:rsidRPr="0038216B">
              <w:rPr>
                <w:rFonts w:cs="Arial"/>
                <w:b/>
              </w:rPr>
              <w:t>Technology and data foundations</w:t>
            </w:r>
          </w:p>
          <w:p w14:paraId="5F4E5E6F" w14:textId="64A12AE7" w:rsidR="00CC5515" w:rsidRDefault="00311B30" w:rsidP="004D028E">
            <w:pPr>
              <w:numPr>
                <w:ilvl w:val="0"/>
                <w:numId w:val="7"/>
              </w:numPr>
              <w:spacing w:before="80" w:after="80" w:line="264" w:lineRule="auto"/>
              <w:ind w:left="189" w:hanging="149"/>
              <w:rPr>
                <w:rFonts w:cs="Arial"/>
              </w:rPr>
            </w:pPr>
            <w:r w:rsidRPr="003A6E4F">
              <w:rPr>
                <w:rFonts w:cs="Arial"/>
              </w:rPr>
              <w:t>Co</w:t>
            </w:r>
            <w:r w:rsidR="00283584">
              <w:rPr>
                <w:rFonts w:cs="Arial"/>
              </w:rPr>
              <w:t>-</w:t>
            </w:r>
            <w:r w:rsidRPr="003A6E4F">
              <w:rPr>
                <w:rFonts w:cs="Arial"/>
              </w:rPr>
              <w:t xml:space="preserve">pilot Premium </w:t>
            </w:r>
            <w:r w:rsidR="00283584">
              <w:rPr>
                <w:rFonts w:cs="Arial"/>
              </w:rPr>
              <w:t xml:space="preserve">licence </w:t>
            </w:r>
            <w:r w:rsidRPr="003A6E4F">
              <w:rPr>
                <w:rFonts w:cs="Arial"/>
              </w:rPr>
              <w:t xml:space="preserve">rollout </w:t>
            </w:r>
            <w:r w:rsidR="00A42ECA" w:rsidRPr="003A6E4F">
              <w:rPr>
                <w:rFonts w:cs="Arial"/>
              </w:rPr>
              <w:t>to all staff</w:t>
            </w:r>
            <w:r w:rsidR="000B10F1">
              <w:rPr>
                <w:rFonts w:cs="Arial"/>
              </w:rPr>
              <w:t xml:space="preserve"> to support ways of working</w:t>
            </w:r>
          </w:p>
          <w:p w14:paraId="53366D39" w14:textId="77777777" w:rsidR="0055193B" w:rsidRPr="0038216B" w:rsidRDefault="008B725C" w:rsidP="004D028E">
            <w:pPr>
              <w:spacing w:before="80" w:after="80" w:line="264" w:lineRule="auto"/>
              <w:rPr>
                <w:rFonts w:cs="Arial"/>
                <w:b/>
              </w:rPr>
            </w:pPr>
            <w:r w:rsidRPr="0038216B">
              <w:rPr>
                <w:rFonts w:cs="Arial"/>
                <w:b/>
              </w:rPr>
              <w:t xml:space="preserve">Evaluating AI technologies </w:t>
            </w:r>
          </w:p>
          <w:p w14:paraId="65295359" w14:textId="2C50045F" w:rsidR="008B725C" w:rsidRDefault="00AC0FB4" w:rsidP="004D028E">
            <w:pPr>
              <w:numPr>
                <w:ilvl w:val="0"/>
                <w:numId w:val="7"/>
              </w:numPr>
              <w:spacing w:before="80" w:after="80" w:line="264" w:lineRule="auto"/>
              <w:ind w:left="189" w:hanging="149"/>
              <w:rPr>
                <w:rFonts w:cs="Arial"/>
              </w:rPr>
            </w:pPr>
            <w:r>
              <w:rPr>
                <w:rFonts w:cs="Arial"/>
              </w:rPr>
              <w:t>D</w:t>
            </w:r>
            <w:r w:rsidR="00EE4963" w:rsidRPr="0055193B">
              <w:rPr>
                <w:rFonts w:cs="Arial"/>
              </w:rPr>
              <w:t xml:space="preserve">evelop draft approach for </w:t>
            </w:r>
            <w:r w:rsidR="00EB1130" w:rsidRPr="0055193B">
              <w:rPr>
                <w:rFonts w:cs="Arial"/>
              </w:rPr>
              <w:t>evaluating dynamic</w:t>
            </w:r>
            <w:r w:rsidR="00EE4963" w:rsidRPr="0055193B">
              <w:rPr>
                <w:rFonts w:cs="Arial"/>
              </w:rPr>
              <w:t xml:space="preserve"> </w:t>
            </w:r>
            <w:r w:rsidR="00671F21">
              <w:rPr>
                <w:rFonts w:cs="Arial"/>
              </w:rPr>
              <w:t xml:space="preserve">AI </w:t>
            </w:r>
            <w:r w:rsidR="00EE4963" w:rsidRPr="0055193B">
              <w:rPr>
                <w:rFonts w:cs="Arial"/>
              </w:rPr>
              <w:t>technolog</w:t>
            </w:r>
            <w:r w:rsidR="00EB1130" w:rsidRPr="0055193B">
              <w:rPr>
                <w:rFonts w:cs="Arial"/>
              </w:rPr>
              <w:t>y</w:t>
            </w:r>
          </w:p>
          <w:p w14:paraId="1CE928CD" w14:textId="5041CDE3" w:rsidR="0055193B" w:rsidRPr="0055193B" w:rsidRDefault="00AC0FB4" w:rsidP="004D028E">
            <w:pPr>
              <w:numPr>
                <w:ilvl w:val="0"/>
                <w:numId w:val="7"/>
              </w:numPr>
              <w:spacing w:before="80" w:after="80" w:line="264" w:lineRule="auto"/>
              <w:ind w:left="189" w:hanging="149"/>
              <w:rPr>
                <w:rFonts w:cs="Arial"/>
              </w:rPr>
            </w:pPr>
            <w:r>
              <w:rPr>
                <w:rFonts w:cs="Arial"/>
              </w:rPr>
              <w:t>F</w:t>
            </w:r>
            <w:r w:rsidR="0055193B">
              <w:rPr>
                <w:rFonts w:cs="Arial"/>
              </w:rPr>
              <w:t>urther develop approach for evaluating productivity</w:t>
            </w:r>
            <w:r w:rsidR="006D3F10">
              <w:rPr>
                <w:rFonts w:cs="Arial"/>
              </w:rPr>
              <w:t xml:space="preserve"> as main value proposition</w:t>
            </w:r>
          </w:p>
          <w:p w14:paraId="1ED88395" w14:textId="4D6ADE95" w:rsidR="0038216B" w:rsidRPr="0038216B" w:rsidRDefault="0038216B" w:rsidP="004D028E">
            <w:pPr>
              <w:spacing w:before="80" w:after="80" w:line="264" w:lineRule="auto"/>
              <w:rPr>
                <w:rFonts w:cs="Arial"/>
                <w:b/>
                <w:bCs/>
              </w:rPr>
            </w:pPr>
            <w:r w:rsidRPr="0038216B">
              <w:rPr>
                <w:rFonts w:cs="Arial"/>
                <w:b/>
                <w:bCs/>
              </w:rPr>
              <w:t>Advancing AI methods in HTA</w:t>
            </w:r>
            <w:r w:rsidR="00C13A80">
              <w:rPr>
                <w:rFonts w:cs="Arial"/>
                <w:b/>
                <w:bCs/>
              </w:rPr>
              <w:t xml:space="preserve"> and guidelines</w:t>
            </w:r>
          </w:p>
          <w:p w14:paraId="658B6A97" w14:textId="5B35751A" w:rsidR="00697BB6" w:rsidRPr="00A60A03" w:rsidRDefault="004638AA" w:rsidP="004D028E">
            <w:pPr>
              <w:numPr>
                <w:ilvl w:val="0"/>
                <w:numId w:val="7"/>
              </w:numPr>
              <w:spacing w:before="80" w:after="80" w:line="264" w:lineRule="auto"/>
              <w:ind w:left="189" w:hanging="149"/>
              <w:rPr>
                <w:rFonts w:cs="Arial"/>
              </w:rPr>
            </w:pPr>
            <w:r w:rsidRPr="003A6E4F">
              <w:rPr>
                <w:rFonts w:cs="Arial"/>
              </w:rPr>
              <w:t xml:space="preserve">Develop high-priority principles and use-cases for best-practice guidance on the use of AI in HTA evidence submissions (the NICE </w:t>
            </w:r>
            <w:r w:rsidRPr="00DB2FA6">
              <w:rPr>
                <w:rFonts w:cs="Arial"/>
              </w:rPr>
              <w:t xml:space="preserve">AI Methods for Evidence </w:t>
            </w:r>
            <w:r w:rsidRPr="003A6E4F">
              <w:rPr>
                <w:rFonts w:cs="Arial"/>
              </w:rPr>
              <w:t>Framework).</w:t>
            </w:r>
          </w:p>
        </w:tc>
      </w:tr>
    </w:tbl>
    <w:tbl>
      <w:tblPr>
        <w:tblStyle w:val="TableGrid"/>
        <w:tblW w:w="14454" w:type="dxa"/>
        <w:tblLayout w:type="fixed"/>
        <w:tblLook w:val="04A0" w:firstRow="1" w:lastRow="0" w:firstColumn="1" w:lastColumn="0" w:noHBand="0" w:noVBand="1"/>
      </w:tblPr>
      <w:tblGrid>
        <w:gridCol w:w="10915"/>
        <w:gridCol w:w="1276"/>
        <w:gridCol w:w="2263"/>
      </w:tblGrid>
      <w:tr w:rsidR="00697BB6" w14:paraId="11777FE3" w14:textId="77777777" w:rsidTr="00083FF2">
        <w:trPr>
          <w:trHeight w:val="695"/>
        </w:trPr>
        <w:tc>
          <w:tcPr>
            <w:tcW w:w="10915" w:type="dxa"/>
            <w:tcBorders>
              <w:top w:val="single" w:sz="4" w:space="0" w:color="auto"/>
              <w:left w:val="nil"/>
              <w:bottom w:val="nil"/>
              <w:right w:val="single" w:sz="4" w:space="0" w:color="auto"/>
            </w:tcBorders>
            <w:vAlign w:val="center"/>
          </w:tcPr>
          <w:p w14:paraId="6887D803" w14:textId="48237367" w:rsidR="00697BB6" w:rsidRPr="00563A89" w:rsidRDefault="00697BB6" w:rsidP="00083FF2">
            <w:pPr>
              <w:pStyle w:val="Heading2"/>
              <w:ind w:left="567" w:hanging="567"/>
            </w:pPr>
            <w:bookmarkStart w:id="12" w:name="_Toc234391373"/>
            <w:r>
              <w:t>National HealthTech Access Programme (NHAP)</w:t>
            </w:r>
            <w:bookmarkEnd w:id="12"/>
          </w:p>
        </w:tc>
        <w:tc>
          <w:tcPr>
            <w:tcW w:w="1276" w:type="dxa"/>
            <w:tcBorders>
              <w:left w:val="single" w:sz="4" w:space="0" w:color="auto"/>
            </w:tcBorders>
            <w:shd w:val="clear" w:color="auto" w:fill="00436C"/>
            <w:vAlign w:val="center"/>
          </w:tcPr>
          <w:p w14:paraId="3E76E719" w14:textId="77777777" w:rsidR="00697BB6" w:rsidRPr="002F1968" w:rsidRDefault="00697BB6" w:rsidP="00083FF2">
            <w:pPr>
              <w:spacing w:after="0"/>
              <w:jc w:val="right"/>
              <w:rPr>
                <w:b/>
                <w:bCs/>
              </w:rPr>
            </w:pPr>
            <w:r>
              <w:rPr>
                <w:b/>
                <w:bCs/>
              </w:rPr>
              <w:t>Status</w:t>
            </w:r>
            <w:r w:rsidRPr="002F1968">
              <w:rPr>
                <w:b/>
                <w:bCs/>
              </w:rPr>
              <w:t>:</w:t>
            </w:r>
          </w:p>
        </w:tc>
        <w:tc>
          <w:tcPr>
            <w:tcW w:w="2263" w:type="dxa"/>
            <w:shd w:val="clear" w:color="auto" w:fill="CDE3DA"/>
            <w:vAlign w:val="center"/>
          </w:tcPr>
          <w:p w14:paraId="728C7528" w14:textId="77777777" w:rsidR="00697BB6" w:rsidRPr="008025FD" w:rsidRDefault="00697BB6" w:rsidP="00083FF2">
            <w:pPr>
              <w:spacing w:after="0"/>
              <w:jc w:val="center"/>
              <w:rPr>
                <w:b/>
                <w:bCs/>
              </w:rPr>
            </w:pPr>
            <w:r>
              <w:rPr>
                <w:b/>
                <w:bCs/>
              </w:rPr>
              <w:t>Green</w:t>
            </w:r>
          </w:p>
        </w:tc>
      </w:tr>
    </w:tbl>
    <w:p w14:paraId="18427E1B" w14:textId="77777777" w:rsidR="00517684" w:rsidRDefault="00517684" w:rsidP="00517684">
      <w:pPr>
        <w:pStyle w:val="Heading3"/>
      </w:pPr>
      <w:r>
        <w:t>Project overview</w:t>
      </w:r>
    </w:p>
    <w:p w14:paraId="11045BBB" w14:textId="09359709" w:rsidR="00517684" w:rsidRDefault="009A254A" w:rsidP="00517684">
      <w:r w:rsidRPr="003238AD">
        <w:rPr>
          <w:rFonts w:ascii="Inter" w:hAnsi="Inter"/>
        </w:rPr>
        <w:t>A collaborative programme to maximise the impact of the National HealthTech Access Programme by aligning partners on evidence generation, commercial and implementation support, and resolving ecosystem challenges. This will strengthen NICE’s role and how it works within the wider healthtech landscape</w:t>
      </w:r>
      <w:r w:rsidR="00517684" w:rsidRPr="00FE1A18">
        <w:t>.</w:t>
      </w:r>
    </w:p>
    <w:p w14:paraId="3071E0C9" w14:textId="77777777" w:rsidR="00697BB6" w:rsidRDefault="00697BB6" w:rsidP="00697BB6">
      <w:pPr>
        <w:pStyle w:val="Heading3"/>
      </w:pPr>
      <w:r>
        <w:t>Highlights</w:t>
      </w:r>
    </w:p>
    <w:tbl>
      <w:tblPr>
        <w:tblStyle w:val="TableGrid"/>
        <w:tblW w:w="14454" w:type="dxa"/>
        <w:tblLook w:val="04A0" w:firstRow="1" w:lastRow="0" w:firstColumn="1" w:lastColumn="0" w:noHBand="0" w:noVBand="1"/>
      </w:tblPr>
      <w:tblGrid>
        <w:gridCol w:w="7366"/>
        <w:gridCol w:w="7088"/>
      </w:tblGrid>
      <w:tr w:rsidR="00697BB6" w:rsidRPr="008D47BA" w14:paraId="7D563A1F" w14:textId="77777777" w:rsidTr="008A467E">
        <w:trPr>
          <w:tblHeader/>
        </w:trPr>
        <w:tc>
          <w:tcPr>
            <w:tcW w:w="7366" w:type="dxa"/>
            <w:shd w:val="clear" w:color="auto" w:fill="00436C" w:themeFill="accent2"/>
          </w:tcPr>
          <w:p w14:paraId="1BC95723" w14:textId="77777777" w:rsidR="00697BB6" w:rsidRDefault="00697BB6" w:rsidP="00083FF2">
            <w:pPr>
              <w:pStyle w:val="Paragraph"/>
              <w:spacing w:before="120" w:after="120" w:line="240" w:lineRule="auto"/>
              <w:rPr>
                <w:b/>
                <w:bCs/>
                <w:color w:val="FFFFFF" w:themeColor="background1"/>
                <w:lang w:eastAsia="en-GB"/>
              </w:rPr>
            </w:pPr>
            <w:r>
              <w:rPr>
                <w:b/>
                <w:bCs/>
                <w:color w:val="FFFFFF" w:themeColor="background1"/>
                <w:lang w:eastAsia="en-GB"/>
              </w:rPr>
              <w:t>Progress and achievements</w:t>
            </w:r>
          </w:p>
        </w:tc>
        <w:tc>
          <w:tcPr>
            <w:tcW w:w="7088" w:type="dxa"/>
            <w:shd w:val="clear" w:color="auto" w:fill="00436C" w:themeFill="accent2"/>
          </w:tcPr>
          <w:p w14:paraId="1620A492" w14:textId="77777777" w:rsidR="00697BB6" w:rsidRPr="008D47BA" w:rsidRDefault="00697BB6" w:rsidP="00083FF2">
            <w:pPr>
              <w:pStyle w:val="Paragraph"/>
              <w:spacing w:before="120" w:after="120" w:line="240" w:lineRule="auto"/>
              <w:rPr>
                <w:color w:val="FFFFFF" w:themeColor="background1"/>
                <w:lang w:eastAsia="en-GB"/>
              </w:rPr>
            </w:pPr>
            <w:r>
              <w:rPr>
                <w:b/>
                <w:bCs/>
                <w:color w:val="FFFFFF" w:themeColor="background1"/>
                <w:lang w:eastAsia="en-GB"/>
              </w:rPr>
              <w:t>Key next steps</w:t>
            </w:r>
          </w:p>
        </w:tc>
      </w:tr>
      <w:tr w:rsidR="00697BB6" w:rsidRPr="008D47BA" w14:paraId="345FA5C6" w14:textId="77777777" w:rsidTr="008A467E">
        <w:trPr>
          <w:trHeight w:val="365"/>
        </w:trPr>
        <w:tc>
          <w:tcPr>
            <w:tcW w:w="7366" w:type="dxa"/>
          </w:tcPr>
          <w:p w14:paraId="6C29149C" w14:textId="5B495252" w:rsidR="00DB28A9" w:rsidRDefault="00DF5942" w:rsidP="00083FF2">
            <w:pPr>
              <w:numPr>
                <w:ilvl w:val="0"/>
                <w:numId w:val="7"/>
              </w:numPr>
              <w:spacing w:before="120" w:after="120" w:line="264" w:lineRule="auto"/>
              <w:ind w:left="189" w:hanging="149"/>
              <w:rPr>
                <w:rFonts w:cs="Arial"/>
              </w:rPr>
            </w:pPr>
            <w:r>
              <w:rPr>
                <w:rFonts w:cs="Arial"/>
              </w:rPr>
              <w:t>Reaffirmed</w:t>
            </w:r>
            <w:r w:rsidR="00EB034E">
              <w:rPr>
                <w:rFonts w:cs="Arial"/>
              </w:rPr>
              <w:t xml:space="preserve"> commitment</w:t>
            </w:r>
            <w:r w:rsidR="00025EBE">
              <w:rPr>
                <w:rFonts w:cs="Arial"/>
              </w:rPr>
              <w:t xml:space="preserve"> and recognition of NHAP with new senior leadership as a pivotal reform in the HealthTech ecosystem</w:t>
            </w:r>
          </w:p>
          <w:p w14:paraId="48DB03EB" w14:textId="01A92FBD" w:rsidR="00697BB6" w:rsidRDefault="002448C5" w:rsidP="00083FF2">
            <w:pPr>
              <w:numPr>
                <w:ilvl w:val="0"/>
                <w:numId w:val="7"/>
              </w:numPr>
              <w:spacing w:before="120" w:after="120" w:line="264" w:lineRule="auto"/>
              <w:ind w:left="189" w:hanging="149"/>
              <w:rPr>
                <w:rFonts w:cs="Arial"/>
              </w:rPr>
            </w:pPr>
            <w:r>
              <w:rPr>
                <w:rFonts w:cs="Arial"/>
              </w:rPr>
              <w:t xml:space="preserve">Gained </w:t>
            </w:r>
            <w:r w:rsidR="00DF5942">
              <w:rPr>
                <w:rFonts w:cs="Arial"/>
              </w:rPr>
              <w:t xml:space="preserve">approval from </w:t>
            </w:r>
            <w:r>
              <w:rPr>
                <w:rFonts w:cs="Arial"/>
              </w:rPr>
              <w:t>NHS</w:t>
            </w:r>
            <w:r w:rsidR="00DF5942">
              <w:rPr>
                <w:rFonts w:cs="Arial"/>
              </w:rPr>
              <w:t xml:space="preserve"> England</w:t>
            </w:r>
            <w:r>
              <w:rPr>
                <w:rFonts w:cs="Arial"/>
              </w:rPr>
              <w:t>/NICE programme board for</w:t>
            </w:r>
            <w:r w:rsidR="00DB28A9">
              <w:rPr>
                <w:rFonts w:cs="Arial"/>
              </w:rPr>
              <w:t xml:space="preserve"> cross-partner governance</w:t>
            </w:r>
            <w:r>
              <w:rPr>
                <w:rFonts w:cs="Arial"/>
              </w:rPr>
              <w:t xml:space="preserve"> </w:t>
            </w:r>
            <w:r w:rsidR="00555920">
              <w:rPr>
                <w:rFonts w:cs="Arial"/>
              </w:rPr>
              <w:t>on topic proposals</w:t>
            </w:r>
            <w:r w:rsidR="000F2FB6">
              <w:rPr>
                <w:rFonts w:cs="Arial"/>
              </w:rPr>
              <w:t xml:space="preserve"> and referrals</w:t>
            </w:r>
            <w:r w:rsidR="00555920">
              <w:rPr>
                <w:rFonts w:cs="Arial"/>
              </w:rPr>
              <w:t xml:space="preserve"> for NHAP</w:t>
            </w:r>
            <w:r w:rsidR="009141CC">
              <w:rPr>
                <w:rFonts w:cs="Arial"/>
              </w:rPr>
              <w:t xml:space="preserve"> </w:t>
            </w:r>
            <w:r w:rsidR="00953B39" w:rsidDel="00555920">
              <w:rPr>
                <w:rFonts w:cs="Arial"/>
              </w:rPr>
              <w:t xml:space="preserve"> </w:t>
            </w:r>
          </w:p>
          <w:p w14:paraId="0D398921" w14:textId="51690C17" w:rsidR="00953B39" w:rsidRDefault="009141CC" w:rsidP="00083FF2">
            <w:pPr>
              <w:numPr>
                <w:ilvl w:val="0"/>
                <w:numId w:val="7"/>
              </w:numPr>
              <w:spacing w:before="120" w:after="120" w:line="264" w:lineRule="auto"/>
              <w:ind w:left="189" w:hanging="149"/>
              <w:rPr>
                <w:rFonts w:cs="Arial"/>
              </w:rPr>
            </w:pPr>
            <w:r>
              <w:rPr>
                <w:rFonts w:cs="Arial"/>
              </w:rPr>
              <w:t>Work underway to identify potential NHAP topics for</w:t>
            </w:r>
            <w:r w:rsidR="000F2FB6">
              <w:rPr>
                <w:rFonts w:cs="Arial"/>
              </w:rPr>
              <w:t xml:space="preserve"> 26/27</w:t>
            </w:r>
            <w:r w:rsidR="00630C46">
              <w:rPr>
                <w:rFonts w:cs="Arial"/>
              </w:rPr>
              <w:t xml:space="preserve"> with a view to launching at least 4 topics.</w:t>
            </w:r>
            <w:r w:rsidR="000F2FB6">
              <w:rPr>
                <w:rFonts w:cs="Arial"/>
              </w:rPr>
              <w:t xml:space="preserve"> </w:t>
            </w:r>
          </w:p>
          <w:p w14:paraId="4AFCFB4F" w14:textId="03DB3B15" w:rsidR="00697BB6" w:rsidRDefault="001E66D1" w:rsidP="00083FF2">
            <w:pPr>
              <w:numPr>
                <w:ilvl w:val="0"/>
                <w:numId w:val="7"/>
              </w:numPr>
              <w:spacing w:before="120" w:after="120" w:line="264" w:lineRule="auto"/>
              <w:ind w:left="189" w:hanging="149"/>
              <w:rPr>
                <w:rFonts w:cs="Arial"/>
              </w:rPr>
            </w:pPr>
            <w:r>
              <w:rPr>
                <w:rFonts w:cs="Arial"/>
              </w:rPr>
              <w:t>Developed approach</w:t>
            </w:r>
            <w:r w:rsidR="00D839C5">
              <w:rPr>
                <w:rFonts w:cs="Arial"/>
              </w:rPr>
              <w:t xml:space="preserve"> for obtaining national pricing from suppliers </w:t>
            </w:r>
          </w:p>
          <w:p w14:paraId="7000A33B" w14:textId="7FF4FDBE" w:rsidR="00697BB6" w:rsidRPr="007E472B" w:rsidRDefault="00985209" w:rsidP="00083FF2">
            <w:pPr>
              <w:numPr>
                <w:ilvl w:val="0"/>
                <w:numId w:val="7"/>
              </w:numPr>
              <w:spacing w:before="120" w:after="120" w:line="264" w:lineRule="auto"/>
              <w:ind w:left="189" w:hanging="149"/>
              <w:rPr>
                <w:rFonts w:cs="Arial"/>
              </w:rPr>
            </w:pPr>
            <w:r>
              <w:rPr>
                <w:rFonts w:cs="Arial"/>
              </w:rPr>
              <w:t xml:space="preserve">Delivery groups set up to </w:t>
            </w:r>
            <w:r w:rsidR="000411BD">
              <w:rPr>
                <w:rFonts w:cs="Arial"/>
              </w:rPr>
              <w:t>consider implementation of topics</w:t>
            </w:r>
          </w:p>
        </w:tc>
        <w:tc>
          <w:tcPr>
            <w:tcW w:w="7088" w:type="dxa"/>
          </w:tcPr>
          <w:p w14:paraId="3374C3D9" w14:textId="629929C0" w:rsidR="00697BB6" w:rsidRDefault="00E753DC" w:rsidP="00083FF2">
            <w:pPr>
              <w:numPr>
                <w:ilvl w:val="0"/>
                <w:numId w:val="7"/>
              </w:numPr>
              <w:spacing w:before="120" w:after="120" w:line="264" w:lineRule="auto"/>
              <w:ind w:left="189" w:hanging="149"/>
              <w:rPr>
                <w:rFonts w:cs="Arial"/>
              </w:rPr>
            </w:pPr>
            <w:r>
              <w:rPr>
                <w:rFonts w:cs="Arial"/>
              </w:rPr>
              <w:t>R</w:t>
            </w:r>
            <w:r w:rsidR="00286C27">
              <w:rPr>
                <w:rFonts w:cs="Arial"/>
              </w:rPr>
              <w:t xml:space="preserve">equest </w:t>
            </w:r>
            <w:r>
              <w:rPr>
                <w:rFonts w:cs="Arial"/>
              </w:rPr>
              <w:t xml:space="preserve">ministerial </w:t>
            </w:r>
            <w:r w:rsidR="00286C27">
              <w:rPr>
                <w:rFonts w:cs="Arial"/>
              </w:rPr>
              <w:t xml:space="preserve">referral </w:t>
            </w:r>
            <w:r>
              <w:rPr>
                <w:rFonts w:cs="Arial"/>
              </w:rPr>
              <w:t>of</w:t>
            </w:r>
            <w:r w:rsidR="00286C27">
              <w:rPr>
                <w:rFonts w:cs="Arial"/>
              </w:rPr>
              <w:t xml:space="preserve"> NHAP topics</w:t>
            </w:r>
          </w:p>
          <w:p w14:paraId="72865F05" w14:textId="5FC423B3" w:rsidR="00BD5AE7" w:rsidRDefault="00A71BEF" w:rsidP="00083FF2">
            <w:pPr>
              <w:numPr>
                <w:ilvl w:val="0"/>
                <w:numId w:val="7"/>
              </w:numPr>
              <w:spacing w:before="120" w:after="120" w:line="264" w:lineRule="auto"/>
              <w:ind w:left="189" w:hanging="149"/>
              <w:rPr>
                <w:rFonts w:cs="Arial"/>
              </w:rPr>
            </w:pPr>
            <w:r>
              <w:rPr>
                <w:rFonts w:cs="Arial"/>
              </w:rPr>
              <w:t xml:space="preserve">Capture lessons learned from first TAs and ensure </w:t>
            </w:r>
            <w:r w:rsidR="00075B99">
              <w:rPr>
                <w:rFonts w:cs="Arial"/>
              </w:rPr>
              <w:t>they</w:t>
            </w:r>
            <w:r>
              <w:rPr>
                <w:rFonts w:cs="Arial"/>
              </w:rPr>
              <w:t xml:space="preserve"> inform BAU approach</w:t>
            </w:r>
          </w:p>
          <w:p w14:paraId="47B542A8" w14:textId="77777777" w:rsidR="00A71BEF" w:rsidRDefault="00622C82" w:rsidP="00083FF2">
            <w:pPr>
              <w:numPr>
                <w:ilvl w:val="0"/>
                <w:numId w:val="7"/>
              </w:numPr>
              <w:spacing w:before="120" w:after="120" w:line="264" w:lineRule="auto"/>
              <w:ind w:left="189" w:hanging="149"/>
              <w:rPr>
                <w:rFonts w:cs="Arial"/>
              </w:rPr>
            </w:pPr>
            <w:r>
              <w:rPr>
                <w:rFonts w:cs="Arial"/>
              </w:rPr>
              <w:t>Further s</w:t>
            </w:r>
            <w:r w:rsidR="005967C0">
              <w:rPr>
                <w:rFonts w:cs="Arial"/>
              </w:rPr>
              <w:t>treamline BAU topic selection approach</w:t>
            </w:r>
            <w:r w:rsidR="00B124AD">
              <w:rPr>
                <w:rFonts w:cs="Arial"/>
              </w:rPr>
              <w:t xml:space="preserve"> </w:t>
            </w:r>
          </w:p>
          <w:p w14:paraId="638304E5" w14:textId="30E9702E" w:rsidR="00697BB6" w:rsidRPr="00A60A03" w:rsidRDefault="00CF6899" w:rsidP="00083FF2">
            <w:pPr>
              <w:numPr>
                <w:ilvl w:val="0"/>
                <w:numId w:val="7"/>
              </w:numPr>
              <w:spacing w:before="120" w:after="120" w:line="264" w:lineRule="auto"/>
              <w:ind w:left="189" w:hanging="149"/>
              <w:rPr>
                <w:rFonts w:cs="Arial"/>
              </w:rPr>
            </w:pPr>
            <w:r>
              <w:rPr>
                <w:rFonts w:cs="Arial"/>
              </w:rPr>
              <w:t>Develop joint commercial principles</w:t>
            </w:r>
          </w:p>
        </w:tc>
      </w:tr>
    </w:tbl>
    <w:p w14:paraId="711742D2" w14:textId="3D9D36AA" w:rsidR="00FF1E89" w:rsidRDefault="00FF1E89">
      <w:r>
        <w:br w:type="page"/>
      </w:r>
    </w:p>
    <w:tbl>
      <w:tblPr>
        <w:tblStyle w:val="TableGrid"/>
        <w:tblW w:w="14454" w:type="dxa"/>
        <w:tblLayout w:type="fixed"/>
        <w:tblLook w:val="04A0" w:firstRow="1" w:lastRow="0" w:firstColumn="1" w:lastColumn="0" w:noHBand="0" w:noVBand="1"/>
      </w:tblPr>
      <w:tblGrid>
        <w:gridCol w:w="10915"/>
        <w:gridCol w:w="1276"/>
        <w:gridCol w:w="2263"/>
      </w:tblGrid>
      <w:tr w:rsidR="00697BB6" w14:paraId="0011359D" w14:textId="77777777" w:rsidTr="00083FF2">
        <w:trPr>
          <w:trHeight w:val="695"/>
        </w:trPr>
        <w:tc>
          <w:tcPr>
            <w:tcW w:w="10915" w:type="dxa"/>
            <w:tcBorders>
              <w:top w:val="single" w:sz="4" w:space="0" w:color="auto"/>
              <w:left w:val="nil"/>
              <w:bottom w:val="nil"/>
              <w:right w:val="single" w:sz="4" w:space="0" w:color="auto"/>
            </w:tcBorders>
            <w:vAlign w:val="center"/>
          </w:tcPr>
          <w:p w14:paraId="24390B86" w14:textId="4D745215" w:rsidR="00697BB6" w:rsidRPr="00563A89" w:rsidRDefault="00F12CCB" w:rsidP="00083FF2">
            <w:pPr>
              <w:pStyle w:val="Heading2"/>
              <w:ind w:left="567" w:hanging="567"/>
            </w:pPr>
            <w:bookmarkStart w:id="13" w:name="_Toc234391374"/>
            <w:r>
              <w:t>NICE / MHRA aligned pathway</w:t>
            </w:r>
            <w:bookmarkEnd w:id="13"/>
          </w:p>
        </w:tc>
        <w:tc>
          <w:tcPr>
            <w:tcW w:w="1276" w:type="dxa"/>
            <w:tcBorders>
              <w:left w:val="single" w:sz="4" w:space="0" w:color="auto"/>
            </w:tcBorders>
            <w:shd w:val="clear" w:color="auto" w:fill="00436C"/>
            <w:vAlign w:val="center"/>
          </w:tcPr>
          <w:p w14:paraId="3B7BC6EE" w14:textId="77777777" w:rsidR="00697BB6" w:rsidRPr="002F1968" w:rsidRDefault="00697BB6" w:rsidP="00083FF2">
            <w:pPr>
              <w:spacing w:after="0"/>
              <w:jc w:val="right"/>
              <w:rPr>
                <w:b/>
                <w:bCs/>
              </w:rPr>
            </w:pPr>
            <w:r>
              <w:rPr>
                <w:b/>
                <w:bCs/>
              </w:rPr>
              <w:t>Status</w:t>
            </w:r>
            <w:r w:rsidRPr="002F1968">
              <w:rPr>
                <w:b/>
                <w:bCs/>
              </w:rPr>
              <w:t>:</w:t>
            </w:r>
          </w:p>
        </w:tc>
        <w:tc>
          <w:tcPr>
            <w:tcW w:w="2263" w:type="dxa"/>
            <w:shd w:val="clear" w:color="auto" w:fill="CDE3DA"/>
            <w:vAlign w:val="center"/>
          </w:tcPr>
          <w:p w14:paraId="168B7B98" w14:textId="77777777" w:rsidR="00697BB6" w:rsidRPr="008025FD" w:rsidRDefault="00697BB6" w:rsidP="00083FF2">
            <w:pPr>
              <w:spacing w:after="0"/>
              <w:jc w:val="center"/>
              <w:rPr>
                <w:b/>
                <w:bCs/>
              </w:rPr>
            </w:pPr>
            <w:r>
              <w:rPr>
                <w:b/>
                <w:bCs/>
              </w:rPr>
              <w:t>Green</w:t>
            </w:r>
          </w:p>
        </w:tc>
      </w:tr>
    </w:tbl>
    <w:p w14:paraId="57CD18EA" w14:textId="77777777" w:rsidR="00517684" w:rsidRDefault="00517684" w:rsidP="00517684">
      <w:pPr>
        <w:pStyle w:val="Heading3"/>
      </w:pPr>
      <w:r>
        <w:t>Project overview</w:t>
      </w:r>
    </w:p>
    <w:p w14:paraId="5CF13AE8" w14:textId="310E0C18" w:rsidR="00517684" w:rsidRDefault="005C6208" w:rsidP="00517684">
      <w:r>
        <w:t xml:space="preserve">The project aims to </w:t>
      </w:r>
      <w:r w:rsidRPr="00572C44">
        <w:t>minimise delays in patient access to medicines through optional integrated scientific advice and improving alignment between MHRA regulatory decisions and NICE guidance publication</w:t>
      </w:r>
      <w:r w:rsidR="00517684" w:rsidRPr="00FE1A18">
        <w:t>.</w:t>
      </w:r>
    </w:p>
    <w:p w14:paraId="2F426EC6" w14:textId="77777777" w:rsidR="00697BB6" w:rsidRDefault="00697BB6" w:rsidP="00697BB6">
      <w:pPr>
        <w:pStyle w:val="Heading3"/>
      </w:pPr>
      <w:r>
        <w:t>Highlights</w:t>
      </w:r>
    </w:p>
    <w:tbl>
      <w:tblPr>
        <w:tblStyle w:val="TableGrid"/>
        <w:tblW w:w="14454" w:type="dxa"/>
        <w:tblLook w:val="04A0" w:firstRow="1" w:lastRow="0" w:firstColumn="1" w:lastColumn="0" w:noHBand="0" w:noVBand="1"/>
      </w:tblPr>
      <w:tblGrid>
        <w:gridCol w:w="6941"/>
        <w:gridCol w:w="7513"/>
      </w:tblGrid>
      <w:tr w:rsidR="00697BB6" w:rsidRPr="008D47BA" w14:paraId="754EE326" w14:textId="77777777" w:rsidTr="00083FF2">
        <w:trPr>
          <w:tblHeader/>
        </w:trPr>
        <w:tc>
          <w:tcPr>
            <w:tcW w:w="6941" w:type="dxa"/>
            <w:shd w:val="clear" w:color="auto" w:fill="00436C" w:themeFill="accent2"/>
          </w:tcPr>
          <w:p w14:paraId="22A07840" w14:textId="77777777" w:rsidR="00697BB6" w:rsidRDefault="00697BB6" w:rsidP="00083FF2">
            <w:pPr>
              <w:pStyle w:val="Paragraph"/>
              <w:spacing w:before="120" w:after="120" w:line="240" w:lineRule="auto"/>
              <w:rPr>
                <w:b/>
                <w:bCs/>
                <w:color w:val="FFFFFF" w:themeColor="background1"/>
                <w:lang w:eastAsia="en-GB"/>
              </w:rPr>
            </w:pPr>
            <w:r>
              <w:rPr>
                <w:b/>
                <w:bCs/>
                <w:color w:val="FFFFFF" w:themeColor="background1"/>
                <w:lang w:eastAsia="en-GB"/>
              </w:rPr>
              <w:t>Progress and achievements</w:t>
            </w:r>
          </w:p>
        </w:tc>
        <w:tc>
          <w:tcPr>
            <w:tcW w:w="7513" w:type="dxa"/>
            <w:shd w:val="clear" w:color="auto" w:fill="00436C" w:themeFill="accent2"/>
          </w:tcPr>
          <w:p w14:paraId="0131F9F5" w14:textId="77777777" w:rsidR="00697BB6" w:rsidRPr="008D47BA" w:rsidRDefault="00697BB6" w:rsidP="00083FF2">
            <w:pPr>
              <w:pStyle w:val="Paragraph"/>
              <w:spacing w:before="120" w:after="120" w:line="240" w:lineRule="auto"/>
              <w:rPr>
                <w:color w:val="FFFFFF" w:themeColor="background1"/>
                <w:lang w:eastAsia="en-GB"/>
              </w:rPr>
            </w:pPr>
            <w:r>
              <w:rPr>
                <w:b/>
                <w:bCs/>
                <w:color w:val="FFFFFF" w:themeColor="background1"/>
                <w:lang w:eastAsia="en-GB"/>
              </w:rPr>
              <w:t>Key next steps</w:t>
            </w:r>
          </w:p>
        </w:tc>
      </w:tr>
      <w:tr w:rsidR="00697BB6" w:rsidRPr="008D47BA" w14:paraId="590996F7" w14:textId="77777777" w:rsidTr="00083FF2">
        <w:trPr>
          <w:trHeight w:val="365"/>
        </w:trPr>
        <w:tc>
          <w:tcPr>
            <w:tcW w:w="6941" w:type="dxa"/>
          </w:tcPr>
          <w:p w14:paraId="7BBC467A" w14:textId="77777777" w:rsidR="00697BB6" w:rsidRDefault="00303B03" w:rsidP="00083FF2">
            <w:pPr>
              <w:numPr>
                <w:ilvl w:val="0"/>
                <w:numId w:val="7"/>
              </w:numPr>
              <w:spacing w:before="120" w:after="120" w:line="264" w:lineRule="auto"/>
              <w:ind w:left="189" w:hanging="149"/>
              <w:rPr>
                <w:rFonts w:cs="Arial"/>
              </w:rPr>
            </w:pPr>
            <w:r>
              <w:rPr>
                <w:rFonts w:cs="Arial"/>
              </w:rPr>
              <w:t xml:space="preserve">Agreed 3 key areas for </w:t>
            </w:r>
            <w:r w:rsidR="00FD23F0">
              <w:rPr>
                <w:rFonts w:cs="Arial"/>
              </w:rPr>
              <w:t>development during 26/27:</w:t>
            </w:r>
          </w:p>
          <w:p w14:paraId="15DEE1FF" w14:textId="6A9477CD" w:rsidR="00CE3FC2" w:rsidRDefault="00FD23F0" w:rsidP="00217440">
            <w:pPr>
              <w:numPr>
                <w:ilvl w:val="0"/>
                <w:numId w:val="7"/>
              </w:numPr>
              <w:spacing w:before="120" w:after="120" w:line="264" w:lineRule="auto"/>
              <w:ind w:left="189" w:hanging="149"/>
              <w:rPr>
                <w:rFonts w:cs="Arial"/>
              </w:rPr>
            </w:pPr>
            <w:r>
              <w:rPr>
                <w:rFonts w:cs="Arial"/>
              </w:rPr>
              <w:t xml:space="preserve">Metrics – tracking Aligned Pathway topics and reasons for </w:t>
            </w:r>
            <w:r w:rsidR="00C32626">
              <w:rPr>
                <w:rFonts w:cs="Arial"/>
              </w:rPr>
              <w:t>adherence to inform improvements</w:t>
            </w:r>
          </w:p>
          <w:p w14:paraId="55E9A92C" w14:textId="03903944" w:rsidR="00CE3FC2" w:rsidRPr="00CE3FC2" w:rsidRDefault="00C32626" w:rsidP="00217440">
            <w:pPr>
              <w:numPr>
                <w:ilvl w:val="0"/>
                <w:numId w:val="7"/>
              </w:numPr>
              <w:spacing w:before="120" w:after="120" w:line="264" w:lineRule="auto"/>
              <w:ind w:left="189" w:hanging="149"/>
              <w:rPr>
                <w:rFonts w:cs="Arial"/>
              </w:rPr>
            </w:pPr>
            <w:r>
              <w:rPr>
                <w:rFonts w:cs="Arial"/>
              </w:rPr>
              <w:t xml:space="preserve">Horizon scanning – improve how information gained through joint NICE/MHRA pipeline meetings </w:t>
            </w:r>
            <w:r w:rsidR="007B14D5">
              <w:rPr>
                <w:rFonts w:cs="Arial"/>
              </w:rPr>
              <w:t>links with other HS efforts</w:t>
            </w:r>
          </w:p>
          <w:p w14:paraId="6E6D1D04" w14:textId="41E22C65" w:rsidR="00697BB6" w:rsidRPr="007E472B" w:rsidRDefault="007B14D5" w:rsidP="00083FF2">
            <w:pPr>
              <w:numPr>
                <w:ilvl w:val="0"/>
                <w:numId w:val="7"/>
              </w:numPr>
              <w:spacing w:before="120" w:after="120" w:line="264" w:lineRule="auto"/>
              <w:ind w:left="189" w:hanging="149"/>
              <w:rPr>
                <w:rFonts w:cs="Arial"/>
              </w:rPr>
            </w:pPr>
            <w:r>
              <w:rPr>
                <w:rFonts w:cs="Arial"/>
              </w:rPr>
              <w:t xml:space="preserve">Scoping </w:t>
            </w:r>
            <w:r w:rsidR="00DB464C">
              <w:rPr>
                <w:rFonts w:cs="Arial"/>
              </w:rPr>
              <w:t>–</w:t>
            </w:r>
            <w:r>
              <w:rPr>
                <w:rFonts w:cs="Arial"/>
              </w:rPr>
              <w:t xml:space="preserve"> </w:t>
            </w:r>
            <w:r w:rsidR="00DB464C">
              <w:rPr>
                <w:rFonts w:cs="Arial"/>
              </w:rPr>
              <w:t xml:space="preserve">efficiencies to scoping process which </w:t>
            </w:r>
            <w:r w:rsidR="0067276C">
              <w:rPr>
                <w:rFonts w:cs="Arial"/>
              </w:rPr>
              <w:t>will contribute to increase in number of potentially optimal topics</w:t>
            </w:r>
          </w:p>
        </w:tc>
        <w:tc>
          <w:tcPr>
            <w:tcW w:w="7513" w:type="dxa"/>
          </w:tcPr>
          <w:p w14:paraId="7E521EF4" w14:textId="4FE161B3" w:rsidR="00D51677" w:rsidRDefault="009D7D79" w:rsidP="00083FF2">
            <w:pPr>
              <w:numPr>
                <w:ilvl w:val="0"/>
                <w:numId w:val="7"/>
              </w:numPr>
              <w:spacing w:before="120" w:after="120" w:line="264" w:lineRule="auto"/>
              <w:ind w:left="189" w:hanging="149"/>
              <w:rPr>
                <w:rFonts w:cs="Arial"/>
              </w:rPr>
            </w:pPr>
            <w:r>
              <w:rPr>
                <w:rFonts w:cs="Arial"/>
              </w:rPr>
              <w:t>Scoping efficiencies work starting in July 26</w:t>
            </w:r>
          </w:p>
          <w:p w14:paraId="1F8D39FB" w14:textId="70647028" w:rsidR="00697BB6" w:rsidRDefault="006A3A4A" w:rsidP="00D51677">
            <w:pPr>
              <w:numPr>
                <w:ilvl w:val="0"/>
                <w:numId w:val="7"/>
              </w:numPr>
              <w:spacing w:before="120" w:after="120" w:line="264" w:lineRule="auto"/>
              <w:ind w:left="189" w:hanging="149"/>
              <w:rPr>
                <w:rFonts w:cs="Arial"/>
              </w:rPr>
            </w:pPr>
            <w:r>
              <w:rPr>
                <w:rFonts w:cs="Arial"/>
              </w:rPr>
              <w:t>Link with WLA on potential disease scoping work as will have impact on scoping efficiencies</w:t>
            </w:r>
          </w:p>
          <w:p w14:paraId="4D7DDA46" w14:textId="77777777" w:rsidR="006A3A4A" w:rsidRDefault="00561FCB" w:rsidP="00083FF2">
            <w:pPr>
              <w:numPr>
                <w:ilvl w:val="0"/>
                <w:numId w:val="7"/>
              </w:numPr>
              <w:spacing w:before="120" w:after="120" w:line="264" w:lineRule="auto"/>
              <w:ind w:left="189" w:hanging="149"/>
              <w:rPr>
                <w:rFonts w:cs="Arial"/>
              </w:rPr>
            </w:pPr>
            <w:r>
              <w:rPr>
                <w:rFonts w:cs="Arial"/>
              </w:rPr>
              <w:t>Comms process for same time publication topics</w:t>
            </w:r>
          </w:p>
          <w:p w14:paraId="6AFF23B4" w14:textId="0B1F20D8" w:rsidR="00697BB6" w:rsidRPr="00A60A03" w:rsidRDefault="00262675" w:rsidP="00083FF2">
            <w:pPr>
              <w:numPr>
                <w:ilvl w:val="0"/>
                <w:numId w:val="7"/>
              </w:numPr>
              <w:spacing w:before="120" w:after="120" w:line="264" w:lineRule="auto"/>
              <w:ind w:left="189" w:hanging="149"/>
              <w:rPr>
                <w:rFonts w:cs="Arial"/>
              </w:rPr>
            </w:pPr>
            <w:r>
              <w:rPr>
                <w:rFonts w:cs="Arial"/>
              </w:rPr>
              <w:t>1</w:t>
            </w:r>
            <w:r w:rsidRPr="00217440">
              <w:rPr>
                <w:rFonts w:cs="Arial"/>
                <w:vertAlign w:val="superscript"/>
              </w:rPr>
              <w:t>st</w:t>
            </w:r>
            <w:r>
              <w:rPr>
                <w:rFonts w:cs="Arial"/>
              </w:rPr>
              <w:t xml:space="preserve"> joint pipeline meeting of 26/27 in late June</w:t>
            </w:r>
          </w:p>
        </w:tc>
      </w:tr>
    </w:tbl>
    <w:p w14:paraId="79C9B8C7" w14:textId="77777777" w:rsidR="00697BB6" w:rsidRDefault="00697BB6" w:rsidP="00697BB6">
      <w:r>
        <w:br w:type="page"/>
      </w:r>
    </w:p>
    <w:tbl>
      <w:tblPr>
        <w:tblStyle w:val="TableGrid"/>
        <w:tblW w:w="14454" w:type="dxa"/>
        <w:tblLayout w:type="fixed"/>
        <w:tblLook w:val="04A0" w:firstRow="1" w:lastRow="0" w:firstColumn="1" w:lastColumn="0" w:noHBand="0" w:noVBand="1"/>
      </w:tblPr>
      <w:tblGrid>
        <w:gridCol w:w="10915"/>
        <w:gridCol w:w="1276"/>
        <w:gridCol w:w="2263"/>
      </w:tblGrid>
      <w:tr w:rsidR="00697BB6" w14:paraId="1D353EF3" w14:textId="77777777" w:rsidTr="00083FF2">
        <w:trPr>
          <w:trHeight w:val="695"/>
        </w:trPr>
        <w:tc>
          <w:tcPr>
            <w:tcW w:w="10915" w:type="dxa"/>
            <w:tcBorders>
              <w:top w:val="single" w:sz="4" w:space="0" w:color="auto"/>
              <w:left w:val="nil"/>
              <w:bottom w:val="nil"/>
              <w:right w:val="single" w:sz="4" w:space="0" w:color="auto"/>
            </w:tcBorders>
            <w:vAlign w:val="center"/>
          </w:tcPr>
          <w:p w14:paraId="4AC2AF4A" w14:textId="36851613" w:rsidR="00697BB6" w:rsidRPr="00563A89" w:rsidRDefault="00F12CCB" w:rsidP="00083FF2">
            <w:pPr>
              <w:pStyle w:val="Heading2"/>
              <w:ind w:left="567" w:hanging="567"/>
            </w:pPr>
            <w:bookmarkStart w:id="14" w:name="_Toc234391375"/>
            <w:r>
              <w:t>Common commercial approach</w:t>
            </w:r>
            <w:bookmarkEnd w:id="14"/>
          </w:p>
        </w:tc>
        <w:tc>
          <w:tcPr>
            <w:tcW w:w="1276" w:type="dxa"/>
            <w:tcBorders>
              <w:left w:val="single" w:sz="4" w:space="0" w:color="auto"/>
            </w:tcBorders>
            <w:shd w:val="clear" w:color="auto" w:fill="00436C"/>
            <w:vAlign w:val="center"/>
          </w:tcPr>
          <w:p w14:paraId="29CB939C" w14:textId="77777777" w:rsidR="00697BB6" w:rsidRPr="002F1968" w:rsidRDefault="00697BB6" w:rsidP="00083FF2">
            <w:pPr>
              <w:spacing w:after="0"/>
              <w:jc w:val="right"/>
              <w:rPr>
                <w:b/>
                <w:bCs/>
              </w:rPr>
            </w:pPr>
            <w:r>
              <w:rPr>
                <w:b/>
                <w:bCs/>
              </w:rPr>
              <w:t>Status</w:t>
            </w:r>
            <w:r w:rsidRPr="002F1968">
              <w:rPr>
                <w:b/>
                <w:bCs/>
              </w:rPr>
              <w:t>:</w:t>
            </w:r>
          </w:p>
        </w:tc>
        <w:tc>
          <w:tcPr>
            <w:tcW w:w="2263" w:type="dxa"/>
            <w:shd w:val="clear" w:color="auto" w:fill="CDE3DA"/>
            <w:vAlign w:val="center"/>
          </w:tcPr>
          <w:p w14:paraId="01EA8677" w14:textId="77777777" w:rsidR="00697BB6" w:rsidRPr="008025FD" w:rsidRDefault="00697BB6" w:rsidP="00083FF2">
            <w:pPr>
              <w:spacing w:after="0"/>
              <w:jc w:val="center"/>
              <w:rPr>
                <w:b/>
                <w:bCs/>
              </w:rPr>
            </w:pPr>
            <w:r>
              <w:rPr>
                <w:b/>
                <w:bCs/>
              </w:rPr>
              <w:t>Green</w:t>
            </w:r>
          </w:p>
        </w:tc>
      </w:tr>
    </w:tbl>
    <w:p w14:paraId="6943598F" w14:textId="0EA025D3" w:rsidR="00693C10" w:rsidRDefault="00916A75" w:rsidP="00697BB6">
      <w:pPr>
        <w:pStyle w:val="Heading3"/>
      </w:pPr>
      <w:r>
        <w:t>Project overview</w:t>
      </w:r>
    </w:p>
    <w:p w14:paraId="51EE5F2A" w14:textId="3E26CBD8" w:rsidR="004B28E0" w:rsidRDefault="00EC759B" w:rsidP="004B28E0">
      <w:r w:rsidRPr="00037395">
        <w:t xml:space="preserve">NICE </w:t>
      </w:r>
      <w:r w:rsidRPr="00311E4D">
        <w:t>undertakes</w:t>
      </w:r>
      <w:r w:rsidRPr="00037395">
        <w:t xml:space="preserve"> commercial activity and liaison to support its technology appraisal (TA) and Highly Specialised Technologies (HST) programmes. Following developments in the 10-year plan, there is an increasing need for this expertise to be applied to other guidance producing areas, including healthtech via the National HealthTech Access Programme, and guidelines via the Whole Lifecycle Approach (WLA)/Biosimilar Taskforce</w:t>
      </w:r>
      <w:r w:rsidR="00CC15ED" w:rsidRPr="00440376">
        <w:t>.</w:t>
      </w:r>
    </w:p>
    <w:p w14:paraId="1EBCC134" w14:textId="48E3E134" w:rsidR="00697BB6" w:rsidRDefault="00697BB6" w:rsidP="00697BB6">
      <w:pPr>
        <w:pStyle w:val="Heading3"/>
      </w:pPr>
      <w:r>
        <w:t>Highlights</w:t>
      </w:r>
    </w:p>
    <w:tbl>
      <w:tblPr>
        <w:tblStyle w:val="TableGrid"/>
        <w:tblW w:w="14454" w:type="dxa"/>
        <w:tblLook w:val="04A0" w:firstRow="1" w:lastRow="0" w:firstColumn="1" w:lastColumn="0" w:noHBand="0" w:noVBand="1"/>
      </w:tblPr>
      <w:tblGrid>
        <w:gridCol w:w="6658"/>
        <w:gridCol w:w="7796"/>
      </w:tblGrid>
      <w:tr w:rsidR="00697BB6" w:rsidRPr="008D47BA" w14:paraId="2276527E" w14:textId="77777777" w:rsidTr="008A467E">
        <w:trPr>
          <w:tblHeader/>
        </w:trPr>
        <w:tc>
          <w:tcPr>
            <w:tcW w:w="6658" w:type="dxa"/>
            <w:shd w:val="clear" w:color="auto" w:fill="00436C" w:themeFill="accent2"/>
          </w:tcPr>
          <w:p w14:paraId="4A4CB8F6" w14:textId="77777777" w:rsidR="00697BB6" w:rsidRDefault="00697BB6" w:rsidP="00083FF2">
            <w:pPr>
              <w:pStyle w:val="Paragraph"/>
              <w:spacing w:before="120" w:after="120" w:line="240" w:lineRule="auto"/>
              <w:rPr>
                <w:b/>
                <w:bCs/>
                <w:color w:val="FFFFFF" w:themeColor="background1"/>
                <w:lang w:eastAsia="en-GB"/>
              </w:rPr>
            </w:pPr>
            <w:r>
              <w:rPr>
                <w:b/>
                <w:bCs/>
                <w:color w:val="FFFFFF" w:themeColor="background1"/>
                <w:lang w:eastAsia="en-GB"/>
              </w:rPr>
              <w:t>Progress and achievements</w:t>
            </w:r>
          </w:p>
        </w:tc>
        <w:tc>
          <w:tcPr>
            <w:tcW w:w="7796" w:type="dxa"/>
            <w:shd w:val="clear" w:color="auto" w:fill="00436C" w:themeFill="accent2"/>
          </w:tcPr>
          <w:p w14:paraId="7C60A3BC" w14:textId="77777777" w:rsidR="00697BB6" w:rsidRPr="008D47BA" w:rsidRDefault="00697BB6" w:rsidP="00083FF2">
            <w:pPr>
              <w:pStyle w:val="Paragraph"/>
              <w:spacing w:before="120" w:after="120" w:line="240" w:lineRule="auto"/>
              <w:rPr>
                <w:color w:val="FFFFFF" w:themeColor="background1"/>
                <w:lang w:eastAsia="en-GB"/>
              </w:rPr>
            </w:pPr>
            <w:r>
              <w:rPr>
                <w:b/>
                <w:bCs/>
                <w:color w:val="FFFFFF" w:themeColor="background1"/>
                <w:lang w:eastAsia="en-GB"/>
              </w:rPr>
              <w:t>Key next steps</w:t>
            </w:r>
          </w:p>
        </w:tc>
      </w:tr>
      <w:tr w:rsidR="00697BB6" w:rsidRPr="008D47BA" w14:paraId="160E0F13" w14:textId="77777777" w:rsidTr="008A467E">
        <w:trPr>
          <w:trHeight w:val="365"/>
        </w:trPr>
        <w:tc>
          <w:tcPr>
            <w:tcW w:w="6658" w:type="dxa"/>
          </w:tcPr>
          <w:p w14:paraId="19072505" w14:textId="66A4CD06" w:rsidR="00697BB6" w:rsidRDefault="006A4E3C" w:rsidP="00083FF2">
            <w:pPr>
              <w:numPr>
                <w:ilvl w:val="0"/>
                <w:numId w:val="7"/>
              </w:numPr>
              <w:spacing w:before="120" w:after="120" w:line="264" w:lineRule="auto"/>
              <w:ind w:left="189" w:hanging="149"/>
              <w:rPr>
                <w:rFonts w:cs="Arial"/>
              </w:rPr>
            </w:pPr>
            <w:r>
              <w:rPr>
                <w:rFonts w:cs="Arial"/>
              </w:rPr>
              <w:t>Medic</w:t>
            </w:r>
            <w:r w:rsidR="002E27E3">
              <w:rPr>
                <w:rFonts w:cs="Arial"/>
              </w:rPr>
              <w:t>ines and Medical Devices (</w:t>
            </w:r>
            <w:r w:rsidR="00D6017A">
              <w:rPr>
                <w:rFonts w:cs="Arial"/>
              </w:rPr>
              <w:t>MMD</w:t>
            </w:r>
            <w:r w:rsidR="002E27E3">
              <w:rPr>
                <w:rFonts w:cs="Arial"/>
              </w:rPr>
              <w:t>)</w:t>
            </w:r>
            <w:r w:rsidR="00D6017A">
              <w:rPr>
                <w:rFonts w:cs="Arial"/>
              </w:rPr>
              <w:t xml:space="preserve"> Access Initiative Horizon Scanning Advisory Board (</w:t>
            </w:r>
            <w:r w:rsidR="00DC1237">
              <w:rPr>
                <w:rFonts w:cs="Arial"/>
              </w:rPr>
              <w:t>1</w:t>
            </w:r>
            <w:r w:rsidR="00BC3A1F">
              <w:rPr>
                <w:rFonts w:cs="Arial"/>
              </w:rPr>
              <w:t>0</w:t>
            </w:r>
            <w:r w:rsidR="00BC3A1F" w:rsidRPr="009533BC">
              <w:rPr>
                <w:rFonts w:cs="Arial"/>
                <w:vertAlign w:val="superscript"/>
              </w:rPr>
              <w:t>th</w:t>
            </w:r>
            <w:r w:rsidR="00BC3A1F">
              <w:rPr>
                <w:rFonts w:cs="Arial"/>
              </w:rPr>
              <w:t xml:space="preserve"> June 2026)</w:t>
            </w:r>
          </w:p>
          <w:p w14:paraId="5B93028B" w14:textId="1E5A0178" w:rsidR="004C5D8B" w:rsidRDefault="00F7117F" w:rsidP="00083FF2">
            <w:pPr>
              <w:numPr>
                <w:ilvl w:val="0"/>
                <w:numId w:val="7"/>
              </w:numPr>
              <w:spacing w:before="120" w:after="120" w:line="264" w:lineRule="auto"/>
              <w:ind w:left="189" w:hanging="149"/>
              <w:rPr>
                <w:rFonts w:cs="Arial"/>
              </w:rPr>
            </w:pPr>
            <w:r>
              <w:rPr>
                <w:rFonts w:cs="Arial"/>
              </w:rPr>
              <w:t xml:space="preserve">Biosimilar and </w:t>
            </w:r>
            <w:r w:rsidR="002E27E3">
              <w:rPr>
                <w:rFonts w:cs="Arial"/>
              </w:rPr>
              <w:t>Health Technology Assessment (</w:t>
            </w:r>
            <w:r>
              <w:rPr>
                <w:rFonts w:cs="Arial"/>
              </w:rPr>
              <w:t>HTA</w:t>
            </w:r>
            <w:r w:rsidR="002E27E3">
              <w:rPr>
                <w:rFonts w:cs="Arial"/>
              </w:rPr>
              <w:t>)</w:t>
            </w:r>
            <w:r>
              <w:rPr>
                <w:rFonts w:cs="Arial"/>
              </w:rPr>
              <w:t xml:space="preserve"> workshop report sent to Medicines UK (28</w:t>
            </w:r>
            <w:r w:rsidRPr="009533BC">
              <w:rPr>
                <w:rFonts w:cs="Arial"/>
                <w:vertAlign w:val="superscript"/>
              </w:rPr>
              <w:t>th</w:t>
            </w:r>
            <w:r>
              <w:rPr>
                <w:rFonts w:cs="Arial"/>
              </w:rPr>
              <w:t xml:space="preserve"> May 2026)</w:t>
            </w:r>
          </w:p>
          <w:p w14:paraId="21563591" w14:textId="68AF5650" w:rsidR="001B4694" w:rsidRDefault="001B4694" w:rsidP="00083FF2">
            <w:pPr>
              <w:numPr>
                <w:ilvl w:val="0"/>
                <w:numId w:val="7"/>
              </w:numPr>
              <w:spacing w:before="120" w:after="120" w:line="264" w:lineRule="auto"/>
              <w:ind w:left="189" w:hanging="149"/>
              <w:rPr>
                <w:rFonts w:cs="Arial"/>
              </w:rPr>
            </w:pPr>
            <w:r>
              <w:rPr>
                <w:rFonts w:cs="Arial"/>
              </w:rPr>
              <w:t xml:space="preserve">Biosimilar </w:t>
            </w:r>
            <w:r w:rsidR="007A68F5">
              <w:rPr>
                <w:rFonts w:cs="Arial"/>
              </w:rPr>
              <w:t xml:space="preserve">guidance </w:t>
            </w:r>
            <w:r>
              <w:rPr>
                <w:rFonts w:cs="Arial"/>
              </w:rPr>
              <w:t>product development project kicked-off internally with</w:t>
            </w:r>
            <w:r w:rsidR="004E666F">
              <w:rPr>
                <w:rFonts w:cs="Arial"/>
              </w:rPr>
              <w:t xml:space="preserve">in </w:t>
            </w:r>
            <w:r>
              <w:rPr>
                <w:rFonts w:cs="Arial"/>
              </w:rPr>
              <w:t>NICE</w:t>
            </w:r>
          </w:p>
          <w:p w14:paraId="4F5E4BB3" w14:textId="70681177" w:rsidR="00B674A9" w:rsidRDefault="00B674A9" w:rsidP="00083FF2">
            <w:pPr>
              <w:numPr>
                <w:ilvl w:val="0"/>
                <w:numId w:val="7"/>
              </w:numPr>
              <w:spacing w:before="120" w:after="120" w:line="264" w:lineRule="auto"/>
              <w:ind w:left="189" w:hanging="149"/>
              <w:rPr>
                <w:rFonts w:cs="Arial"/>
              </w:rPr>
            </w:pPr>
            <w:r>
              <w:rPr>
                <w:rFonts w:cs="Arial"/>
              </w:rPr>
              <w:t xml:space="preserve">Engagement in US-UK </w:t>
            </w:r>
            <w:r w:rsidR="00CE16A6">
              <w:rPr>
                <w:rFonts w:cs="Arial"/>
              </w:rPr>
              <w:t xml:space="preserve">policy sprints </w:t>
            </w:r>
            <w:r w:rsidR="00FE6CC3">
              <w:rPr>
                <w:rFonts w:cs="Arial"/>
              </w:rPr>
              <w:t>which will include a number of short-term pilots and medium</w:t>
            </w:r>
            <w:r w:rsidR="00F16CEB">
              <w:rPr>
                <w:rFonts w:cs="Arial"/>
              </w:rPr>
              <w:t>-</w:t>
            </w:r>
            <w:r w:rsidR="00FE6CC3">
              <w:rPr>
                <w:rFonts w:cs="Arial"/>
              </w:rPr>
              <w:t xml:space="preserve">term commitments </w:t>
            </w:r>
          </w:p>
          <w:p w14:paraId="30477488" w14:textId="08F96A52" w:rsidR="00B674A9" w:rsidRPr="007E472B" w:rsidRDefault="00024070" w:rsidP="00083FF2">
            <w:pPr>
              <w:numPr>
                <w:ilvl w:val="0"/>
                <w:numId w:val="7"/>
              </w:numPr>
              <w:spacing w:before="120" w:after="120" w:line="264" w:lineRule="auto"/>
              <w:ind w:left="189" w:hanging="149"/>
              <w:rPr>
                <w:rFonts w:cs="Arial"/>
              </w:rPr>
            </w:pPr>
            <w:r>
              <w:rPr>
                <w:rFonts w:cs="Arial"/>
              </w:rPr>
              <w:t xml:space="preserve">Engagement with guidelines colleagues to </w:t>
            </w:r>
            <w:r w:rsidR="00D902DC">
              <w:rPr>
                <w:rFonts w:cs="Arial"/>
              </w:rPr>
              <w:t>provide support for the appropriate use of confidential pricing information</w:t>
            </w:r>
            <w:r w:rsidR="00A21332">
              <w:rPr>
                <w:rFonts w:cs="Arial"/>
              </w:rPr>
              <w:t xml:space="preserve"> </w:t>
            </w:r>
          </w:p>
        </w:tc>
        <w:tc>
          <w:tcPr>
            <w:tcW w:w="7796" w:type="dxa"/>
          </w:tcPr>
          <w:p w14:paraId="06AB8482" w14:textId="0345F9FA" w:rsidR="00BB4113" w:rsidRDefault="00BB4113" w:rsidP="001F6543">
            <w:pPr>
              <w:numPr>
                <w:ilvl w:val="0"/>
                <w:numId w:val="7"/>
              </w:numPr>
              <w:spacing w:before="120" w:after="120" w:line="264" w:lineRule="auto"/>
              <w:ind w:left="189" w:hanging="149"/>
              <w:rPr>
                <w:rFonts w:cs="Arial"/>
              </w:rPr>
            </w:pPr>
            <w:r>
              <w:rPr>
                <w:rFonts w:cs="Arial"/>
              </w:rPr>
              <w:t xml:space="preserve">Continue to engage in Biosimilar taskforce </w:t>
            </w:r>
            <w:r w:rsidR="001F6543">
              <w:rPr>
                <w:rFonts w:cs="Arial"/>
              </w:rPr>
              <w:t xml:space="preserve">and undertake </w:t>
            </w:r>
            <w:r w:rsidR="002E27E3">
              <w:rPr>
                <w:rFonts w:cs="Arial"/>
              </w:rPr>
              <w:t>Continuous Quality Improvement (</w:t>
            </w:r>
            <w:r w:rsidR="001F6543">
              <w:rPr>
                <w:rFonts w:cs="Arial"/>
              </w:rPr>
              <w:t>CQI</w:t>
            </w:r>
            <w:r w:rsidR="002E27E3">
              <w:rPr>
                <w:rFonts w:cs="Arial"/>
              </w:rPr>
              <w:t>)</w:t>
            </w:r>
            <w:r w:rsidR="001F6543">
              <w:rPr>
                <w:rFonts w:cs="Arial"/>
              </w:rPr>
              <w:t xml:space="preserve"> commercial workstream</w:t>
            </w:r>
            <w:r w:rsidR="003727D8">
              <w:rPr>
                <w:rFonts w:cs="Arial"/>
              </w:rPr>
              <w:t xml:space="preserve"> to address issues identified in HTA workshop report </w:t>
            </w:r>
          </w:p>
          <w:p w14:paraId="0ADE173E" w14:textId="77777777" w:rsidR="003727D8" w:rsidRDefault="003727D8" w:rsidP="001F6543">
            <w:pPr>
              <w:numPr>
                <w:ilvl w:val="0"/>
                <w:numId w:val="7"/>
              </w:numPr>
              <w:spacing w:before="120" w:after="120" w:line="264" w:lineRule="auto"/>
              <w:ind w:left="189" w:hanging="149"/>
              <w:rPr>
                <w:rFonts w:cs="Arial"/>
              </w:rPr>
            </w:pPr>
            <w:r>
              <w:rPr>
                <w:rFonts w:cs="Arial"/>
              </w:rPr>
              <w:t>Develop biosimilar guidance process and identify potential candidates</w:t>
            </w:r>
            <w:r w:rsidR="001F6543">
              <w:rPr>
                <w:rFonts w:cs="Arial"/>
              </w:rPr>
              <w:t xml:space="preserve"> </w:t>
            </w:r>
          </w:p>
          <w:p w14:paraId="0A37E32B" w14:textId="77777777" w:rsidR="00557367" w:rsidRDefault="00633148" w:rsidP="007C3893">
            <w:pPr>
              <w:numPr>
                <w:ilvl w:val="0"/>
                <w:numId w:val="7"/>
              </w:numPr>
              <w:spacing w:before="120" w:after="120" w:line="264" w:lineRule="auto"/>
              <w:ind w:left="189" w:hanging="149"/>
              <w:rPr>
                <w:rFonts w:cs="Arial"/>
              </w:rPr>
            </w:pPr>
            <w:r>
              <w:rPr>
                <w:rFonts w:cs="Arial"/>
              </w:rPr>
              <w:t xml:space="preserve">Continue to engage in US-UK policy sprints and </w:t>
            </w:r>
            <w:r w:rsidR="00727232">
              <w:rPr>
                <w:rFonts w:cs="Arial"/>
              </w:rPr>
              <w:t xml:space="preserve">(a) </w:t>
            </w:r>
            <w:r>
              <w:rPr>
                <w:rFonts w:cs="Arial"/>
              </w:rPr>
              <w:t xml:space="preserve">work to implement </w:t>
            </w:r>
            <w:r w:rsidR="00727232">
              <w:rPr>
                <w:rFonts w:cs="Arial"/>
              </w:rPr>
              <w:t xml:space="preserve">any pilots (b) support methodological development (c) </w:t>
            </w:r>
            <w:r w:rsidR="001D7D71">
              <w:rPr>
                <w:rFonts w:cs="Arial"/>
              </w:rPr>
              <w:t>engage on commercial framework update</w:t>
            </w:r>
            <w:r w:rsidR="00557367">
              <w:rPr>
                <w:rFonts w:cs="Arial"/>
              </w:rPr>
              <w:t xml:space="preserve"> and 2028 VPAG </w:t>
            </w:r>
          </w:p>
          <w:p w14:paraId="7840E4D8" w14:textId="77777777" w:rsidR="00BB4113" w:rsidRDefault="007C3893" w:rsidP="001F6543">
            <w:pPr>
              <w:numPr>
                <w:ilvl w:val="0"/>
                <w:numId w:val="7"/>
              </w:numPr>
              <w:spacing w:before="120" w:after="120" w:line="264" w:lineRule="auto"/>
              <w:ind w:left="189" w:hanging="149"/>
              <w:rPr>
                <w:rFonts w:cs="Arial"/>
              </w:rPr>
            </w:pPr>
            <w:r>
              <w:rPr>
                <w:rFonts w:cs="Arial"/>
              </w:rPr>
              <w:t xml:space="preserve">Distribute MMD Access Horizon Scanning report and </w:t>
            </w:r>
            <w:r w:rsidR="001726B9">
              <w:rPr>
                <w:rFonts w:cs="Arial"/>
              </w:rPr>
              <w:t xml:space="preserve">work on focus areas </w:t>
            </w:r>
          </w:p>
          <w:p w14:paraId="404E4732" w14:textId="3164D8DF" w:rsidR="00697BB6" w:rsidRPr="00A60A03" w:rsidRDefault="003C430C" w:rsidP="00083FF2">
            <w:pPr>
              <w:numPr>
                <w:ilvl w:val="0"/>
                <w:numId w:val="7"/>
              </w:numPr>
              <w:spacing w:before="120" w:after="120" w:line="264" w:lineRule="auto"/>
              <w:ind w:left="189" w:hanging="149"/>
              <w:rPr>
                <w:rFonts w:cs="Arial"/>
              </w:rPr>
            </w:pPr>
            <w:r>
              <w:rPr>
                <w:rFonts w:cs="Arial"/>
              </w:rPr>
              <w:t xml:space="preserve">Discussion planned with HealthTech </w:t>
            </w:r>
            <w:r w:rsidR="002E27E3">
              <w:rPr>
                <w:rFonts w:cs="Arial"/>
              </w:rPr>
              <w:t>Senior Leadership Team (</w:t>
            </w:r>
            <w:r>
              <w:rPr>
                <w:rFonts w:cs="Arial"/>
              </w:rPr>
              <w:t>SLT</w:t>
            </w:r>
            <w:r w:rsidR="002E27E3">
              <w:rPr>
                <w:rFonts w:cs="Arial"/>
              </w:rPr>
              <w:t>)</w:t>
            </w:r>
            <w:r>
              <w:rPr>
                <w:rFonts w:cs="Arial"/>
              </w:rPr>
              <w:t xml:space="preserve"> around initial learnings from </w:t>
            </w:r>
            <w:r w:rsidR="00B95C53">
              <w:rPr>
                <w:rFonts w:cs="Arial"/>
              </w:rPr>
              <w:t>NHAP topics and</w:t>
            </w:r>
            <w:r w:rsidR="007A73B3">
              <w:rPr>
                <w:rFonts w:cs="Arial"/>
              </w:rPr>
              <w:t xml:space="preserve"> impact on BAU commercial support</w:t>
            </w:r>
          </w:p>
        </w:tc>
      </w:tr>
    </w:tbl>
    <w:p w14:paraId="0AD2601B" w14:textId="77777777" w:rsidR="00697BB6" w:rsidRDefault="00697BB6" w:rsidP="00697BB6">
      <w:r>
        <w:br w:type="page"/>
      </w:r>
    </w:p>
    <w:tbl>
      <w:tblPr>
        <w:tblStyle w:val="TableGrid"/>
        <w:tblW w:w="14454" w:type="dxa"/>
        <w:tblLayout w:type="fixed"/>
        <w:tblLook w:val="04A0" w:firstRow="1" w:lastRow="0" w:firstColumn="1" w:lastColumn="0" w:noHBand="0" w:noVBand="1"/>
      </w:tblPr>
      <w:tblGrid>
        <w:gridCol w:w="10915"/>
        <w:gridCol w:w="1276"/>
        <w:gridCol w:w="2263"/>
      </w:tblGrid>
      <w:tr w:rsidR="00697BB6" w14:paraId="624DAE91" w14:textId="77777777" w:rsidTr="00083FF2">
        <w:trPr>
          <w:trHeight w:val="695"/>
        </w:trPr>
        <w:tc>
          <w:tcPr>
            <w:tcW w:w="10915" w:type="dxa"/>
            <w:tcBorders>
              <w:top w:val="single" w:sz="4" w:space="0" w:color="auto"/>
              <w:left w:val="nil"/>
              <w:bottom w:val="nil"/>
              <w:right w:val="single" w:sz="4" w:space="0" w:color="auto"/>
            </w:tcBorders>
            <w:vAlign w:val="center"/>
          </w:tcPr>
          <w:p w14:paraId="43BD92EC" w14:textId="5DCC9409" w:rsidR="00697BB6" w:rsidRPr="00563A89" w:rsidRDefault="00F12CCB" w:rsidP="00083FF2">
            <w:pPr>
              <w:pStyle w:val="Heading2"/>
              <w:ind w:left="567" w:hanging="567"/>
            </w:pPr>
            <w:bookmarkStart w:id="15" w:name="_Toc234391376"/>
            <w:r>
              <w:t>NICE methods manual</w:t>
            </w:r>
            <w:bookmarkEnd w:id="15"/>
          </w:p>
        </w:tc>
        <w:tc>
          <w:tcPr>
            <w:tcW w:w="1276" w:type="dxa"/>
            <w:tcBorders>
              <w:left w:val="single" w:sz="4" w:space="0" w:color="auto"/>
            </w:tcBorders>
            <w:shd w:val="clear" w:color="auto" w:fill="00436C"/>
            <w:vAlign w:val="center"/>
          </w:tcPr>
          <w:p w14:paraId="5ABA3A87" w14:textId="77777777" w:rsidR="00697BB6" w:rsidRPr="002F1968" w:rsidRDefault="00697BB6" w:rsidP="00083FF2">
            <w:pPr>
              <w:spacing w:after="0"/>
              <w:jc w:val="right"/>
              <w:rPr>
                <w:b/>
                <w:bCs/>
              </w:rPr>
            </w:pPr>
            <w:r>
              <w:rPr>
                <w:b/>
                <w:bCs/>
              </w:rPr>
              <w:t>Status</w:t>
            </w:r>
            <w:r w:rsidRPr="002F1968">
              <w:rPr>
                <w:b/>
                <w:bCs/>
              </w:rPr>
              <w:t>:</w:t>
            </w:r>
          </w:p>
        </w:tc>
        <w:tc>
          <w:tcPr>
            <w:tcW w:w="2263" w:type="dxa"/>
            <w:shd w:val="clear" w:color="auto" w:fill="CDE3DA"/>
            <w:vAlign w:val="center"/>
          </w:tcPr>
          <w:p w14:paraId="3564423B" w14:textId="77777777" w:rsidR="00697BB6" w:rsidRPr="008025FD" w:rsidRDefault="00697BB6" w:rsidP="00083FF2">
            <w:pPr>
              <w:spacing w:after="0"/>
              <w:jc w:val="center"/>
              <w:rPr>
                <w:b/>
                <w:bCs/>
              </w:rPr>
            </w:pPr>
            <w:r>
              <w:rPr>
                <w:b/>
                <w:bCs/>
              </w:rPr>
              <w:t>Green</w:t>
            </w:r>
          </w:p>
        </w:tc>
      </w:tr>
    </w:tbl>
    <w:p w14:paraId="67B39145" w14:textId="77777777" w:rsidR="00517684" w:rsidRDefault="00517684" w:rsidP="00517684">
      <w:pPr>
        <w:pStyle w:val="Heading3"/>
      </w:pPr>
      <w:r>
        <w:t>Project overview</w:t>
      </w:r>
    </w:p>
    <w:p w14:paraId="1360CC6B" w14:textId="465DD86A" w:rsidR="00517684" w:rsidRDefault="00907BDE" w:rsidP="00517684">
      <w:r>
        <w:t>C</w:t>
      </w:r>
      <w:r w:rsidRPr="009D3373">
        <w:t>reate a single, evidence</w:t>
      </w:r>
      <w:r w:rsidRPr="009D3373">
        <w:noBreakHyphen/>
        <w:t>based NICE methods manual that unifies core methods across programmes, reduces inconsistency and inefficiency, and supports timely, sustainable guidance updates</w:t>
      </w:r>
      <w:r>
        <w:t>. We will take</w:t>
      </w:r>
      <w:r w:rsidRPr="009D3373">
        <w:t xml:space="preserve"> a user</w:t>
      </w:r>
      <w:r w:rsidRPr="009D3373">
        <w:noBreakHyphen/>
        <w:t>led approach while accommodating necessary methodological differences and aligning with NICE’s wider knowledge transformation ambitions</w:t>
      </w:r>
      <w:r w:rsidR="00517684" w:rsidRPr="00FE1A18">
        <w:t>.</w:t>
      </w:r>
    </w:p>
    <w:p w14:paraId="592EE869" w14:textId="77777777" w:rsidR="00697BB6" w:rsidRDefault="00697BB6" w:rsidP="00697BB6">
      <w:pPr>
        <w:pStyle w:val="Heading3"/>
      </w:pPr>
      <w:r>
        <w:t>Highlights</w:t>
      </w:r>
    </w:p>
    <w:tbl>
      <w:tblPr>
        <w:tblStyle w:val="TableGrid"/>
        <w:tblW w:w="14454" w:type="dxa"/>
        <w:tblLook w:val="04A0" w:firstRow="1" w:lastRow="0" w:firstColumn="1" w:lastColumn="0" w:noHBand="0" w:noVBand="1"/>
      </w:tblPr>
      <w:tblGrid>
        <w:gridCol w:w="8075"/>
        <w:gridCol w:w="6379"/>
      </w:tblGrid>
      <w:tr w:rsidR="00697BB6" w:rsidRPr="008D47BA" w14:paraId="610B5115" w14:textId="77777777" w:rsidTr="008542D2">
        <w:trPr>
          <w:tblHeader/>
        </w:trPr>
        <w:tc>
          <w:tcPr>
            <w:tcW w:w="8075" w:type="dxa"/>
            <w:shd w:val="clear" w:color="auto" w:fill="00436C" w:themeFill="accent2"/>
          </w:tcPr>
          <w:p w14:paraId="7796E805" w14:textId="77777777" w:rsidR="00697BB6" w:rsidRDefault="00697BB6" w:rsidP="00083FF2">
            <w:pPr>
              <w:pStyle w:val="Paragraph"/>
              <w:spacing w:before="120" w:after="120" w:line="240" w:lineRule="auto"/>
              <w:rPr>
                <w:b/>
                <w:bCs/>
                <w:color w:val="FFFFFF" w:themeColor="background1"/>
                <w:lang w:eastAsia="en-GB"/>
              </w:rPr>
            </w:pPr>
            <w:r>
              <w:rPr>
                <w:b/>
                <w:bCs/>
                <w:color w:val="FFFFFF" w:themeColor="background1"/>
                <w:lang w:eastAsia="en-GB"/>
              </w:rPr>
              <w:t>Progress and achievements</w:t>
            </w:r>
          </w:p>
        </w:tc>
        <w:tc>
          <w:tcPr>
            <w:tcW w:w="6379" w:type="dxa"/>
            <w:shd w:val="clear" w:color="auto" w:fill="00436C" w:themeFill="accent2"/>
          </w:tcPr>
          <w:p w14:paraId="73500CE3" w14:textId="77777777" w:rsidR="00697BB6" w:rsidRPr="008D47BA" w:rsidRDefault="00697BB6" w:rsidP="00083FF2">
            <w:pPr>
              <w:pStyle w:val="Paragraph"/>
              <w:spacing w:before="120" w:after="120" w:line="240" w:lineRule="auto"/>
              <w:rPr>
                <w:color w:val="FFFFFF" w:themeColor="background1"/>
                <w:lang w:eastAsia="en-GB"/>
              </w:rPr>
            </w:pPr>
            <w:r>
              <w:rPr>
                <w:b/>
                <w:bCs/>
                <w:color w:val="FFFFFF" w:themeColor="background1"/>
                <w:lang w:eastAsia="en-GB"/>
              </w:rPr>
              <w:t>Key next steps</w:t>
            </w:r>
          </w:p>
        </w:tc>
      </w:tr>
      <w:tr w:rsidR="00697BB6" w:rsidRPr="008D47BA" w14:paraId="1021F6A9" w14:textId="77777777" w:rsidTr="008542D2">
        <w:trPr>
          <w:trHeight w:val="365"/>
        </w:trPr>
        <w:tc>
          <w:tcPr>
            <w:tcW w:w="8075" w:type="dxa"/>
          </w:tcPr>
          <w:p w14:paraId="208597A6" w14:textId="77777777" w:rsidR="00697BB6" w:rsidRDefault="00D05FB4" w:rsidP="00083FF2">
            <w:pPr>
              <w:numPr>
                <w:ilvl w:val="0"/>
                <w:numId w:val="7"/>
              </w:numPr>
              <w:spacing w:before="120" w:after="120" w:line="264" w:lineRule="auto"/>
              <w:ind w:left="189" w:hanging="149"/>
              <w:rPr>
                <w:rFonts w:cs="Arial"/>
              </w:rPr>
            </w:pPr>
            <w:r>
              <w:rPr>
                <w:rFonts w:cs="Arial"/>
              </w:rPr>
              <w:t>Terms of reference for project in place, working group and engagement group convened regularly and working as intended</w:t>
            </w:r>
          </w:p>
          <w:p w14:paraId="56432DDD" w14:textId="60BD68B4" w:rsidR="00D05FB4" w:rsidRDefault="00A72C8C" w:rsidP="00083FF2">
            <w:pPr>
              <w:numPr>
                <w:ilvl w:val="0"/>
                <w:numId w:val="7"/>
              </w:numPr>
              <w:spacing w:before="120" w:after="120" w:line="264" w:lineRule="auto"/>
              <w:ind w:left="189" w:hanging="149"/>
              <w:rPr>
                <w:rFonts w:cs="Arial"/>
              </w:rPr>
            </w:pPr>
            <w:r>
              <w:rPr>
                <w:rFonts w:cs="Arial"/>
              </w:rPr>
              <w:t xml:space="preserve">Work on exploring the application of the severity modifier in </w:t>
            </w:r>
            <w:proofErr w:type="gramStart"/>
            <w:r>
              <w:rPr>
                <w:rFonts w:cs="Arial"/>
              </w:rPr>
              <w:t>healthtech  and</w:t>
            </w:r>
            <w:proofErr w:type="gramEnd"/>
            <w:r>
              <w:rPr>
                <w:rFonts w:cs="Arial"/>
              </w:rPr>
              <w:t xml:space="preserve"> guidelines (health economics and decision modelling team) ongoing</w:t>
            </w:r>
            <w:r w:rsidR="006E6F1D">
              <w:rPr>
                <w:rFonts w:cs="Arial"/>
              </w:rPr>
              <w:t xml:space="preserve"> </w:t>
            </w:r>
          </w:p>
          <w:p w14:paraId="48C406FD" w14:textId="78CCC579" w:rsidR="00A72C8C" w:rsidRDefault="00A72C8C" w:rsidP="00083FF2">
            <w:pPr>
              <w:numPr>
                <w:ilvl w:val="0"/>
                <w:numId w:val="7"/>
              </w:numPr>
              <w:spacing w:before="120" w:after="120" w:line="264" w:lineRule="auto"/>
              <w:ind w:left="189" w:hanging="149"/>
              <w:rPr>
                <w:rFonts w:cs="Arial"/>
              </w:rPr>
            </w:pPr>
            <w:r>
              <w:rPr>
                <w:rFonts w:cs="Arial"/>
              </w:rPr>
              <w:t xml:space="preserve">Internal alignment workshops </w:t>
            </w:r>
            <w:r w:rsidR="00E85397">
              <w:rPr>
                <w:rFonts w:cs="Arial"/>
              </w:rPr>
              <w:t xml:space="preserve">held, focusing </w:t>
            </w:r>
            <w:r>
              <w:rPr>
                <w:rFonts w:cs="Arial"/>
              </w:rPr>
              <w:t xml:space="preserve">on key areas for alignment (severity, health inequalities, sources for resource use and costs, and </w:t>
            </w:r>
            <w:r w:rsidR="00A01655">
              <w:rPr>
                <w:rFonts w:cs="Arial"/>
              </w:rPr>
              <w:t>uncertainty in decision-making)</w:t>
            </w:r>
          </w:p>
          <w:p w14:paraId="1978F29A" w14:textId="77777777" w:rsidR="00A01655" w:rsidRDefault="00BA0EE8" w:rsidP="00083FF2">
            <w:pPr>
              <w:numPr>
                <w:ilvl w:val="0"/>
                <w:numId w:val="7"/>
              </w:numPr>
              <w:spacing w:before="120" w:after="120" w:line="264" w:lineRule="auto"/>
              <w:ind w:left="189" w:hanging="149"/>
              <w:rPr>
                <w:rFonts w:cs="Arial"/>
              </w:rPr>
            </w:pPr>
            <w:r>
              <w:rPr>
                <w:rFonts w:cs="Arial"/>
              </w:rPr>
              <w:t>Work on componentis</w:t>
            </w:r>
            <w:r w:rsidR="000C181C">
              <w:rPr>
                <w:rFonts w:cs="Arial"/>
              </w:rPr>
              <w:t>ation of content and split between process and methods ongoing with working group</w:t>
            </w:r>
          </w:p>
          <w:p w14:paraId="79266F11" w14:textId="7F42D281" w:rsidR="0034229E" w:rsidRDefault="0034229E" w:rsidP="00083FF2">
            <w:pPr>
              <w:numPr>
                <w:ilvl w:val="0"/>
                <w:numId w:val="7"/>
              </w:numPr>
              <w:spacing w:before="120" w:after="120" w:line="264" w:lineRule="auto"/>
              <w:ind w:left="189" w:hanging="149"/>
              <w:rPr>
                <w:rFonts w:cs="Arial"/>
              </w:rPr>
            </w:pPr>
            <w:r>
              <w:rPr>
                <w:rFonts w:cs="Arial"/>
              </w:rPr>
              <w:t xml:space="preserve">Legal advice sought on </w:t>
            </w:r>
            <w:r w:rsidR="00C80162">
              <w:rPr>
                <w:rFonts w:cs="Arial"/>
              </w:rPr>
              <w:t>separation of process and methods and content componentisation</w:t>
            </w:r>
          </w:p>
          <w:p w14:paraId="0A326CC5" w14:textId="7B05CD91" w:rsidR="000C181C" w:rsidRPr="007E472B" w:rsidRDefault="004849C0" w:rsidP="00083FF2">
            <w:pPr>
              <w:numPr>
                <w:ilvl w:val="0"/>
                <w:numId w:val="7"/>
              </w:numPr>
              <w:spacing w:before="120" w:after="120" w:line="264" w:lineRule="auto"/>
              <w:ind w:left="189" w:hanging="149"/>
              <w:rPr>
                <w:rFonts w:cs="Arial"/>
              </w:rPr>
            </w:pPr>
            <w:r>
              <w:rPr>
                <w:rFonts w:cs="Arial"/>
              </w:rPr>
              <w:t xml:space="preserve">User research work kicked off </w:t>
            </w:r>
            <w:r w:rsidR="003B6526">
              <w:rPr>
                <w:rFonts w:cs="Arial"/>
              </w:rPr>
              <w:t>internally and through heatmaps externally</w:t>
            </w:r>
          </w:p>
        </w:tc>
        <w:tc>
          <w:tcPr>
            <w:tcW w:w="6379" w:type="dxa"/>
          </w:tcPr>
          <w:p w14:paraId="61EDF6E9" w14:textId="77777777" w:rsidR="00697BB6" w:rsidRDefault="00F80AB8" w:rsidP="00083FF2">
            <w:pPr>
              <w:numPr>
                <w:ilvl w:val="0"/>
                <w:numId w:val="7"/>
              </w:numPr>
              <w:spacing w:before="120" w:after="120" w:line="264" w:lineRule="auto"/>
              <w:ind w:left="189" w:hanging="149"/>
              <w:rPr>
                <w:rFonts w:cs="Arial"/>
              </w:rPr>
            </w:pPr>
            <w:r>
              <w:rPr>
                <w:rFonts w:cs="Arial"/>
              </w:rPr>
              <w:t xml:space="preserve">Formally launch comms </w:t>
            </w:r>
            <w:r w:rsidR="00BA0EE8">
              <w:rPr>
                <w:rFonts w:cs="Arial"/>
              </w:rPr>
              <w:t>and stakeholder engagement plan</w:t>
            </w:r>
            <w:r>
              <w:rPr>
                <w:rFonts w:cs="Arial"/>
              </w:rPr>
              <w:t>s</w:t>
            </w:r>
          </w:p>
          <w:p w14:paraId="2BDBB7AB" w14:textId="5B2C4B1C" w:rsidR="00F80AB8" w:rsidRDefault="006D4AAA" w:rsidP="00083FF2">
            <w:pPr>
              <w:numPr>
                <w:ilvl w:val="0"/>
                <w:numId w:val="7"/>
              </w:numPr>
              <w:spacing w:before="120" w:after="120" w:line="264" w:lineRule="auto"/>
              <w:ind w:left="189" w:hanging="149"/>
              <w:rPr>
                <w:rFonts w:cs="Arial"/>
              </w:rPr>
            </w:pPr>
            <w:r>
              <w:rPr>
                <w:rFonts w:cs="Arial"/>
              </w:rPr>
              <w:t>Kick off t</w:t>
            </w:r>
            <w:r w:rsidR="00D96B5A">
              <w:rPr>
                <w:rFonts w:cs="Arial"/>
              </w:rPr>
              <w:t>argeted user research work (</w:t>
            </w:r>
            <w:r w:rsidR="00792296">
              <w:rPr>
                <w:rFonts w:cs="Arial"/>
              </w:rPr>
              <w:t>E</w:t>
            </w:r>
            <w:r w:rsidR="00973471">
              <w:rPr>
                <w:rFonts w:cs="Arial"/>
              </w:rPr>
              <w:t>xternal Assessment Groups</w:t>
            </w:r>
            <w:r w:rsidR="00792296">
              <w:rPr>
                <w:rFonts w:cs="Arial"/>
              </w:rPr>
              <w:t xml:space="preserve">, committees and </w:t>
            </w:r>
            <w:r w:rsidR="00973471">
              <w:rPr>
                <w:rFonts w:cs="Arial"/>
              </w:rPr>
              <w:t>voluntary and community sector</w:t>
            </w:r>
            <w:r w:rsidR="00792296">
              <w:rPr>
                <w:rFonts w:cs="Arial"/>
              </w:rPr>
              <w:t>)</w:t>
            </w:r>
          </w:p>
          <w:p w14:paraId="513DACD6" w14:textId="427F1AA1" w:rsidR="0034229E" w:rsidRDefault="00935E7C" w:rsidP="00083FF2">
            <w:pPr>
              <w:numPr>
                <w:ilvl w:val="0"/>
                <w:numId w:val="7"/>
              </w:numPr>
              <w:spacing w:before="120" w:after="120" w:line="264" w:lineRule="auto"/>
              <w:ind w:left="189" w:hanging="149"/>
              <w:rPr>
                <w:rFonts w:cs="Arial"/>
              </w:rPr>
            </w:pPr>
            <w:r>
              <w:rPr>
                <w:rFonts w:cs="Arial"/>
              </w:rPr>
              <w:t xml:space="preserve">Cross-organisational alignment </w:t>
            </w:r>
            <w:r w:rsidR="00B8504B">
              <w:rPr>
                <w:rFonts w:cs="Arial"/>
              </w:rPr>
              <w:t>agreement on key areas for alignment</w:t>
            </w:r>
          </w:p>
          <w:p w14:paraId="4B8388BF" w14:textId="68BCB795" w:rsidR="00B8504B" w:rsidRPr="00A60A03" w:rsidRDefault="00BC1783" w:rsidP="00083FF2">
            <w:pPr>
              <w:numPr>
                <w:ilvl w:val="0"/>
                <w:numId w:val="7"/>
              </w:numPr>
              <w:spacing w:before="120" w:after="120" w:line="264" w:lineRule="auto"/>
              <w:ind w:left="189" w:hanging="149"/>
              <w:rPr>
                <w:rFonts w:cs="Arial"/>
              </w:rPr>
            </w:pPr>
            <w:r>
              <w:rPr>
                <w:rFonts w:cs="Arial"/>
              </w:rPr>
              <w:t>Continue work on componentisation of content and split between process and methods ongoing with working group</w:t>
            </w:r>
          </w:p>
        </w:tc>
      </w:tr>
    </w:tbl>
    <w:p w14:paraId="591DE917" w14:textId="77777777" w:rsidR="00697BB6" w:rsidRDefault="00697BB6" w:rsidP="00697BB6">
      <w:r>
        <w:br w:type="page"/>
      </w:r>
    </w:p>
    <w:tbl>
      <w:tblPr>
        <w:tblStyle w:val="TableGrid"/>
        <w:tblW w:w="14454" w:type="dxa"/>
        <w:tblLayout w:type="fixed"/>
        <w:tblLook w:val="04A0" w:firstRow="1" w:lastRow="0" w:firstColumn="1" w:lastColumn="0" w:noHBand="0" w:noVBand="1"/>
      </w:tblPr>
      <w:tblGrid>
        <w:gridCol w:w="10915"/>
        <w:gridCol w:w="1276"/>
        <w:gridCol w:w="2263"/>
      </w:tblGrid>
      <w:tr w:rsidR="00697BB6" w14:paraId="472CEA6D" w14:textId="77777777" w:rsidTr="005E3460">
        <w:trPr>
          <w:trHeight w:val="554"/>
        </w:trPr>
        <w:tc>
          <w:tcPr>
            <w:tcW w:w="10915" w:type="dxa"/>
            <w:tcBorders>
              <w:top w:val="single" w:sz="4" w:space="0" w:color="auto"/>
              <w:left w:val="nil"/>
              <w:bottom w:val="nil"/>
              <w:right w:val="single" w:sz="4" w:space="0" w:color="auto"/>
            </w:tcBorders>
            <w:vAlign w:val="center"/>
          </w:tcPr>
          <w:p w14:paraId="6B84063F" w14:textId="570007D3" w:rsidR="00697BB6" w:rsidRPr="00563A89" w:rsidRDefault="009845A3" w:rsidP="00083FF2">
            <w:pPr>
              <w:pStyle w:val="Heading2"/>
              <w:ind w:left="567" w:hanging="567"/>
            </w:pPr>
            <w:bookmarkStart w:id="16" w:name="_Toc234391377"/>
            <w:r>
              <w:t>Quality and safety</w:t>
            </w:r>
            <w:bookmarkEnd w:id="16"/>
          </w:p>
        </w:tc>
        <w:tc>
          <w:tcPr>
            <w:tcW w:w="1276" w:type="dxa"/>
            <w:tcBorders>
              <w:left w:val="single" w:sz="4" w:space="0" w:color="auto"/>
            </w:tcBorders>
            <w:shd w:val="clear" w:color="auto" w:fill="00436C"/>
            <w:vAlign w:val="center"/>
          </w:tcPr>
          <w:p w14:paraId="42F0987F" w14:textId="77777777" w:rsidR="00697BB6" w:rsidRPr="002F1968" w:rsidRDefault="00697BB6" w:rsidP="00083FF2">
            <w:pPr>
              <w:spacing w:after="0"/>
              <w:jc w:val="right"/>
              <w:rPr>
                <w:b/>
                <w:bCs/>
              </w:rPr>
            </w:pPr>
            <w:r>
              <w:rPr>
                <w:b/>
                <w:bCs/>
              </w:rPr>
              <w:t>Status</w:t>
            </w:r>
            <w:r w:rsidRPr="002F1968">
              <w:rPr>
                <w:b/>
                <w:bCs/>
              </w:rPr>
              <w:t>:</w:t>
            </w:r>
          </w:p>
        </w:tc>
        <w:tc>
          <w:tcPr>
            <w:tcW w:w="2263" w:type="dxa"/>
            <w:shd w:val="clear" w:color="auto" w:fill="CDE3DA"/>
            <w:vAlign w:val="center"/>
          </w:tcPr>
          <w:p w14:paraId="2317127C" w14:textId="77777777" w:rsidR="00697BB6" w:rsidRPr="008025FD" w:rsidRDefault="00697BB6" w:rsidP="00083FF2">
            <w:pPr>
              <w:spacing w:after="0"/>
              <w:jc w:val="center"/>
              <w:rPr>
                <w:b/>
                <w:bCs/>
              </w:rPr>
            </w:pPr>
            <w:r>
              <w:rPr>
                <w:b/>
                <w:bCs/>
              </w:rPr>
              <w:t>Green</w:t>
            </w:r>
          </w:p>
        </w:tc>
      </w:tr>
    </w:tbl>
    <w:p w14:paraId="5836CA22" w14:textId="77777777" w:rsidR="00517684" w:rsidRDefault="00517684" w:rsidP="005E3460">
      <w:pPr>
        <w:pStyle w:val="Heading3"/>
        <w:spacing w:before="0"/>
      </w:pPr>
      <w:r>
        <w:t>Project overview</w:t>
      </w:r>
    </w:p>
    <w:p w14:paraId="7D2E5B74" w14:textId="79E1C855" w:rsidR="006F17C6" w:rsidRPr="004A3352" w:rsidRDefault="006A4878" w:rsidP="005E3460">
      <w:pPr>
        <w:spacing w:before="60" w:after="60"/>
      </w:pPr>
      <w:r>
        <w:t>The project has three main workstreams</w:t>
      </w:r>
      <w:r w:rsidR="006F17C6">
        <w:t>:</w:t>
      </w:r>
    </w:p>
    <w:p w14:paraId="6C9C87ED" w14:textId="3A80E854" w:rsidR="006F17C6" w:rsidRPr="004A3352" w:rsidRDefault="004A3352" w:rsidP="005E3460">
      <w:pPr>
        <w:numPr>
          <w:ilvl w:val="0"/>
          <w:numId w:val="53"/>
        </w:numPr>
        <w:tabs>
          <w:tab w:val="clear" w:pos="720"/>
          <w:tab w:val="num" w:pos="284"/>
        </w:tabs>
        <w:spacing w:before="60" w:after="60"/>
        <w:ind w:left="284" w:hanging="284"/>
      </w:pPr>
      <w:r w:rsidRPr="004A3352">
        <w:rPr>
          <w:b/>
          <w:bCs/>
        </w:rPr>
        <w:t>Modern Service Frameworks (MSFs</w:t>
      </w:r>
      <w:r w:rsidRPr="004A3352">
        <w:t>) - NHS England-led frameworks providing a 10-year blueprint for priority areas. There are 6 core themes identified: Cardiovascular disease, Sepsis, Severe mental illness, Frailty and dementia, End-of-life care and Children &amp; young people. Several frameworks (e.g. CVD, sepsis) are awaiting ministerial sign-off or experiencing delays. NICE’s role is to provide evidence-based guidance aligned to MSFs and support implementation by identifying required new guidance and reviewing and updating existing outputs</w:t>
      </w:r>
    </w:p>
    <w:p w14:paraId="7C9DA7BD" w14:textId="6767F290" w:rsidR="006F17C6" w:rsidRPr="004A3352" w:rsidRDefault="004A3352" w:rsidP="005E3460">
      <w:pPr>
        <w:numPr>
          <w:ilvl w:val="0"/>
          <w:numId w:val="53"/>
        </w:numPr>
        <w:tabs>
          <w:tab w:val="clear" w:pos="720"/>
          <w:tab w:val="num" w:pos="284"/>
        </w:tabs>
        <w:spacing w:before="60" w:after="60"/>
        <w:ind w:left="284" w:hanging="284"/>
      </w:pPr>
      <w:r w:rsidRPr="004A3352">
        <w:rPr>
          <w:b/>
          <w:bCs/>
        </w:rPr>
        <w:t>Patient safety work</w:t>
      </w:r>
      <w:r w:rsidRPr="004A3352">
        <w:t xml:space="preserve"> - Patient safety is a cross-cutting, ongoing function rather than a discrete project. NICE’s role is primarily responding to external signals and ensuring safety considerations are reflected in guidance. Governance arrangements include the patient oversight group and reporting to the NICE Prioritisation Board.</w:t>
      </w:r>
    </w:p>
    <w:p w14:paraId="74121F2C" w14:textId="77777777" w:rsidR="004A3352" w:rsidRPr="004A3352" w:rsidRDefault="004A3352" w:rsidP="005E3460">
      <w:pPr>
        <w:numPr>
          <w:ilvl w:val="0"/>
          <w:numId w:val="53"/>
        </w:numPr>
        <w:tabs>
          <w:tab w:val="clear" w:pos="720"/>
          <w:tab w:val="num" w:pos="284"/>
        </w:tabs>
        <w:spacing w:before="60" w:after="60"/>
        <w:ind w:left="284" w:hanging="284"/>
      </w:pPr>
      <w:r w:rsidRPr="004A3352">
        <w:rPr>
          <w:b/>
          <w:bCs/>
        </w:rPr>
        <w:t xml:space="preserve">Contribution to the </w:t>
      </w:r>
      <w:r w:rsidRPr="004A3352">
        <w:t>NHS Quality Strategy - NICE has contributed to the NHS England Quality Strategy, now in final draft pending ministerial sign-off</w:t>
      </w:r>
      <w:r w:rsidRPr="004A3352">
        <w:rPr>
          <w:b/>
          <w:bCs/>
        </w:rPr>
        <w:t>.</w:t>
      </w:r>
      <w:r w:rsidRPr="004A3352">
        <w:t xml:space="preserve"> The current phase considered largely complete, subject to potential changes during approval.</w:t>
      </w:r>
    </w:p>
    <w:p w14:paraId="212A2719" w14:textId="77777777" w:rsidR="00697BB6" w:rsidRDefault="00697BB6" w:rsidP="00697BB6">
      <w:pPr>
        <w:pStyle w:val="Heading3"/>
      </w:pPr>
      <w:r>
        <w:t>Highlights</w:t>
      </w:r>
    </w:p>
    <w:tbl>
      <w:tblPr>
        <w:tblStyle w:val="TableGrid"/>
        <w:tblW w:w="14454" w:type="dxa"/>
        <w:tblLook w:val="04A0" w:firstRow="1" w:lastRow="0" w:firstColumn="1" w:lastColumn="0" w:noHBand="0" w:noVBand="1"/>
      </w:tblPr>
      <w:tblGrid>
        <w:gridCol w:w="7792"/>
        <w:gridCol w:w="6662"/>
      </w:tblGrid>
      <w:tr w:rsidR="00697BB6" w:rsidRPr="008D47BA" w14:paraId="2ACC76CF" w14:textId="77777777" w:rsidTr="005E3460">
        <w:trPr>
          <w:tblHeader/>
        </w:trPr>
        <w:tc>
          <w:tcPr>
            <w:tcW w:w="7792" w:type="dxa"/>
            <w:shd w:val="clear" w:color="auto" w:fill="00436C" w:themeFill="accent2"/>
          </w:tcPr>
          <w:p w14:paraId="692AB934" w14:textId="77777777" w:rsidR="00697BB6" w:rsidRDefault="00697BB6" w:rsidP="00083FF2">
            <w:pPr>
              <w:pStyle w:val="Paragraph"/>
              <w:spacing w:before="120" w:after="120" w:line="240" w:lineRule="auto"/>
              <w:rPr>
                <w:b/>
                <w:bCs/>
                <w:color w:val="FFFFFF" w:themeColor="background1"/>
                <w:lang w:eastAsia="en-GB"/>
              </w:rPr>
            </w:pPr>
            <w:r>
              <w:rPr>
                <w:b/>
                <w:bCs/>
                <w:color w:val="FFFFFF" w:themeColor="background1"/>
                <w:lang w:eastAsia="en-GB"/>
              </w:rPr>
              <w:t>Progress and achievements</w:t>
            </w:r>
          </w:p>
        </w:tc>
        <w:tc>
          <w:tcPr>
            <w:tcW w:w="6662" w:type="dxa"/>
            <w:shd w:val="clear" w:color="auto" w:fill="00436C" w:themeFill="accent2"/>
          </w:tcPr>
          <w:p w14:paraId="270FF8E7" w14:textId="77777777" w:rsidR="00697BB6" w:rsidRPr="008D47BA" w:rsidRDefault="00697BB6" w:rsidP="00083FF2">
            <w:pPr>
              <w:pStyle w:val="Paragraph"/>
              <w:spacing w:before="120" w:after="120" w:line="240" w:lineRule="auto"/>
              <w:rPr>
                <w:color w:val="FFFFFF" w:themeColor="background1"/>
                <w:lang w:eastAsia="en-GB"/>
              </w:rPr>
            </w:pPr>
            <w:r>
              <w:rPr>
                <w:b/>
                <w:bCs/>
                <w:color w:val="FFFFFF" w:themeColor="background1"/>
                <w:lang w:eastAsia="en-GB"/>
              </w:rPr>
              <w:t>Key next steps</w:t>
            </w:r>
          </w:p>
        </w:tc>
      </w:tr>
      <w:tr w:rsidR="00697BB6" w:rsidRPr="008D47BA" w14:paraId="471D46DE" w14:textId="77777777" w:rsidTr="005E3460">
        <w:trPr>
          <w:trHeight w:val="365"/>
        </w:trPr>
        <w:tc>
          <w:tcPr>
            <w:tcW w:w="7792" w:type="dxa"/>
          </w:tcPr>
          <w:p w14:paraId="2B588C05" w14:textId="77777777" w:rsidR="00DE3A13" w:rsidRDefault="00DC6A42" w:rsidP="005E3460">
            <w:pPr>
              <w:numPr>
                <w:ilvl w:val="0"/>
                <w:numId w:val="7"/>
              </w:numPr>
              <w:spacing w:before="80" w:after="80" w:line="264" w:lineRule="auto"/>
              <w:ind w:left="187" w:hanging="147"/>
              <w:rPr>
                <w:rFonts w:cs="Arial"/>
              </w:rPr>
            </w:pPr>
            <w:r w:rsidRPr="001105EE">
              <w:rPr>
                <w:rFonts w:ascii="Inter" w:hAnsi="Inter" w:cs="Arial"/>
              </w:rPr>
              <w:t xml:space="preserve">NICE has contributed to the </w:t>
            </w:r>
            <w:r w:rsidRPr="00DC6A42">
              <w:rPr>
                <w:rFonts w:cs="Arial"/>
              </w:rPr>
              <w:t>NHS England Quality Strategy, now in final draft pending ministerial sign-off</w:t>
            </w:r>
            <w:r w:rsidRPr="001105EE">
              <w:rPr>
                <w:rFonts w:cs="Arial"/>
              </w:rPr>
              <w:t>.</w:t>
            </w:r>
            <w:r w:rsidRPr="00DC6A42">
              <w:rPr>
                <w:rFonts w:cs="Arial"/>
              </w:rPr>
              <w:t xml:space="preserve"> The current phase considered largely complete, subject to potential changes during approval.</w:t>
            </w:r>
          </w:p>
          <w:p w14:paraId="6AA201C0" w14:textId="72D698BA" w:rsidR="00E578EC" w:rsidRDefault="00B3235E" w:rsidP="005E3460">
            <w:pPr>
              <w:numPr>
                <w:ilvl w:val="0"/>
                <w:numId w:val="7"/>
              </w:numPr>
              <w:spacing w:before="80" w:after="80" w:line="264" w:lineRule="auto"/>
              <w:ind w:left="187" w:hanging="147"/>
              <w:rPr>
                <w:rFonts w:cs="Arial"/>
              </w:rPr>
            </w:pPr>
            <w:r>
              <w:rPr>
                <w:rFonts w:cs="Arial"/>
              </w:rPr>
              <w:t xml:space="preserve">All </w:t>
            </w:r>
            <w:r w:rsidR="00C40280">
              <w:rPr>
                <w:rFonts w:cs="Arial"/>
              </w:rPr>
              <w:t>MSF topics have clinical leads assigned to them</w:t>
            </w:r>
            <w:r w:rsidR="00552E63">
              <w:rPr>
                <w:rFonts w:cs="Arial"/>
              </w:rPr>
              <w:t xml:space="preserve">. The clinical directorate’s management </w:t>
            </w:r>
            <w:r w:rsidR="00931FEB">
              <w:rPr>
                <w:rFonts w:cs="Arial"/>
              </w:rPr>
              <w:t>team for MSFs tracks progress across all topics and this is shared across teams within NICE.</w:t>
            </w:r>
          </w:p>
          <w:p w14:paraId="00F6A238" w14:textId="2C2A378E" w:rsidR="00931FEB" w:rsidRPr="001105EE" w:rsidRDefault="008B11B2" w:rsidP="005E3460">
            <w:pPr>
              <w:numPr>
                <w:ilvl w:val="0"/>
                <w:numId w:val="7"/>
              </w:numPr>
              <w:spacing w:before="80" w:after="80" w:line="264" w:lineRule="auto"/>
              <w:ind w:left="187" w:hanging="147"/>
              <w:rPr>
                <w:rFonts w:ascii="Inter" w:hAnsi="Inter" w:cs="Arial"/>
              </w:rPr>
            </w:pPr>
            <w:r>
              <w:rPr>
                <w:rFonts w:cs="Arial"/>
              </w:rPr>
              <w:t xml:space="preserve">The Patient Safety Team presented </w:t>
            </w:r>
            <w:r w:rsidR="00E578EC">
              <w:rPr>
                <w:rFonts w:cs="Arial"/>
              </w:rPr>
              <w:t>their safety update at the May 2026 Board meeting.</w:t>
            </w:r>
          </w:p>
        </w:tc>
        <w:tc>
          <w:tcPr>
            <w:tcW w:w="6662" w:type="dxa"/>
          </w:tcPr>
          <w:p w14:paraId="78399505" w14:textId="77777777" w:rsidR="00697BB6" w:rsidRPr="001105EE" w:rsidRDefault="008B7B8B" w:rsidP="005E3460">
            <w:pPr>
              <w:numPr>
                <w:ilvl w:val="0"/>
                <w:numId w:val="7"/>
              </w:numPr>
              <w:spacing w:before="80" w:after="80" w:line="264" w:lineRule="auto"/>
              <w:ind w:left="187" w:hanging="147"/>
              <w:rPr>
                <w:rFonts w:ascii="Inter" w:hAnsi="Inter" w:cs="Arial"/>
              </w:rPr>
            </w:pPr>
            <w:r>
              <w:rPr>
                <w:rFonts w:cs="Arial"/>
              </w:rPr>
              <w:t xml:space="preserve">The </w:t>
            </w:r>
            <w:r w:rsidRPr="008B7B8B">
              <w:rPr>
                <w:rFonts w:cs="Arial"/>
              </w:rPr>
              <w:t xml:space="preserve">NHS </w:t>
            </w:r>
            <w:r w:rsidRPr="001105EE">
              <w:rPr>
                <w:rFonts w:ascii="Inter" w:hAnsi="Inter" w:cs="Arial"/>
              </w:rPr>
              <w:t xml:space="preserve">England Quality Strategy is currently awaiting </w:t>
            </w:r>
            <w:r w:rsidR="00412723" w:rsidRPr="001105EE">
              <w:rPr>
                <w:rFonts w:ascii="Inter" w:hAnsi="Inter" w:cs="Arial"/>
              </w:rPr>
              <w:t xml:space="preserve">ministerial sign off. </w:t>
            </w:r>
          </w:p>
          <w:p w14:paraId="38E84145" w14:textId="7F8F5301" w:rsidR="00AB6220" w:rsidRPr="001105EE" w:rsidRDefault="00AB6220" w:rsidP="005E3460">
            <w:pPr>
              <w:numPr>
                <w:ilvl w:val="0"/>
                <w:numId w:val="7"/>
              </w:numPr>
              <w:spacing w:before="80" w:after="80" w:line="264" w:lineRule="auto"/>
              <w:ind w:left="187" w:hanging="147"/>
              <w:rPr>
                <w:rFonts w:ascii="Inter" w:hAnsi="Inter" w:cs="Arial"/>
              </w:rPr>
            </w:pPr>
            <w:r w:rsidRPr="001105EE">
              <w:rPr>
                <w:rFonts w:ascii="Inter" w:hAnsi="Inter" w:cs="Arial"/>
              </w:rPr>
              <w:t>CVD</w:t>
            </w:r>
            <w:r w:rsidR="0094441B" w:rsidRPr="001105EE">
              <w:rPr>
                <w:rFonts w:ascii="Inter" w:hAnsi="Inter" w:cs="Arial"/>
              </w:rPr>
              <w:t xml:space="preserve"> and </w:t>
            </w:r>
            <w:r w:rsidRPr="001105EE">
              <w:rPr>
                <w:rFonts w:ascii="Inter" w:hAnsi="Inter" w:cs="Arial"/>
              </w:rPr>
              <w:t>sepsis</w:t>
            </w:r>
            <w:r w:rsidR="00D42087" w:rsidRPr="001105EE">
              <w:rPr>
                <w:rFonts w:ascii="Inter" w:hAnsi="Inter" w:cs="Arial"/>
              </w:rPr>
              <w:t xml:space="preserve"> MSFs</w:t>
            </w:r>
            <w:r w:rsidRPr="001105EE">
              <w:rPr>
                <w:rFonts w:ascii="Inter" w:hAnsi="Inter" w:cs="Arial"/>
              </w:rPr>
              <w:t xml:space="preserve"> are awaiting ministerial sign-off. NICE’s role is to provide evidence-based guidance aligned to MSFs and support implementation by identifying required new guidance and reviewing and updating existing outputs.</w:t>
            </w:r>
          </w:p>
          <w:p w14:paraId="10B9E89B" w14:textId="2C413ABF" w:rsidR="00412723" w:rsidRPr="001105EE" w:rsidRDefault="00AB6220" w:rsidP="005E3460">
            <w:pPr>
              <w:numPr>
                <w:ilvl w:val="0"/>
                <w:numId w:val="7"/>
              </w:numPr>
              <w:spacing w:before="80" w:after="80" w:line="264" w:lineRule="auto"/>
              <w:ind w:left="187" w:hanging="147"/>
              <w:rPr>
                <w:rFonts w:ascii="Inter" w:hAnsi="Inter" w:cs="Arial"/>
              </w:rPr>
            </w:pPr>
            <w:r w:rsidRPr="001105EE">
              <w:rPr>
                <w:rFonts w:ascii="Inter" w:hAnsi="Inter" w:cs="Arial"/>
              </w:rPr>
              <w:t>The next patient safety board paper will be presented in December 2026 – all on track.</w:t>
            </w:r>
          </w:p>
        </w:tc>
      </w:tr>
    </w:tbl>
    <w:tbl>
      <w:tblPr>
        <w:tblStyle w:val="TableGrid"/>
        <w:tblW w:w="14454" w:type="dxa"/>
        <w:tblLayout w:type="fixed"/>
        <w:tblLook w:val="04A0" w:firstRow="1" w:lastRow="0" w:firstColumn="1" w:lastColumn="0" w:noHBand="0" w:noVBand="1"/>
      </w:tblPr>
      <w:tblGrid>
        <w:gridCol w:w="10915"/>
        <w:gridCol w:w="1276"/>
        <w:gridCol w:w="2263"/>
      </w:tblGrid>
      <w:tr w:rsidR="00697BB6" w14:paraId="234F9162" w14:textId="77777777" w:rsidTr="00083FF2">
        <w:trPr>
          <w:trHeight w:val="695"/>
        </w:trPr>
        <w:tc>
          <w:tcPr>
            <w:tcW w:w="10915" w:type="dxa"/>
            <w:tcBorders>
              <w:top w:val="single" w:sz="4" w:space="0" w:color="auto"/>
              <w:left w:val="nil"/>
              <w:bottom w:val="nil"/>
              <w:right w:val="single" w:sz="4" w:space="0" w:color="auto"/>
            </w:tcBorders>
            <w:vAlign w:val="center"/>
          </w:tcPr>
          <w:p w14:paraId="1B0B7CA8" w14:textId="3BB7D217" w:rsidR="00697BB6" w:rsidRPr="00563A89" w:rsidRDefault="00B84745" w:rsidP="009845A3">
            <w:pPr>
              <w:pStyle w:val="Heading2"/>
              <w:ind w:left="600" w:hanging="709"/>
            </w:pPr>
            <w:bookmarkStart w:id="17" w:name="_Toc234391378"/>
            <w:r>
              <w:t>Leadership</w:t>
            </w:r>
            <w:r w:rsidR="00FD682C">
              <w:t xml:space="preserve"> and </w:t>
            </w:r>
            <w:r w:rsidR="0016387F">
              <w:t>culture</w:t>
            </w:r>
            <w:bookmarkEnd w:id="17"/>
          </w:p>
        </w:tc>
        <w:tc>
          <w:tcPr>
            <w:tcW w:w="1276" w:type="dxa"/>
            <w:tcBorders>
              <w:left w:val="single" w:sz="4" w:space="0" w:color="auto"/>
            </w:tcBorders>
            <w:shd w:val="clear" w:color="auto" w:fill="00436C"/>
            <w:vAlign w:val="center"/>
          </w:tcPr>
          <w:p w14:paraId="22B9EC36" w14:textId="77777777" w:rsidR="00697BB6" w:rsidRPr="002F1968" w:rsidRDefault="00697BB6" w:rsidP="00083FF2">
            <w:pPr>
              <w:spacing w:after="0"/>
              <w:jc w:val="right"/>
              <w:rPr>
                <w:b/>
                <w:bCs/>
              </w:rPr>
            </w:pPr>
            <w:r>
              <w:rPr>
                <w:b/>
                <w:bCs/>
              </w:rPr>
              <w:t>Status</w:t>
            </w:r>
            <w:r w:rsidRPr="002F1968">
              <w:rPr>
                <w:b/>
                <w:bCs/>
              </w:rPr>
              <w:t>:</w:t>
            </w:r>
          </w:p>
        </w:tc>
        <w:tc>
          <w:tcPr>
            <w:tcW w:w="2263" w:type="dxa"/>
            <w:shd w:val="clear" w:color="auto" w:fill="CDE3DA"/>
            <w:vAlign w:val="center"/>
          </w:tcPr>
          <w:p w14:paraId="51A7896A" w14:textId="77777777" w:rsidR="00697BB6" w:rsidRPr="008025FD" w:rsidRDefault="00697BB6" w:rsidP="00083FF2">
            <w:pPr>
              <w:spacing w:after="0"/>
              <w:jc w:val="center"/>
              <w:rPr>
                <w:b/>
                <w:bCs/>
              </w:rPr>
            </w:pPr>
            <w:r>
              <w:rPr>
                <w:b/>
                <w:bCs/>
              </w:rPr>
              <w:t>Green</w:t>
            </w:r>
          </w:p>
        </w:tc>
      </w:tr>
    </w:tbl>
    <w:p w14:paraId="437C3834" w14:textId="77777777" w:rsidR="00517684" w:rsidRDefault="00517684" w:rsidP="00517684">
      <w:pPr>
        <w:pStyle w:val="Heading3"/>
      </w:pPr>
      <w:r>
        <w:t>Project overview</w:t>
      </w:r>
    </w:p>
    <w:p w14:paraId="59DB5226" w14:textId="77777777" w:rsidR="00517684" w:rsidRDefault="006032C1" w:rsidP="00790395">
      <w:pPr>
        <w:spacing w:before="120" w:after="120"/>
      </w:pPr>
      <w:r w:rsidRPr="006F7FCA">
        <w:t>This project will strengthen leadership capability and consistency, address siloed working, and build digital and system</w:t>
      </w:r>
      <w:r w:rsidRPr="006F7FCA">
        <w:noBreakHyphen/>
        <w:t>working confidence. It aligns leadership development with the future operating model, cultural expectations, and 26/27 strategic priorities, enabling adaptive, accountable and psychologically safe leadership across the organisation</w:t>
      </w:r>
      <w:r w:rsidR="00517684" w:rsidRPr="00FE1A18">
        <w:t>.</w:t>
      </w:r>
    </w:p>
    <w:p w14:paraId="3E892954" w14:textId="77777777" w:rsidR="00697BB6" w:rsidRDefault="00697BB6" w:rsidP="00697BB6">
      <w:pPr>
        <w:pStyle w:val="Heading3"/>
      </w:pPr>
      <w:r>
        <w:t>Highlights</w:t>
      </w:r>
    </w:p>
    <w:tbl>
      <w:tblPr>
        <w:tblStyle w:val="TableGrid"/>
        <w:tblW w:w="14454" w:type="dxa"/>
        <w:tblLook w:val="04A0" w:firstRow="1" w:lastRow="0" w:firstColumn="1" w:lastColumn="0" w:noHBand="0" w:noVBand="1"/>
      </w:tblPr>
      <w:tblGrid>
        <w:gridCol w:w="7225"/>
        <w:gridCol w:w="7229"/>
      </w:tblGrid>
      <w:tr w:rsidR="00697BB6" w:rsidRPr="008D47BA" w14:paraId="2B5BC053" w14:textId="77777777" w:rsidTr="00A06F6D">
        <w:trPr>
          <w:tblHeader/>
        </w:trPr>
        <w:tc>
          <w:tcPr>
            <w:tcW w:w="7225" w:type="dxa"/>
            <w:shd w:val="clear" w:color="auto" w:fill="00436C" w:themeFill="accent2"/>
          </w:tcPr>
          <w:p w14:paraId="2F03555B" w14:textId="77777777" w:rsidR="00697BB6" w:rsidRDefault="00697BB6" w:rsidP="00083FF2">
            <w:pPr>
              <w:pStyle w:val="Paragraph"/>
              <w:spacing w:before="120" w:after="120" w:line="240" w:lineRule="auto"/>
              <w:rPr>
                <w:b/>
                <w:bCs/>
                <w:color w:val="FFFFFF" w:themeColor="background1"/>
                <w:lang w:eastAsia="en-GB"/>
              </w:rPr>
            </w:pPr>
            <w:r>
              <w:rPr>
                <w:b/>
                <w:bCs/>
                <w:color w:val="FFFFFF" w:themeColor="background1"/>
                <w:lang w:eastAsia="en-GB"/>
              </w:rPr>
              <w:t>Progress and achievements</w:t>
            </w:r>
          </w:p>
        </w:tc>
        <w:tc>
          <w:tcPr>
            <w:tcW w:w="7229" w:type="dxa"/>
            <w:shd w:val="clear" w:color="auto" w:fill="00436C" w:themeFill="accent2"/>
          </w:tcPr>
          <w:p w14:paraId="2DEE55BB" w14:textId="77777777" w:rsidR="00697BB6" w:rsidRPr="008D47BA" w:rsidRDefault="00697BB6" w:rsidP="00083FF2">
            <w:pPr>
              <w:pStyle w:val="Paragraph"/>
              <w:spacing w:before="120" w:after="120" w:line="240" w:lineRule="auto"/>
              <w:rPr>
                <w:color w:val="FFFFFF" w:themeColor="background1"/>
                <w:lang w:eastAsia="en-GB"/>
              </w:rPr>
            </w:pPr>
            <w:r>
              <w:rPr>
                <w:b/>
                <w:bCs/>
                <w:color w:val="FFFFFF" w:themeColor="background1"/>
                <w:lang w:eastAsia="en-GB"/>
              </w:rPr>
              <w:t>Key next steps</w:t>
            </w:r>
          </w:p>
        </w:tc>
      </w:tr>
      <w:tr w:rsidR="00697BB6" w:rsidRPr="008D47BA" w14:paraId="74FACE53" w14:textId="77777777" w:rsidTr="00A06F6D">
        <w:trPr>
          <w:trHeight w:val="365"/>
        </w:trPr>
        <w:tc>
          <w:tcPr>
            <w:tcW w:w="7225" w:type="dxa"/>
          </w:tcPr>
          <w:p w14:paraId="2FD0B06D" w14:textId="73AD650E" w:rsidR="000D29CD" w:rsidRPr="000D29CD" w:rsidRDefault="000D29CD" w:rsidP="000D29CD">
            <w:pPr>
              <w:numPr>
                <w:ilvl w:val="0"/>
                <w:numId w:val="7"/>
              </w:numPr>
              <w:spacing w:before="120" w:after="120" w:line="264" w:lineRule="auto"/>
              <w:ind w:left="189" w:hanging="149"/>
              <w:rPr>
                <w:rFonts w:cs="Arial"/>
              </w:rPr>
            </w:pPr>
            <w:r w:rsidRPr="000D29CD">
              <w:rPr>
                <w:rFonts w:cs="Arial"/>
              </w:rPr>
              <w:t xml:space="preserve">Current state assessment completed across leadership, culture, learning and workforce capability activity. </w:t>
            </w:r>
          </w:p>
          <w:p w14:paraId="740D1FBC" w14:textId="067D6BDA" w:rsidR="000D29CD" w:rsidRPr="000D29CD" w:rsidRDefault="000D29CD" w:rsidP="000D29CD">
            <w:pPr>
              <w:numPr>
                <w:ilvl w:val="0"/>
                <w:numId w:val="7"/>
              </w:numPr>
              <w:spacing w:before="120" w:after="120" w:line="264" w:lineRule="auto"/>
              <w:ind w:left="189" w:hanging="149"/>
              <w:rPr>
                <w:rFonts w:cs="Arial"/>
              </w:rPr>
            </w:pPr>
            <w:r w:rsidRPr="000D29CD">
              <w:rPr>
                <w:rFonts w:cs="Arial"/>
              </w:rPr>
              <w:t xml:space="preserve">Future organisational capability framework developed, aligning leadership, workforce, skills and culture priorities </w:t>
            </w:r>
          </w:p>
          <w:p w14:paraId="36875CD8" w14:textId="03E4433D" w:rsidR="000D29CD" w:rsidRPr="000D29CD" w:rsidRDefault="000D29CD" w:rsidP="000D29CD">
            <w:pPr>
              <w:numPr>
                <w:ilvl w:val="0"/>
                <w:numId w:val="7"/>
              </w:numPr>
              <w:spacing w:before="120" w:after="120" w:line="264" w:lineRule="auto"/>
              <w:ind w:left="189" w:hanging="149"/>
              <w:rPr>
                <w:rFonts w:cs="Arial"/>
              </w:rPr>
            </w:pPr>
            <w:r w:rsidRPr="000D29CD">
              <w:rPr>
                <w:rFonts w:cs="Arial"/>
              </w:rPr>
              <w:t xml:space="preserve">People Strategy design underway to provide a coherent approach to workforce, leadership and capability development. </w:t>
            </w:r>
          </w:p>
          <w:p w14:paraId="02019387" w14:textId="0F8EF8DF" w:rsidR="000D29CD" w:rsidRPr="000D29CD" w:rsidRDefault="000D29CD" w:rsidP="000D29CD">
            <w:pPr>
              <w:numPr>
                <w:ilvl w:val="0"/>
                <w:numId w:val="7"/>
              </w:numPr>
              <w:spacing w:before="120" w:after="120" w:line="264" w:lineRule="auto"/>
              <w:ind w:left="189" w:hanging="149"/>
              <w:rPr>
                <w:rFonts w:cs="Arial"/>
              </w:rPr>
            </w:pPr>
            <w:r w:rsidRPr="000D29CD">
              <w:rPr>
                <w:rFonts w:cs="Arial"/>
              </w:rPr>
              <w:t xml:space="preserve">Leadership Academy model and future learning pathways developed. </w:t>
            </w:r>
          </w:p>
          <w:p w14:paraId="79EDFE60" w14:textId="428FD1EF" w:rsidR="00697BB6" w:rsidRPr="007E472B" w:rsidRDefault="000D29CD" w:rsidP="00083FF2">
            <w:pPr>
              <w:numPr>
                <w:ilvl w:val="0"/>
                <w:numId w:val="7"/>
              </w:numPr>
              <w:spacing w:before="120" w:after="120" w:line="264" w:lineRule="auto"/>
              <w:ind w:left="189" w:hanging="149"/>
              <w:rPr>
                <w:rFonts w:cs="Arial"/>
              </w:rPr>
            </w:pPr>
            <w:r w:rsidRPr="000D29CD">
              <w:rPr>
                <w:rFonts w:cs="Arial"/>
              </w:rPr>
              <w:t>Early delivery underway through values, engagement and listening activity.</w:t>
            </w:r>
          </w:p>
        </w:tc>
        <w:tc>
          <w:tcPr>
            <w:tcW w:w="7229" w:type="dxa"/>
          </w:tcPr>
          <w:p w14:paraId="1FAED538" w14:textId="5F635CD2" w:rsidR="00E4325F" w:rsidRPr="00E4325F" w:rsidRDefault="00E4325F" w:rsidP="00E4325F">
            <w:pPr>
              <w:numPr>
                <w:ilvl w:val="0"/>
                <w:numId w:val="7"/>
              </w:numPr>
              <w:spacing w:before="120" w:after="120" w:line="264" w:lineRule="auto"/>
              <w:ind w:left="189" w:hanging="149"/>
              <w:rPr>
                <w:rFonts w:cs="Arial"/>
              </w:rPr>
            </w:pPr>
            <w:r w:rsidRPr="00E4325F">
              <w:rPr>
                <w:rFonts w:cs="Arial"/>
              </w:rPr>
              <w:t xml:space="preserve">Finalise and launch the Leadership and Organisational Capability Framework. </w:t>
            </w:r>
          </w:p>
          <w:p w14:paraId="11368C3B" w14:textId="0CF05C3D" w:rsidR="00E4325F" w:rsidRPr="00E4325F" w:rsidRDefault="00E4325F" w:rsidP="00E4325F">
            <w:pPr>
              <w:numPr>
                <w:ilvl w:val="0"/>
                <w:numId w:val="7"/>
              </w:numPr>
              <w:spacing w:before="120" w:after="120" w:line="264" w:lineRule="auto"/>
              <w:ind w:left="189" w:hanging="149"/>
              <w:rPr>
                <w:rFonts w:cs="Arial"/>
              </w:rPr>
            </w:pPr>
            <w:r w:rsidRPr="00E4325F">
              <w:rPr>
                <w:rFonts w:cs="Arial"/>
              </w:rPr>
              <w:t xml:space="preserve">Establish baseline measures for leadership effectiveness, culture and future skills capability. </w:t>
            </w:r>
          </w:p>
          <w:p w14:paraId="74AE6076" w14:textId="24D60CA9" w:rsidR="00E4325F" w:rsidRPr="00E4325F" w:rsidRDefault="00E4325F" w:rsidP="00E4325F">
            <w:pPr>
              <w:numPr>
                <w:ilvl w:val="0"/>
                <w:numId w:val="7"/>
              </w:numPr>
              <w:spacing w:before="120" w:after="120" w:line="264" w:lineRule="auto"/>
              <w:ind w:left="189" w:hanging="149"/>
              <w:rPr>
                <w:rFonts w:cs="Arial"/>
              </w:rPr>
            </w:pPr>
            <w:r w:rsidRPr="00E4325F">
              <w:rPr>
                <w:rFonts w:cs="Arial"/>
              </w:rPr>
              <w:t xml:space="preserve">Launch the first </w:t>
            </w:r>
            <w:r>
              <w:rPr>
                <w:rFonts w:cs="Arial"/>
              </w:rPr>
              <w:t>NICE</w:t>
            </w:r>
            <w:r w:rsidRPr="00E4325F">
              <w:rPr>
                <w:rFonts w:cs="Arial"/>
              </w:rPr>
              <w:t xml:space="preserve"> Leadership </w:t>
            </w:r>
            <w:r>
              <w:rPr>
                <w:rFonts w:cs="Arial"/>
              </w:rPr>
              <w:t xml:space="preserve">Academy </w:t>
            </w:r>
            <w:r w:rsidRPr="00E4325F">
              <w:rPr>
                <w:rFonts w:cs="Arial"/>
              </w:rPr>
              <w:t xml:space="preserve">cohorts. </w:t>
            </w:r>
          </w:p>
          <w:p w14:paraId="3A449AFE" w14:textId="14EE17E5" w:rsidR="00697BB6" w:rsidRPr="00A60A03" w:rsidRDefault="00697BB6" w:rsidP="008A7073">
            <w:pPr>
              <w:spacing w:before="120" w:after="120" w:line="264" w:lineRule="auto"/>
              <w:ind w:left="189"/>
              <w:rPr>
                <w:rFonts w:cs="Arial"/>
              </w:rPr>
            </w:pPr>
          </w:p>
        </w:tc>
      </w:tr>
    </w:tbl>
    <w:tbl>
      <w:tblPr>
        <w:tblStyle w:val="TableGrid"/>
        <w:tblW w:w="14454" w:type="dxa"/>
        <w:tblLayout w:type="fixed"/>
        <w:tblLook w:val="04A0" w:firstRow="1" w:lastRow="0" w:firstColumn="1" w:lastColumn="0" w:noHBand="0" w:noVBand="1"/>
      </w:tblPr>
      <w:tblGrid>
        <w:gridCol w:w="10915"/>
        <w:gridCol w:w="1276"/>
        <w:gridCol w:w="2263"/>
      </w:tblGrid>
      <w:tr w:rsidR="00697BB6" w14:paraId="43309BBB" w14:textId="77777777" w:rsidTr="00083FF2">
        <w:trPr>
          <w:trHeight w:val="695"/>
        </w:trPr>
        <w:tc>
          <w:tcPr>
            <w:tcW w:w="10915" w:type="dxa"/>
            <w:tcBorders>
              <w:top w:val="single" w:sz="4" w:space="0" w:color="auto"/>
              <w:left w:val="nil"/>
              <w:bottom w:val="nil"/>
              <w:right w:val="single" w:sz="4" w:space="0" w:color="auto"/>
            </w:tcBorders>
            <w:vAlign w:val="center"/>
          </w:tcPr>
          <w:p w14:paraId="4FD5672E" w14:textId="58DF7153" w:rsidR="00697BB6" w:rsidRPr="00563A89" w:rsidRDefault="009845A3" w:rsidP="009845A3">
            <w:pPr>
              <w:pStyle w:val="Heading2"/>
              <w:ind w:left="600" w:hanging="709"/>
            </w:pPr>
            <w:bookmarkStart w:id="18" w:name="_Toc234391379"/>
            <w:r>
              <w:t>Communications</w:t>
            </w:r>
            <w:bookmarkEnd w:id="18"/>
          </w:p>
        </w:tc>
        <w:tc>
          <w:tcPr>
            <w:tcW w:w="1276" w:type="dxa"/>
            <w:tcBorders>
              <w:left w:val="single" w:sz="4" w:space="0" w:color="auto"/>
            </w:tcBorders>
            <w:shd w:val="clear" w:color="auto" w:fill="00436C"/>
            <w:vAlign w:val="center"/>
          </w:tcPr>
          <w:p w14:paraId="48E41D1D" w14:textId="77777777" w:rsidR="00697BB6" w:rsidRPr="002F1968" w:rsidRDefault="00697BB6" w:rsidP="00083FF2">
            <w:pPr>
              <w:spacing w:after="0"/>
              <w:jc w:val="right"/>
              <w:rPr>
                <w:b/>
                <w:bCs/>
              </w:rPr>
            </w:pPr>
            <w:r>
              <w:rPr>
                <w:b/>
                <w:bCs/>
              </w:rPr>
              <w:t>Status</w:t>
            </w:r>
            <w:r w:rsidRPr="002F1968">
              <w:rPr>
                <w:b/>
                <w:bCs/>
              </w:rPr>
              <w:t>:</w:t>
            </w:r>
          </w:p>
        </w:tc>
        <w:tc>
          <w:tcPr>
            <w:tcW w:w="2263" w:type="dxa"/>
            <w:shd w:val="clear" w:color="auto" w:fill="CDE3DA"/>
            <w:vAlign w:val="center"/>
          </w:tcPr>
          <w:p w14:paraId="723DAD5C" w14:textId="77777777" w:rsidR="00697BB6" w:rsidRPr="008025FD" w:rsidRDefault="00697BB6" w:rsidP="00083FF2">
            <w:pPr>
              <w:spacing w:after="0"/>
              <w:jc w:val="center"/>
              <w:rPr>
                <w:b/>
                <w:bCs/>
              </w:rPr>
            </w:pPr>
            <w:r>
              <w:rPr>
                <w:b/>
                <w:bCs/>
              </w:rPr>
              <w:t>Green</w:t>
            </w:r>
          </w:p>
        </w:tc>
      </w:tr>
    </w:tbl>
    <w:p w14:paraId="37468BE5" w14:textId="77777777" w:rsidR="00517684" w:rsidRDefault="00517684" w:rsidP="00517684">
      <w:pPr>
        <w:pStyle w:val="Heading3"/>
      </w:pPr>
      <w:r>
        <w:t>Project overview</w:t>
      </w:r>
    </w:p>
    <w:p w14:paraId="2B416A55" w14:textId="2FE50EAA" w:rsidR="00517684" w:rsidRDefault="00371EAA" w:rsidP="00517684">
      <w:r w:rsidRPr="00C90659">
        <w:t>A project to develop and deliver a three</w:t>
      </w:r>
      <w:r w:rsidRPr="00C90659">
        <w:noBreakHyphen/>
        <w:t>year, organisation</w:t>
      </w:r>
      <w:r w:rsidRPr="00C90659">
        <w:noBreakHyphen/>
        <w:t>wide communications strategy that clarifies and promotes NICE’s evolving role, ensuring consistent messaging, stronger system influence, and a confident workforce</w:t>
      </w:r>
      <w:r>
        <w:t xml:space="preserve">. This will </w:t>
      </w:r>
      <w:r w:rsidRPr="00C90659">
        <w:t>reduc</w:t>
      </w:r>
      <w:r>
        <w:t>e</w:t>
      </w:r>
      <w:r w:rsidRPr="00C90659">
        <w:t xml:space="preserve"> reputational risk and support organisational success during a period of significant </w:t>
      </w:r>
      <w:r>
        <w:t>transformation</w:t>
      </w:r>
      <w:r w:rsidR="00517684" w:rsidRPr="00FE1A18">
        <w:t>.</w:t>
      </w:r>
    </w:p>
    <w:p w14:paraId="3AD331C5" w14:textId="77777777" w:rsidR="00697BB6" w:rsidRDefault="00697BB6" w:rsidP="00697BB6">
      <w:pPr>
        <w:pStyle w:val="Heading3"/>
      </w:pPr>
      <w:r>
        <w:t>Highlights</w:t>
      </w:r>
    </w:p>
    <w:tbl>
      <w:tblPr>
        <w:tblStyle w:val="TableGrid"/>
        <w:tblW w:w="14454" w:type="dxa"/>
        <w:tblLook w:val="04A0" w:firstRow="1" w:lastRow="0" w:firstColumn="1" w:lastColumn="0" w:noHBand="0" w:noVBand="1"/>
      </w:tblPr>
      <w:tblGrid>
        <w:gridCol w:w="8500"/>
        <w:gridCol w:w="5954"/>
      </w:tblGrid>
      <w:tr w:rsidR="00697BB6" w:rsidRPr="008D47BA" w14:paraId="51F65D94" w14:textId="77777777" w:rsidTr="008A467E">
        <w:trPr>
          <w:tblHeader/>
        </w:trPr>
        <w:tc>
          <w:tcPr>
            <w:tcW w:w="8500" w:type="dxa"/>
            <w:shd w:val="clear" w:color="auto" w:fill="00436C" w:themeFill="accent2"/>
          </w:tcPr>
          <w:p w14:paraId="53292E6D" w14:textId="77777777" w:rsidR="00697BB6" w:rsidRDefault="00697BB6" w:rsidP="00083FF2">
            <w:pPr>
              <w:pStyle w:val="Paragraph"/>
              <w:spacing w:before="120" w:after="120" w:line="240" w:lineRule="auto"/>
              <w:rPr>
                <w:b/>
                <w:bCs/>
                <w:color w:val="FFFFFF" w:themeColor="background1"/>
                <w:lang w:eastAsia="en-GB"/>
              </w:rPr>
            </w:pPr>
            <w:r>
              <w:rPr>
                <w:b/>
                <w:bCs/>
                <w:color w:val="FFFFFF" w:themeColor="background1"/>
                <w:lang w:eastAsia="en-GB"/>
              </w:rPr>
              <w:t>Progress and achievements</w:t>
            </w:r>
          </w:p>
        </w:tc>
        <w:tc>
          <w:tcPr>
            <w:tcW w:w="5954" w:type="dxa"/>
            <w:shd w:val="clear" w:color="auto" w:fill="00436C" w:themeFill="accent2"/>
          </w:tcPr>
          <w:p w14:paraId="6DE6FFF5" w14:textId="77777777" w:rsidR="00697BB6" w:rsidRPr="008D47BA" w:rsidRDefault="00697BB6" w:rsidP="00083FF2">
            <w:pPr>
              <w:pStyle w:val="Paragraph"/>
              <w:spacing w:before="120" w:after="120" w:line="240" w:lineRule="auto"/>
              <w:rPr>
                <w:color w:val="FFFFFF" w:themeColor="background1"/>
                <w:lang w:eastAsia="en-GB"/>
              </w:rPr>
            </w:pPr>
            <w:r>
              <w:rPr>
                <w:b/>
                <w:bCs/>
                <w:color w:val="FFFFFF" w:themeColor="background1"/>
                <w:lang w:eastAsia="en-GB"/>
              </w:rPr>
              <w:t>Key next steps</w:t>
            </w:r>
          </w:p>
        </w:tc>
      </w:tr>
      <w:tr w:rsidR="00697BB6" w:rsidRPr="008D47BA" w14:paraId="508F7FE9" w14:textId="77777777" w:rsidTr="008A467E">
        <w:trPr>
          <w:trHeight w:val="365"/>
        </w:trPr>
        <w:tc>
          <w:tcPr>
            <w:tcW w:w="8500" w:type="dxa"/>
          </w:tcPr>
          <w:p w14:paraId="5A29F6A9" w14:textId="0B32E9CD" w:rsidR="00697BB6" w:rsidRDefault="00D92C4E" w:rsidP="009D45C6">
            <w:pPr>
              <w:numPr>
                <w:ilvl w:val="0"/>
                <w:numId w:val="7"/>
              </w:numPr>
              <w:spacing w:before="60" w:after="60" w:line="264" w:lineRule="auto"/>
              <w:ind w:left="187" w:hanging="147"/>
              <w:rPr>
                <w:rFonts w:cs="Arial"/>
              </w:rPr>
            </w:pPr>
            <w:r>
              <w:rPr>
                <w:rFonts w:cs="Arial"/>
              </w:rPr>
              <w:t xml:space="preserve">Final draft of </w:t>
            </w:r>
            <w:r w:rsidR="00A71E2B">
              <w:rPr>
                <w:rFonts w:cs="Arial"/>
              </w:rPr>
              <w:t>three-year</w:t>
            </w:r>
            <w:r>
              <w:rPr>
                <w:rFonts w:cs="Arial"/>
              </w:rPr>
              <w:t xml:space="preserve"> communications </w:t>
            </w:r>
            <w:r w:rsidR="00A71E2B">
              <w:rPr>
                <w:rFonts w:cs="Arial"/>
              </w:rPr>
              <w:t xml:space="preserve">and engagement </w:t>
            </w:r>
            <w:r>
              <w:rPr>
                <w:rFonts w:cs="Arial"/>
              </w:rPr>
              <w:t xml:space="preserve">strategy developed and shared with </w:t>
            </w:r>
            <w:r w:rsidR="00A71E2B">
              <w:rPr>
                <w:rFonts w:cs="Arial"/>
              </w:rPr>
              <w:t>approval from Board in May 2026.</w:t>
            </w:r>
          </w:p>
          <w:p w14:paraId="782A32A0" w14:textId="17763A41" w:rsidR="00A71E2B" w:rsidRDefault="00320ACB" w:rsidP="009D45C6">
            <w:pPr>
              <w:numPr>
                <w:ilvl w:val="0"/>
                <w:numId w:val="7"/>
              </w:numPr>
              <w:spacing w:before="60" w:after="60" w:line="264" w:lineRule="auto"/>
              <w:ind w:left="187" w:hanging="147"/>
              <w:rPr>
                <w:rFonts w:cs="Arial"/>
              </w:rPr>
            </w:pPr>
            <w:r>
              <w:rPr>
                <w:rFonts w:cs="Arial"/>
              </w:rPr>
              <w:t xml:space="preserve">Digital content strategy </w:t>
            </w:r>
            <w:r w:rsidR="00840B94">
              <w:rPr>
                <w:rFonts w:cs="Arial"/>
              </w:rPr>
              <w:t xml:space="preserve">refresh </w:t>
            </w:r>
            <w:r w:rsidR="009878DF">
              <w:rPr>
                <w:rFonts w:cs="Arial"/>
              </w:rPr>
              <w:t>launched with Communications Directorate</w:t>
            </w:r>
            <w:r w:rsidR="00840B94">
              <w:rPr>
                <w:rFonts w:cs="Arial"/>
              </w:rPr>
              <w:t xml:space="preserve"> </w:t>
            </w:r>
          </w:p>
          <w:p w14:paraId="0A80E1F2" w14:textId="77777777" w:rsidR="00840B94" w:rsidRDefault="00840B94" w:rsidP="009D45C6">
            <w:pPr>
              <w:numPr>
                <w:ilvl w:val="0"/>
                <w:numId w:val="7"/>
              </w:numPr>
              <w:spacing w:before="60" w:after="60" w:line="264" w:lineRule="auto"/>
              <w:ind w:left="187" w:hanging="147"/>
              <w:rPr>
                <w:rFonts w:cs="Arial"/>
              </w:rPr>
            </w:pPr>
            <w:r>
              <w:rPr>
                <w:rFonts w:cs="Arial"/>
              </w:rPr>
              <w:t xml:space="preserve">Development of core narrative and internal communications and engagement plan for NICE 2029 strategy refresh </w:t>
            </w:r>
          </w:p>
          <w:p w14:paraId="5BE78E74" w14:textId="2B9924D3" w:rsidR="009878DF" w:rsidRDefault="00722706" w:rsidP="009D45C6">
            <w:pPr>
              <w:numPr>
                <w:ilvl w:val="0"/>
                <w:numId w:val="7"/>
              </w:numPr>
              <w:spacing w:before="60" w:after="60" w:line="264" w:lineRule="auto"/>
              <w:ind w:left="187" w:hanging="147"/>
              <w:rPr>
                <w:rFonts w:cs="Arial"/>
              </w:rPr>
            </w:pPr>
            <w:r>
              <w:rPr>
                <w:rFonts w:cs="Arial"/>
              </w:rPr>
              <w:t xml:space="preserve">Continued events progress including </w:t>
            </w:r>
            <w:r w:rsidR="001419C3">
              <w:rPr>
                <w:rFonts w:cs="Arial"/>
              </w:rPr>
              <w:t xml:space="preserve">successful delivery of NHS </w:t>
            </w:r>
            <w:proofErr w:type="spellStart"/>
            <w:r w:rsidR="001419C3">
              <w:rPr>
                <w:rFonts w:cs="Arial"/>
              </w:rPr>
              <w:t>ConfedExpo</w:t>
            </w:r>
            <w:proofErr w:type="spellEnd"/>
            <w:r w:rsidR="001419C3">
              <w:rPr>
                <w:rFonts w:cs="Arial"/>
              </w:rPr>
              <w:t xml:space="preserve"> plans and </w:t>
            </w:r>
            <w:r>
              <w:rPr>
                <w:rFonts w:cs="Arial"/>
              </w:rPr>
              <w:t>p</w:t>
            </w:r>
            <w:r w:rsidR="009878DF">
              <w:rPr>
                <w:rFonts w:cs="Arial"/>
              </w:rPr>
              <w:t>rocurement of NICE conference partner underway</w:t>
            </w:r>
          </w:p>
          <w:p w14:paraId="2E3C5285" w14:textId="77777777" w:rsidR="009878DF" w:rsidRDefault="009878DF" w:rsidP="009D45C6">
            <w:pPr>
              <w:numPr>
                <w:ilvl w:val="0"/>
                <w:numId w:val="7"/>
              </w:numPr>
              <w:spacing w:before="60" w:after="60" w:line="264" w:lineRule="auto"/>
              <w:ind w:left="187" w:hanging="147"/>
              <w:rPr>
                <w:rFonts w:cs="Arial"/>
              </w:rPr>
            </w:pPr>
            <w:r>
              <w:rPr>
                <w:rFonts w:cs="Arial"/>
              </w:rPr>
              <w:t xml:space="preserve">Directorate development and improvement plan </w:t>
            </w:r>
            <w:r w:rsidR="00A40908">
              <w:rPr>
                <w:rFonts w:cs="Arial"/>
              </w:rPr>
              <w:t>drafted and socialised with support from People team</w:t>
            </w:r>
          </w:p>
          <w:p w14:paraId="3A4DDD32" w14:textId="77777777" w:rsidR="00A40908" w:rsidRDefault="00A40908" w:rsidP="009D45C6">
            <w:pPr>
              <w:numPr>
                <w:ilvl w:val="0"/>
                <w:numId w:val="7"/>
              </w:numPr>
              <w:spacing w:before="60" w:after="60" w:line="264" w:lineRule="auto"/>
              <w:ind w:left="187" w:hanging="147"/>
              <w:rPr>
                <w:rFonts w:cs="Arial"/>
              </w:rPr>
            </w:pPr>
            <w:r>
              <w:rPr>
                <w:rFonts w:cs="Arial"/>
              </w:rPr>
              <w:t>Mid-year reputational research ‘dip’ launched with key stakeholders</w:t>
            </w:r>
          </w:p>
          <w:p w14:paraId="778FF9FA" w14:textId="38C48A20" w:rsidR="00D81ACD" w:rsidRPr="00D81ACD" w:rsidRDefault="001419C3" w:rsidP="009D45C6">
            <w:pPr>
              <w:numPr>
                <w:ilvl w:val="0"/>
                <w:numId w:val="7"/>
              </w:numPr>
              <w:spacing w:before="60" w:after="60" w:line="264" w:lineRule="auto"/>
              <w:ind w:left="187" w:hanging="147"/>
              <w:rPr>
                <w:rFonts w:cs="Arial"/>
              </w:rPr>
            </w:pPr>
            <w:r>
              <w:rPr>
                <w:rFonts w:cs="Arial"/>
              </w:rPr>
              <w:t xml:space="preserve">Launch of </w:t>
            </w:r>
            <w:r w:rsidR="00D81ACD">
              <w:rPr>
                <w:rFonts w:cs="Arial"/>
              </w:rPr>
              <w:t>second phase of NICE’s Healthtech marketing campaign</w:t>
            </w:r>
            <w:r w:rsidR="00D81ACD" w:rsidRPr="00D81ACD">
              <w:rPr>
                <w:rFonts w:cs="Arial"/>
              </w:rPr>
              <w:t xml:space="preserve"> </w:t>
            </w:r>
          </w:p>
          <w:p w14:paraId="7370CF1A" w14:textId="1314B2A9" w:rsidR="00697BB6" w:rsidRPr="007E472B" w:rsidRDefault="00722706" w:rsidP="009D45C6">
            <w:pPr>
              <w:numPr>
                <w:ilvl w:val="0"/>
                <w:numId w:val="7"/>
              </w:numPr>
              <w:spacing w:before="60" w:after="60" w:line="264" w:lineRule="auto"/>
              <w:ind w:left="187" w:hanging="147"/>
              <w:rPr>
                <w:rFonts w:cs="Arial"/>
              </w:rPr>
            </w:pPr>
            <w:r w:rsidRPr="00722706">
              <w:rPr>
                <w:rFonts w:cs="Arial"/>
              </w:rPr>
              <w:t>Develop</w:t>
            </w:r>
            <w:r>
              <w:rPr>
                <w:rFonts w:cs="Arial"/>
              </w:rPr>
              <w:t>ing</w:t>
            </w:r>
            <w:r w:rsidRPr="00722706">
              <w:rPr>
                <w:rFonts w:cs="Arial"/>
              </w:rPr>
              <w:t xml:space="preserve"> overarching narrative and key messages explaining </w:t>
            </w:r>
            <w:r>
              <w:rPr>
                <w:rFonts w:cs="Arial"/>
              </w:rPr>
              <w:t>our WLA ambitions</w:t>
            </w:r>
          </w:p>
        </w:tc>
        <w:tc>
          <w:tcPr>
            <w:tcW w:w="5954" w:type="dxa"/>
          </w:tcPr>
          <w:p w14:paraId="5F55F0C3" w14:textId="54C5D05C" w:rsidR="00A40908" w:rsidRPr="009732D0" w:rsidRDefault="00D76B79" w:rsidP="009D45C6">
            <w:pPr>
              <w:numPr>
                <w:ilvl w:val="0"/>
                <w:numId w:val="7"/>
              </w:numPr>
              <w:tabs>
                <w:tab w:val="num" w:pos="720"/>
              </w:tabs>
              <w:spacing w:before="60" w:after="60" w:line="264" w:lineRule="auto"/>
              <w:ind w:left="187" w:hanging="147"/>
              <w:rPr>
                <w:rFonts w:cs="Arial"/>
              </w:rPr>
            </w:pPr>
            <w:r w:rsidRPr="009732D0">
              <w:rPr>
                <w:rFonts w:cs="Arial"/>
              </w:rPr>
              <w:t>Agreement of s</w:t>
            </w:r>
            <w:r w:rsidR="00A40908" w:rsidRPr="009732D0">
              <w:rPr>
                <w:rFonts w:cs="Arial"/>
              </w:rPr>
              <w:t>trategic</w:t>
            </w:r>
            <w:r w:rsidRPr="009732D0">
              <w:rPr>
                <w:rFonts w:cs="Arial"/>
              </w:rPr>
              <w:t xml:space="preserve"> engagement framework at </w:t>
            </w:r>
            <w:r w:rsidR="00EF41C7">
              <w:rPr>
                <w:rFonts w:cs="Arial"/>
              </w:rPr>
              <w:t>NICE Executive Team (</w:t>
            </w:r>
            <w:r w:rsidRPr="009732D0">
              <w:rPr>
                <w:rFonts w:cs="Arial"/>
              </w:rPr>
              <w:t>ET</w:t>
            </w:r>
            <w:r w:rsidR="00EF41C7">
              <w:rPr>
                <w:rFonts w:cs="Arial"/>
              </w:rPr>
              <w:t>)</w:t>
            </w:r>
            <w:r w:rsidRPr="009732D0">
              <w:rPr>
                <w:rFonts w:cs="Arial"/>
              </w:rPr>
              <w:t xml:space="preserve"> and implementation / testing of new approach </w:t>
            </w:r>
            <w:r w:rsidR="009732D0">
              <w:rPr>
                <w:rFonts w:cs="Arial"/>
              </w:rPr>
              <w:t>alongside</w:t>
            </w:r>
            <w:r w:rsidR="00A40908" w:rsidRPr="009732D0">
              <w:rPr>
                <w:rFonts w:cs="Arial"/>
              </w:rPr>
              <w:t xml:space="preserve"> stakeholder mapping</w:t>
            </w:r>
          </w:p>
          <w:p w14:paraId="51919522" w14:textId="77777777" w:rsidR="00264CAE" w:rsidRPr="00264CAE" w:rsidRDefault="00A61532" w:rsidP="009D45C6">
            <w:pPr>
              <w:numPr>
                <w:ilvl w:val="0"/>
                <w:numId w:val="7"/>
              </w:numPr>
              <w:spacing w:before="60" w:after="60" w:line="264" w:lineRule="auto"/>
              <w:ind w:left="187" w:hanging="147"/>
              <w:rPr>
                <w:rFonts w:cs="Arial"/>
              </w:rPr>
            </w:pPr>
            <w:r>
              <w:rPr>
                <w:rFonts w:cs="Arial"/>
              </w:rPr>
              <w:t>Development of refreshed brand strategy</w:t>
            </w:r>
            <w:r w:rsidR="009732D0">
              <w:rPr>
                <w:rFonts w:cs="Arial"/>
              </w:rPr>
              <w:t xml:space="preserve"> underway, </w:t>
            </w:r>
            <w:r w:rsidR="00264CAE">
              <w:rPr>
                <w:rFonts w:cs="Arial"/>
              </w:rPr>
              <w:t xml:space="preserve">considering </w:t>
            </w:r>
            <w:r w:rsidR="00264CAE" w:rsidRPr="00264CAE">
              <w:rPr>
                <w:rFonts w:cs="Arial"/>
              </w:rPr>
              <w:t>value proposition, tone of voice and internal relaunch</w:t>
            </w:r>
          </w:p>
          <w:p w14:paraId="1EA5F606" w14:textId="0F0EB1F1" w:rsidR="00A61532" w:rsidRDefault="009732D0" w:rsidP="009D45C6">
            <w:pPr>
              <w:numPr>
                <w:ilvl w:val="0"/>
                <w:numId w:val="7"/>
              </w:numPr>
              <w:spacing w:before="60" w:after="60" w:line="264" w:lineRule="auto"/>
              <w:ind w:left="187" w:hanging="147"/>
              <w:rPr>
                <w:rFonts w:cs="Arial"/>
              </w:rPr>
            </w:pPr>
            <w:r>
              <w:rPr>
                <w:rFonts w:cs="Arial"/>
              </w:rPr>
              <w:t>Delivery of e</w:t>
            </w:r>
            <w:r w:rsidR="00A61532">
              <w:rPr>
                <w:rFonts w:cs="Arial"/>
              </w:rPr>
              <w:t>xpanded media and spokesperson training for senior leaders</w:t>
            </w:r>
            <w:r>
              <w:rPr>
                <w:rFonts w:cs="Arial"/>
              </w:rPr>
              <w:t xml:space="preserve"> </w:t>
            </w:r>
          </w:p>
          <w:p w14:paraId="553F28F0" w14:textId="4BA75C08" w:rsidR="001D1D25" w:rsidRDefault="009732D0" w:rsidP="009D45C6">
            <w:pPr>
              <w:numPr>
                <w:ilvl w:val="0"/>
                <w:numId w:val="7"/>
              </w:numPr>
              <w:spacing w:before="60" w:after="60" w:line="264" w:lineRule="auto"/>
              <w:ind w:left="187" w:hanging="147"/>
              <w:rPr>
                <w:rFonts w:cs="Arial"/>
              </w:rPr>
            </w:pPr>
            <w:r>
              <w:rPr>
                <w:rFonts w:cs="Arial"/>
              </w:rPr>
              <w:t>Implementation of d</w:t>
            </w:r>
            <w:r w:rsidR="00A61532">
              <w:rPr>
                <w:rFonts w:cs="Arial"/>
              </w:rPr>
              <w:t xml:space="preserve">igital communications improvements including </w:t>
            </w:r>
            <w:r w:rsidR="00A61532" w:rsidRPr="00A61532">
              <w:rPr>
                <w:rFonts w:cs="Arial"/>
              </w:rPr>
              <w:t>website homepage redesign</w:t>
            </w:r>
          </w:p>
          <w:p w14:paraId="49C61E91" w14:textId="3B918FDB" w:rsidR="00697BB6" w:rsidRPr="00A60A03" w:rsidRDefault="003C27B7" w:rsidP="009D45C6">
            <w:pPr>
              <w:numPr>
                <w:ilvl w:val="0"/>
                <w:numId w:val="7"/>
              </w:numPr>
              <w:spacing w:before="60" w:after="60" w:line="264" w:lineRule="auto"/>
              <w:ind w:left="187" w:hanging="147"/>
              <w:rPr>
                <w:rFonts w:cs="Arial"/>
              </w:rPr>
            </w:pPr>
            <w:r w:rsidRPr="001D1D25">
              <w:rPr>
                <w:rFonts w:cs="Arial"/>
              </w:rPr>
              <w:t>Business continuity and crisis communications plans reviewed and updated</w:t>
            </w:r>
          </w:p>
        </w:tc>
      </w:tr>
    </w:tbl>
    <w:p w14:paraId="371102AF" w14:textId="77777777" w:rsidR="00697BB6" w:rsidRDefault="00697BB6" w:rsidP="00697BB6">
      <w:r>
        <w:br w:type="page"/>
      </w:r>
    </w:p>
    <w:p w14:paraId="5CB912EF" w14:textId="2E399B0B" w:rsidR="004375F1" w:rsidRDefault="004375F1" w:rsidP="00D46651">
      <w:pPr>
        <w:pStyle w:val="Heading1"/>
      </w:pPr>
      <w:bookmarkStart w:id="19" w:name="_Toc229060287"/>
      <w:bookmarkStart w:id="20" w:name="_Toc234391380"/>
      <w:r>
        <w:t>Finance report</w:t>
      </w:r>
      <w:bookmarkEnd w:id="19"/>
      <w:bookmarkEnd w:id="20"/>
    </w:p>
    <w:p w14:paraId="4C4E836A" w14:textId="4AD0893D" w:rsidR="00DE0BA8" w:rsidRPr="00F04664" w:rsidRDefault="00DE0BA8" w:rsidP="00D46651">
      <w:pPr>
        <w:pStyle w:val="Heading2"/>
      </w:pPr>
      <w:bookmarkStart w:id="21" w:name="_Toc234391381"/>
      <w:r>
        <w:t>Overview</w:t>
      </w:r>
      <w:r w:rsidR="00AA0C6B">
        <w:t xml:space="preserve"> as at Month 2 (end of May 2026)</w:t>
      </w:r>
      <w:bookmarkEnd w:id="21"/>
    </w:p>
    <w:tbl>
      <w:tblPr>
        <w:tblStyle w:val="TableGrid"/>
        <w:tblW w:w="14153" w:type="dxa"/>
        <w:tblLayout w:type="fixed"/>
        <w:tblLook w:val="04A0" w:firstRow="1" w:lastRow="0" w:firstColumn="1" w:lastColumn="0" w:noHBand="0" w:noVBand="1"/>
      </w:tblPr>
      <w:tblGrid>
        <w:gridCol w:w="3823"/>
        <w:gridCol w:w="1559"/>
        <w:gridCol w:w="1400"/>
        <w:gridCol w:w="1577"/>
        <w:gridCol w:w="283"/>
        <w:gridCol w:w="1985"/>
        <w:gridCol w:w="1735"/>
        <w:gridCol w:w="1791"/>
      </w:tblGrid>
      <w:tr w:rsidR="002D411B" w14:paraId="22F44EA0" w14:textId="77777777" w:rsidTr="001B7043">
        <w:trPr>
          <w:trHeight w:val="799"/>
          <w:tblHeader/>
        </w:trPr>
        <w:tc>
          <w:tcPr>
            <w:tcW w:w="3823" w:type="dxa"/>
            <w:shd w:val="clear" w:color="auto" w:fill="00436C" w:themeFill="accent2"/>
            <w:vAlign w:val="center"/>
          </w:tcPr>
          <w:p w14:paraId="186B80C8" w14:textId="414C6323" w:rsidR="002D411B" w:rsidRDefault="002D411B" w:rsidP="005B2637">
            <w:pPr>
              <w:pStyle w:val="Paragraph"/>
              <w:spacing w:after="0" w:line="240" w:lineRule="auto"/>
              <w:rPr>
                <w:b/>
                <w:bCs/>
                <w:color w:val="FFFFFF" w:themeColor="background1"/>
                <w:lang w:eastAsia="en-GB"/>
              </w:rPr>
            </w:pPr>
            <w:r>
              <w:rPr>
                <w:b/>
                <w:bCs/>
                <w:color w:val="FFFFFF" w:themeColor="background1"/>
                <w:lang w:eastAsia="en-GB"/>
              </w:rPr>
              <w:t>Spend category (Revenue)</w:t>
            </w:r>
          </w:p>
        </w:tc>
        <w:tc>
          <w:tcPr>
            <w:tcW w:w="1559" w:type="dxa"/>
            <w:shd w:val="clear" w:color="auto" w:fill="00436C" w:themeFill="accent2"/>
            <w:vAlign w:val="center"/>
          </w:tcPr>
          <w:p w14:paraId="57FE7D31" w14:textId="0EDE54F3" w:rsidR="002D411B" w:rsidRDefault="002D411B" w:rsidP="005B2637">
            <w:pPr>
              <w:pStyle w:val="Paragraph"/>
              <w:spacing w:after="0" w:line="240" w:lineRule="auto"/>
              <w:jc w:val="right"/>
              <w:rPr>
                <w:b/>
                <w:bCs/>
                <w:color w:val="FFFFFF" w:themeColor="background1"/>
                <w:lang w:eastAsia="en-GB"/>
              </w:rPr>
            </w:pPr>
            <w:r>
              <w:rPr>
                <w:b/>
                <w:bCs/>
                <w:color w:val="FFFFFF" w:themeColor="background1"/>
                <w:lang w:eastAsia="en-GB"/>
              </w:rPr>
              <w:t xml:space="preserve">YTD budget </w:t>
            </w:r>
            <w:r w:rsidR="001B7043">
              <w:rPr>
                <w:b/>
                <w:bCs/>
                <w:color w:val="FFFFFF" w:themeColor="background1"/>
                <w:lang w:eastAsia="en-GB"/>
              </w:rPr>
              <w:t>(</w:t>
            </w:r>
            <w:r w:rsidRPr="00A6335E">
              <w:rPr>
                <w:b/>
                <w:bCs/>
                <w:color w:val="FFFFFF" w:themeColor="background1"/>
                <w:lang w:eastAsia="en-GB"/>
              </w:rPr>
              <w:t>£</w:t>
            </w:r>
            <w:r>
              <w:rPr>
                <w:b/>
                <w:bCs/>
                <w:color w:val="FFFFFF" w:themeColor="background1"/>
                <w:lang w:eastAsia="en-GB"/>
              </w:rPr>
              <w:t>000</w:t>
            </w:r>
            <w:r w:rsidR="001B7043">
              <w:rPr>
                <w:b/>
                <w:bCs/>
                <w:color w:val="FFFFFF" w:themeColor="background1"/>
                <w:lang w:eastAsia="en-GB"/>
              </w:rPr>
              <w:t>)</w:t>
            </w:r>
          </w:p>
        </w:tc>
        <w:tc>
          <w:tcPr>
            <w:tcW w:w="1400" w:type="dxa"/>
            <w:shd w:val="clear" w:color="auto" w:fill="00436C" w:themeFill="accent2"/>
            <w:vAlign w:val="center"/>
          </w:tcPr>
          <w:p w14:paraId="510A720D" w14:textId="44224C6E" w:rsidR="002D411B" w:rsidRDefault="002D411B" w:rsidP="005B2637">
            <w:pPr>
              <w:pStyle w:val="Paragraph"/>
              <w:spacing w:after="0" w:line="240" w:lineRule="auto"/>
              <w:jc w:val="right"/>
              <w:rPr>
                <w:b/>
                <w:bCs/>
                <w:color w:val="FFFFFF" w:themeColor="background1"/>
                <w:lang w:eastAsia="en-GB"/>
              </w:rPr>
            </w:pPr>
            <w:r>
              <w:rPr>
                <w:b/>
                <w:bCs/>
                <w:color w:val="FFFFFF" w:themeColor="background1"/>
                <w:lang w:eastAsia="en-GB"/>
              </w:rPr>
              <w:t xml:space="preserve">YTD actual </w:t>
            </w:r>
            <w:r w:rsidR="001B7043">
              <w:rPr>
                <w:b/>
                <w:bCs/>
                <w:color w:val="FFFFFF" w:themeColor="background1"/>
                <w:lang w:eastAsia="en-GB"/>
              </w:rPr>
              <w:t>(</w:t>
            </w:r>
            <w:r w:rsidRPr="00A6335E">
              <w:rPr>
                <w:b/>
                <w:bCs/>
                <w:color w:val="FFFFFF" w:themeColor="background1"/>
                <w:lang w:eastAsia="en-GB"/>
              </w:rPr>
              <w:t>£</w:t>
            </w:r>
            <w:r>
              <w:rPr>
                <w:b/>
                <w:bCs/>
                <w:color w:val="FFFFFF" w:themeColor="background1"/>
                <w:lang w:eastAsia="en-GB"/>
              </w:rPr>
              <w:t>000</w:t>
            </w:r>
            <w:r w:rsidR="001B7043">
              <w:rPr>
                <w:b/>
                <w:bCs/>
                <w:color w:val="FFFFFF" w:themeColor="background1"/>
                <w:lang w:eastAsia="en-GB"/>
              </w:rPr>
              <w:t>)</w:t>
            </w:r>
          </w:p>
        </w:tc>
        <w:tc>
          <w:tcPr>
            <w:tcW w:w="1577" w:type="dxa"/>
            <w:shd w:val="clear" w:color="auto" w:fill="00436C" w:themeFill="accent2"/>
            <w:vAlign w:val="center"/>
          </w:tcPr>
          <w:p w14:paraId="1C5F1E26" w14:textId="54DA09E1" w:rsidR="002D411B" w:rsidRDefault="002D411B" w:rsidP="005B2637">
            <w:pPr>
              <w:pStyle w:val="Paragraph"/>
              <w:spacing w:after="0" w:line="240" w:lineRule="auto"/>
              <w:jc w:val="right"/>
              <w:rPr>
                <w:b/>
                <w:bCs/>
                <w:color w:val="FFFFFF" w:themeColor="background1"/>
                <w:lang w:eastAsia="en-GB"/>
              </w:rPr>
            </w:pPr>
            <w:r>
              <w:rPr>
                <w:b/>
                <w:bCs/>
                <w:color w:val="FFFFFF" w:themeColor="background1"/>
                <w:lang w:eastAsia="en-GB"/>
              </w:rPr>
              <w:t xml:space="preserve">YTD variance </w:t>
            </w:r>
            <w:r w:rsidR="001B7043">
              <w:rPr>
                <w:b/>
                <w:bCs/>
                <w:color w:val="FFFFFF" w:themeColor="background1"/>
                <w:lang w:eastAsia="en-GB"/>
              </w:rPr>
              <w:t>(</w:t>
            </w:r>
            <w:r w:rsidRPr="00A6335E">
              <w:rPr>
                <w:b/>
                <w:bCs/>
                <w:color w:val="FFFFFF" w:themeColor="background1"/>
                <w:lang w:eastAsia="en-GB"/>
              </w:rPr>
              <w:t>£</w:t>
            </w:r>
            <w:r>
              <w:rPr>
                <w:b/>
                <w:bCs/>
                <w:color w:val="FFFFFF" w:themeColor="background1"/>
                <w:lang w:eastAsia="en-GB"/>
              </w:rPr>
              <w:t>000</w:t>
            </w:r>
            <w:r w:rsidR="001B7043">
              <w:rPr>
                <w:b/>
                <w:bCs/>
                <w:color w:val="FFFFFF" w:themeColor="background1"/>
                <w:lang w:eastAsia="en-GB"/>
              </w:rPr>
              <w:t>)</w:t>
            </w:r>
          </w:p>
        </w:tc>
        <w:tc>
          <w:tcPr>
            <w:tcW w:w="283" w:type="dxa"/>
            <w:vMerge w:val="restart"/>
            <w:shd w:val="clear" w:color="auto" w:fill="BFBFBF" w:themeFill="background1" w:themeFillShade="BF"/>
            <w:vAlign w:val="center"/>
          </w:tcPr>
          <w:p w14:paraId="7CE17E27" w14:textId="62D83B12" w:rsidR="002D411B" w:rsidRDefault="002D411B" w:rsidP="005B2637">
            <w:pPr>
              <w:pStyle w:val="Paragraph"/>
              <w:spacing w:after="0" w:line="240" w:lineRule="auto"/>
              <w:jc w:val="right"/>
              <w:rPr>
                <w:b/>
                <w:bCs/>
                <w:color w:val="FFFFFF" w:themeColor="background1"/>
                <w:lang w:eastAsia="en-GB"/>
              </w:rPr>
            </w:pPr>
          </w:p>
        </w:tc>
        <w:tc>
          <w:tcPr>
            <w:tcW w:w="1985" w:type="dxa"/>
            <w:shd w:val="clear" w:color="auto" w:fill="00436C" w:themeFill="accent2"/>
            <w:vAlign w:val="center"/>
          </w:tcPr>
          <w:p w14:paraId="1DFEECEF" w14:textId="1E31F06E" w:rsidR="002D411B" w:rsidRDefault="002D411B" w:rsidP="005B2637">
            <w:pPr>
              <w:pStyle w:val="Paragraph"/>
              <w:spacing w:after="0" w:line="240" w:lineRule="auto"/>
              <w:jc w:val="right"/>
              <w:rPr>
                <w:b/>
                <w:bCs/>
                <w:color w:val="FFFFFF" w:themeColor="background1"/>
                <w:lang w:eastAsia="en-GB"/>
              </w:rPr>
            </w:pPr>
            <w:r>
              <w:rPr>
                <w:b/>
                <w:bCs/>
                <w:color w:val="FFFFFF" w:themeColor="background1"/>
                <w:lang w:eastAsia="en-GB"/>
              </w:rPr>
              <w:t>Annual budget</w:t>
            </w:r>
          </w:p>
          <w:p w14:paraId="4B9FFA66" w14:textId="34A02F79" w:rsidR="002D411B" w:rsidRDefault="001B7043" w:rsidP="005B2637">
            <w:pPr>
              <w:pStyle w:val="Paragraph"/>
              <w:spacing w:after="0" w:line="240" w:lineRule="auto"/>
              <w:jc w:val="right"/>
              <w:rPr>
                <w:b/>
                <w:bCs/>
                <w:color w:val="FFFFFF" w:themeColor="background1"/>
                <w:lang w:eastAsia="en-GB"/>
              </w:rPr>
            </w:pPr>
            <w:r>
              <w:rPr>
                <w:b/>
                <w:bCs/>
                <w:color w:val="FFFFFF" w:themeColor="background1"/>
                <w:lang w:eastAsia="en-GB"/>
              </w:rPr>
              <w:t>(</w:t>
            </w:r>
            <w:r w:rsidR="002D411B" w:rsidRPr="00A6335E">
              <w:rPr>
                <w:b/>
                <w:bCs/>
                <w:color w:val="FFFFFF" w:themeColor="background1"/>
                <w:lang w:eastAsia="en-GB"/>
              </w:rPr>
              <w:t>£</w:t>
            </w:r>
            <w:r w:rsidR="002D411B">
              <w:rPr>
                <w:b/>
                <w:bCs/>
                <w:color w:val="FFFFFF" w:themeColor="background1"/>
                <w:lang w:eastAsia="en-GB"/>
              </w:rPr>
              <w:t>000</w:t>
            </w:r>
            <w:r>
              <w:rPr>
                <w:b/>
                <w:bCs/>
                <w:color w:val="FFFFFF" w:themeColor="background1"/>
                <w:lang w:eastAsia="en-GB"/>
              </w:rPr>
              <w:t>)</w:t>
            </w:r>
          </w:p>
        </w:tc>
        <w:tc>
          <w:tcPr>
            <w:tcW w:w="1735" w:type="dxa"/>
            <w:shd w:val="clear" w:color="auto" w:fill="00436C" w:themeFill="accent2"/>
            <w:vAlign w:val="center"/>
          </w:tcPr>
          <w:p w14:paraId="35433FB1" w14:textId="274C3589" w:rsidR="002D411B" w:rsidRDefault="002D411B" w:rsidP="005B2637">
            <w:pPr>
              <w:pStyle w:val="Paragraph"/>
              <w:spacing w:after="0" w:line="240" w:lineRule="auto"/>
              <w:jc w:val="right"/>
              <w:rPr>
                <w:b/>
                <w:bCs/>
                <w:color w:val="FFFFFF" w:themeColor="background1"/>
                <w:lang w:eastAsia="en-GB"/>
              </w:rPr>
            </w:pPr>
            <w:r>
              <w:rPr>
                <w:b/>
                <w:bCs/>
                <w:color w:val="FFFFFF" w:themeColor="background1"/>
                <w:lang w:eastAsia="en-GB"/>
              </w:rPr>
              <w:t xml:space="preserve"> Forecast outturn</w:t>
            </w:r>
          </w:p>
          <w:p w14:paraId="2E7884AF" w14:textId="309FE264" w:rsidR="002D411B" w:rsidRDefault="001B7043" w:rsidP="005B2637">
            <w:pPr>
              <w:pStyle w:val="Paragraph"/>
              <w:spacing w:after="0" w:line="240" w:lineRule="auto"/>
              <w:jc w:val="right"/>
              <w:rPr>
                <w:b/>
                <w:bCs/>
                <w:color w:val="FFFFFF" w:themeColor="background1"/>
                <w:lang w:eastAsia="en-GB"/>
              </w:rPr>
            </w:pPr>
            <w:r>
              <w:rPr>
                <w:b/>
                <w:bCs/>
                <w:color w:val="FFFFFF" w:themeColor="background1"/>
                <w:lang w:eastAsia="en-GB"/>
              </w:rPr>
              <w:t>(</w:t>
            </w:r>
            <w:r w:rsidR="002D411B" w:rsidRPr="00A6335E">
              <w:rPr>
                <w:b/>
                <w:bCs/>
                <w:color w:val="FFFFFF" w:themeColor="background1"/>
                <w:lang w:eastAsia="en-GB"/>
              </w:rPr>
              <w:t>£</w:t>
            </w:r>
            <w:r w:rsidR="002D411B">
              <w:rPr>
                <w:b/>
                <w:bCs/>
                <w:color w:val="FFFFFF" w:themeColor="background1"/>
                <w:lang w:eastAsia="en-GB"/>
              </w:rPr>
              <w:t>000</w:t>
            </w:r>
            <w:r>
              <w:rPr>
                <w:b/>
                <w:bCs/>
                <w:color w:val="FFFFFF" w:themeColor="background1"/>
                <w:lang w:eastAsia="en-GB"/>
              </w:rPr>
              <w:t>)</w:t>
            </w:r>
          </w:p>
        </w:tc>
        <w:tc>
          <w:tcPr>
            <w:tcW w:w="1791" w:type="dxa"/>
            <w:shd w:val="clear" w:color="auto" w:fill="00436C" w:themeFill="accent2"/>
            <w:vAlign w:val="center"/>
          </w:tcPr>
          <w:p w14:paraId="691E348C" w14:textId="77777777" w:rsidR="001B7043" w:rsidRDefault="002D411B" w:rsidP="00A6335E">
            <w:pPr>
              <w:pStyle w:val="Paragraph"/>
              <w:spacing w:after="0" w:line="240" w:lineRule="auto"/>
              <w:jc w:val="right"/>
              <w:rPr>
                <w:b/>
                <w:bCs/>
                <w:color w:val="FFFFFF" w:themeColor="background1"/>
                <w:lang w:eastAsia="en-GB"/>
              </w:rPr>
            </w:pPr>
            <w:r>
              <w:rPr>
                <w:b/>
                <w:bCs/>
                <w:color w:val="FFFFFF" w:themeColor="background1"/>
                <w:lang w:eastAsia="en-GB"/>
              </w:rPr>
              <w:t>Forecast variance</w:t>
            </w:r>
          </w:p>
          <w:p w14:paraId="5355F066" w14:textId="22907CD0" w:rsidR="002D411B" w:rsidRDefault="001B7043" w:rsidP="005B2637">
            <w:pPr>
              <w:pStyle w:val="Paragraph"/>
              <w:spacing w:after="0" w:line="240" w:lineRule="auto"/>
              <w:jc w:val="right"/>
              <w:rPr>
                <w:b/>
                <w:bCs/>
                <w:color w:val="FFFFFF" w:themeColor="background1"/>
                <w:lang w:eastAsia="en-GB"/>
              </w:rPr>
            </w:pPr>
            <w:r>
              <w:rPr>
                <w:b/>
                <w:bCs/>
                <w:color w:val="FFFFFF" w:themeColor="background1"/>
                <w:lang w:eastAsia="en-GB"/>
              </w:rPr>
              <w:t>(</w:t>
            </w:r>
            <w:r w:rsidR="002D411B" w:rsidRPr="00A6335E">
              <w:rPr>
                <w:b/>
                <w:bCs/>
                <w:color w:val="FFFFFF" w:themeColor="background1"/>
                <w:lang w:eastAsia="en-GB"/>
              </w:rPr>
              <w:t>£</w:t>
            </w:r>
            <w:r w:rsidR="002D411B">
              <w:rPr>
                <w:b/>
                <w:bCs/>
                <w:color w:val="FFFFFF" w:themeColor="background1"/>
                <w:lang w:eastAsia="en-GB"/>
              </w:rPr>
              <w:t>000</w:t>
            </w:r>
            <w:r>
              <w:rPr>
                <w:b/>
                <w:bCs/>
                <w:color w:val="FFFFFF" w:themeColor="background1"/>
                <w:lang w:eastAsia="en-GB"/>
              </w:rPr>
              <w:t>)</w:t>
            </w:r>
          </w:p>
        </w:tc>
      </w:tr>
      <w:tr w:rsidR="002D411B" w:rsidRPr="006711EF" w14:paraId="3632CB56" w14:textId="77777777" w:rsidTr="001B7043">
        <w:trPr>
          <w:trHeight w:val="70"/>
        </w:trPr>
        <w:tc>
          <w:tcPr>
            <w:tcW w:w="3823" w:type="dxa"/>
            <w:vAlign w:val="center"/>
          </w:tcPr>
          <w:p w14:paraId="1179143D" w14:textId="1B26D13C" w:rsidR="002D411B" w:rsidRPr="000558D1" w:rsidRDefault="002D411B" w:rsidP="005B2637">
            <w:pPr>
              <w:pStyle w:val="Paragraph"/>
              <w:spacing w:before="60" w:after="60" w:line="240" w:lineRule="auto"/>
              <w:rPr>
                <w:lang w:eastAsia="en-GB"/>
              </w:rPr>
            </w:pPr>
            <w:r>
              <w:rPr>
                <w:lang w:eastAsia="en-GB"/>
              </w:rPr>
              <w:t>Pay</w:t>
            </w:r>
          </w:p>
        </w:tc>
        <w:tc>
          <w:tcPr>
            <w:tcW w:w="1559" w:type="dxa"/>
            <w:vAlign w:val="center"/>
          </w:tcPr>
          <w:p w14:paraId="23EF50A8" w14:textId="2E41650C" w:rsidR="002D411B" w:rsidRPr="000558D1" w:rsidRDefault="00343917" w:rsidP="005B2637">
            <w:pPr>
              <w:pStyle w:val="Paragraph"/>
              <w:spacing w:before="60" w:after="60" w:line="240" w:lineRule="auto"/>
              <w:jc w:val="right"/>
              <w:rPr>
                <w:lang w:eastAsia="en-GB"/>
              </w:rPr>
            </w:pPr>
            <w:r>
              <w:rPr>
                <w:lang w:eastAsia="en-GB"/>
              </w:rPr>
              <w:t>11,387</w:t>
            </w:r>
          </w:p>
        </w:tc>
        <w:tc>
          <w:tcPr>
            <w:tcW w:w="1400" w:type="dxa"/>
            <w:vAlign w:val="center"/>
          </w:tcPr>
          <w:p w14:paraId="59E0FAA9" w14:textId="641A62C7" w:rsidR="002D411B" w:rsidRPr="000558D1" w:rsidRDefault="00343917" w:rsidP="005B2637">
            <w:pPr>
              <w:pStyle w:val="Paragraph"/>
              <w:spacing w:before="60" w:after="60" w:line="240" w:lineRule="auto"/>
              <w:jc w:val="right"/>
              <w:rPr>
                <w:lang w:eastAsia="en-GB"/>
              </w:rPr>
            </w:pPr>
            <w:r>
              <w:rPr>
                <w:lang w:eastAsia="en-GB"/>
              </w:rPr>
              <w:t>11,444</w:t>
            </w:r>
          </w:p>
        </w:tc>
        <w:tc>
          <w:tcPr>
            <w:tcW w:w="1577" w:type="dxa"/>
            <w:vAlign w:val="center"/>
          </w:tcPr>
          <w:p w14:paraId="3929EB1B" w14:textId="4073C53B" w:rsidR="002D411B" w:rsidRPr="000558D1" w:rsidRDefault="00343917" w:rsidP="005B2637">
            <w:pPr>
              <w:pStyle w:val="Paragraph"/>
              <w:spacing w:before="60" w:after="60" w:line="240" w:lineRule="auto"/>
              <w:jc w:val="right"/>
              <w:rPr>
                <w:lang w:eastAsia="en-GB"/>
              </w:rPr>
            </w:pPr>
            <w:r>
              <w:rPr>
                <w:lang w:eastAsia="en-GB"/>
              </w:rPr>
              <w:t>58</w:t>
            </w:r>
          </w:p>
        </w:tc>
        <w:tc>
          <w:tcPr>
            <w:tcW w:w="283" w:type="dxa"/>
            <w:vMerge/>
            <w:shd w:val="clear" w:color="auto" w:fill="BFBFBF" w:themeFill="background1" w:themeFillShade="BF"/>
            <w:vAlign w:val="center"/>
          </w:tcPr>
          <w:p w14:paraId="0555164C" w14:textId="4FB04A94" w:rsidR="002D411B" w:rsidRPr="000558D1" w:rsidRDefault="002D411B" w:rsidP="005B2637">
            <w:pPr>
              <w:pStyle w:val="Paragraph"/>
              <w:spacing w:before="60" w:after="60" w:line="240" w:lineRule="auto"/>
              <w:jc w:val="right"/>
              <w:rPr>
                <w:lang w:eastAsia="en-GB"/>
              </w:rPr>
            </w:pPr>
          </w:p>
        </w:tc>
        <w:tc>
          <w:tcPr>
            <w:tcW w:w="1985" w:type="dxa"/>
            <w:vAlign w:val="center"/>
          </w:tcPr>
          <w:p w14:paraId="0450D937" w14:textId="33142060" w:rsidR="002D411B" w:rsidRPr="000558D1" w:rsidRDefault="00C004A9" w:rsidP="005B2637">
            <w:pPr>
              <w:pStyle w:val="Paragraph"/>
              <w:spacing w:before="60" w:after="60" w:line="240" w:lineRule="auto"/>
              <w:jc w:val="right"/>
              <w:rPr>
                <w:lang w:eastAsia="en-GB"/>
              </w:rPr>
            </w:pPr>
            <w:r>
              <w:rPr>
                <w:lang w:eastAsia="en-GB"/>
              </w:rPr>
              <w:t>68,746</w:t>
            </w:r>
          </w:p>
        </w:tc>
        <w:tc>
          <w:tcPr>
            <w:tcW w:w="1735" w:type="dxa"/>
            <w:vAlign w:val="center"/>
          </w:tcPr>
          <w:p w14:paraId="4F3C2A1B" w14:textId="3C5AF439" w:rsidR="002D411B" w:rsidRPr="006711EF" w:rsidRDefault="00C004A9" w:rsidP="005B2637">
            <w:pPr>
              <w:pStyle w:val="Paragraph"/>
              <w:spacing w:before="60" w:after="60" w:line="240" w:lineRule="auto"/>
              <w:jc w:val="right"/>
              <w:rPr>
                <w:rFonts w:cs="Arial"/>
                <w:color w:val="000000"/>
                <w:kern w:val="24"/>
              </w:rPr>
            </w:pPr>
            <w:r>
              <w:rPr>
                <w:rFonts w:cs="Arial"/>
                <w:color w:val="000000"/>
                <w:kern w:val="24"/>
              </w:rPr>
              <w:t>67,859</w:t>
            </w:r>
          </w:p>
        </w:tc>
        <w:tc>
          <w:tcPr>
            <w:tcW w:w="1791" w:type="dxa"/>
            <w:vAlign w:val="center"/>
          </w:tcPr>
          <w:p w14:paraId="09DE74C8" w14:textId="05D0BD3D" w:rsidR="002D411B" w:rsidRPr="006711EF" w:rsidRDefault="00C004A9" w:rsidP="005B2637">
            <w:pPr>
              <w:pStyle w:val="Paragraph"/>
              <w:spacing w:before="60" w:after="60" w:line="240" w:lineRule="auto"/>
              <w:jc w:val="right"/>
              <w:rPr>
                <w:rFonts w:cs="Arial"/>
                <w:color w:val="000000"/>
                <w:kern w:val="24"/>
              </w:rPr>
            </w:pPr>
            <w:r>
              <w:rPr>
                <w:rFonts w:cs="Arial"/>
                <w:color w:val="000000"/>
                <w:kern w:val="24"/>
              </w:rPr>
              <w:t>(887)</w:t>
            </w:r>
          </w:p>
        </w:tc>
      </w:tr>
      <w:tr w:rsidR="002D411B" w:rsidRPr="006711EF" w14:paraId="5F371109" w14:textId="77777777" w:rsidTr="001B7043">
        <w:trPr>
          <w:trHeight w:val="70"/>
        </w:trPr>
        <w:tc>
          <w:tcPr>
            <w:tcW w:w="3823" w:type="dxa"/>
            <w:vAlign w:val="center"/>
          </w:tcPr>
          <w:p w14:paraId="7DED051C" w14:textId="6B530F60" w:rsidR="002D411B" w:rsidRDefault="002D411B" w:rsidP="005B2637">
            <w:pPr>
              <w:pStyle w:val="Paragraph"/>
              <w:spacing w:before="60" w:after="60" w:line="240" w:lineRule="auto"/>
              <w:rPr>
                <w:rFonts w:cs="Arial"/>
                <w:color w:val="000000"/>
                <w:kern w:val="24"/>
              </w:rPr>
            </w:pPr>
            <w:r>
              <w:rPr>
                <w:rFonts w:cs="Arial"/>
                <w:color w:val="000000"/>
                <w:kern w:val="24"/>
              </w:rPr>
              <w:t>Non-Pay</w:t>
            </w:r>
          </w:p>
        </w:tc>
        <w:tc>
          <w:tcPr>
            <w:tcW w:w="1559" w:type="dxa"/>
            <w:vAlign w:val="center"/>
          </w:tcPr>
          <w:p w14:paraId="1BE1E2B7" w14:textId="0C106F36" w:rsidR="002D411B" w:rsidRPr="000558D1" w:rsidRDefault="00C004A9" w:rsidP="005B2637">
            <w:pPr>
              <w:pStyle w:val="Paragraph"/>
              <w:spacing w:before="60" w:after="60" w:line="240" w:lineRule="auto"/>
              <w:jc w:val="right"/>
              <w:rPr>
                <w:rFonts w:cs="Arial"/>
                <w:color w:val="000000"/>
                <w:kern w:val="24"/>
              </w:rPr>
            </w:pPr>
            <w:r>
              <w:rPr>
                <w:rFonts w:cs="Arial"/>
                <w:color w:val="000000"/>
                <w:kern w:val="24"/>
              </w:rPr>
              <w:t>4,075</w:t>
            </w:r>
          </w:p>
        </w:tc>
        <w:tc>
          <w:tcPr>
            <w:tcW w:w="1400" w:type="dxa"/>
            <w:vAlign w:val="center"/>
          </w:tcPr>
          <w:p w14:paraId="68D5769C" w14:textId="256564E6" w:rsidR="002D411B" w:rsidRPr="000558D1" w:rsidRDefault="00C004A9" w:rsidP="005B2637">
            <w:pPr>
              <w:pStyle w:val="Paragraph"/>
              <w:spacing w:before="60" w:after="60" w:line="240" w:lineRule="auto"/>
              <w:jc w:val="right"/>
              <w:rPr>
                <w:rFonts w:cs="Arial"/>
                <w:color w:val="000000"/>
                <w:kern w:val="24"/>
              </w:rPr>
            </w:pPr>
            <w:r>
              <w:rPr>
                <w:rFonts w:cs="Arial"/>
                <w:color w:val="000000"/>
                <w:kern w:val="24"/>
              </w:rPr>
              <w:t>3,962</w:t>
            </w:r>
          </w:p>
        </w:tc>
        <w:tc>
          <w:tcPr>
            <w:tcW w:w="1577" w:type="dxa"/>
            <w:vAlign w:val="center"/>
          </w:tcPr>
          <w:p w14:paraId="0AE758A5" w14:textId="0EBC98A6" w:rsidR="002D411B" w:rsidRPr="000558D1" w:rsidRDefault="00C004A9" w:rsidP="005B2637">
            <w:pPr>
              <w:pStyle w:val="Paragraph"/>
              <w:spacing w:before="60" w:after="60" w:line="240" w:lineRule="auto"/>
              <w:jc w:val="right"/>
              <w:rPr>
                <w:rFonts w:cs="Arial"/>
                <w:color w:val="000000"/>
                <w:kern w:val="24"/>
              </w:rPr>
            </w:pPr>
            <w:r>
              <w:rPr>
                <w:rFonts w:cs="Arial"/>
                <w:color w:val="000000"/>
                <w:kern w:val="24"/>
              </w:rPr>
              <w:t>(113)</w:t>
            </w:r>
          </w:p>
        </w:tc>
        <w:tc>
          <w:tcPr>
            <w:tcW w:w="283" w:type="dxa"/>
            <w:vMerge/>
            <w:shd w:val="clear" w:color="auto" w:fill="BFBFBF" w:themeFill="background1" w:themeFillShade="BF"/>
            <w:vAlign w:val="center"/>
          </w:tcPr>
          <w:p w14:paraId="2B6C95F4" w14:textId="31F12363" w:rsidR="002D411B" w:rsidRPr="000558D1" w:rsidRDefault="002D411B" w:rsidP="005B2637">
            <w:pPr>
              <w:pStyle w:val="Paragraph"/>
              <w:spacing w:before="60" w:after="60" w:line="240" w:lineRule="auto"/>
              <w:jc w:val="right"/>
              <w:rPr>
                <w:rFonts w:cs="Arial"/>
                <w:color w:val="000000"/>
                <w:kern w:val="24"/>
              </w:rPr>
            </w:pPr>
          </w:p>
        </w:tc>
        <w:tc>
          <w:tcPr>
            <w:tcW w:w="1985" w:type="dxa"/>
            <w:vAlign w:val="center"/>
          </w:tcPr>
          <w:p w14:paraId="2626CD45" w14:textId="09F538BC" w:rsidR="002D411B" w:rsidRPr="000558D1" w:rsidRDefault="00C004A9" w:rsidP="005B2637">
            <w:pPr>
              <w:pStyle w:val="Paragraph"/>
              <w:spacing w:before="60" w:after="60" w:line="240" w:lineRule="auto"/>
              <w:jc w:val="right"/>
              <w:rPr>
                <w:rFonts w:cs="Arial"/>
                <w:color w:val="000000"/>
                <w:kern w:val="24"/>
              </w:rPr>
            </w:pPr>
            <w:r>
              <w:rPr>
                <w:rFonts w:cs="Arial"/>
                <w:color w:val="000000"/>
                <w:kern w:val="24"/>
              </w:rPr>
              <w:t>23,819</w:t>
            </w:r>
          </w:p>
        </w:tc>
        <w:tc>
          <w:tcPr>
            <w:tcW w:w="1735" w:type="dxa"/>
            <w:vAlign w:val="center"/>
          </w:tcPr>
          <w:p w14:paraId="399D9766" w14:textId="707E062F" w:rsidR="002D411B" w:rsidRPr="000558D1" w:rsidRDefault="00C004A9" w:rsidP="005B2637">
            <w:pPr>
              <w:pStyle w:val="Paragraph"/>
              <w:spacing w:before="60" w:after="60" w:line="240" w:lineRule="auto"/>
              <w:jc w:val="right"/>
              <w:rPr>
                <w:rFonts w:cs="Arial"/>
                <w:color w:val="000000"/>
                <w:kern w:val="24"/>
              </w:rPr>
            </w:pPr>
            <w:r>
              <w:rPr>
                <w:rFonts w:cs="Arial"/>
                <w:color w:val="000000"/>
                <w:kern w:val="24"/>
              </w:rPr>
              <w:t>25,206</w:t>
            </w:r>
          </w:p>
        </w:tc>
        <w:tc>
          <w:tcPr>
            <w:tcW w:w="1791" w:type="dxa"/>
            <w:vAlign w:val="center"/>
          </w:tcPr>
          <w:p w14:paraId="6DC5FAE5" w14:textId="4FBBE0A2" w:rsidR="002D411B" w:rsidRPr="006711EF" w:rsidRDefault="00C004A9" w:rsidP="005B2637">
            <w:pPr>
              <w:pStyle w:val="Paragraph"/>
              <w:spacing w:before="60" w:after="60" w:line="240" w:lineRule="auto"/>
              <w:jc w:val="right"/>
              <w:rPr>
                <w:rFonts w:cs="Arial"/>
                <w:color w:val="000000"/>
                <w:kern w:val="24"/>
              </w:rPr>
            </w:pPr>
            <w:r>
              <w:rPr>
                <w:rFonts w:cs="Arial"/>
                <w:color w:val="000000"/>
                <w:kern w:val="24"/>
              </w:rPr>
              <w:t>1,387</w:t>
            </w:r>
          </w:p>
        </w:tc>
      </w:tr>
      <w:tr w:rsidR="002D411B" w:rsidRPr="006711EF" w14:paraId="228803FB" w14:textId="77777777" w:rsidTr="001B7043">
        <w:trPr>
          <w:trHeight w:val="70"/>
        </w:trPr>
        <w:tc>
          <w:tcPr>
            <w:tcW w:w="3823" w:type="dxa"/>
            <w:vAlign w:val="center"/>
          </w:tcPr>
          <w:p w14:paraId="7A582E36" w14:textId="788DF418" w:rsidR="002D411B" w:rsidRPr="0012257D" w:rsidRDefault="00562E7D" w:rsidP="005B2637">
            <w:pPr>
              <w:pStyle w:val="Paragraph"/>
              <w:spacing w:before="60" w:after="60" w:line="240" w:lineRule="auto"/>
              <w:rPr>
                <w:rFonts w:cs="Arial"/>
                <w:color w:val="000000"/>
                <w:kern w:val="24"/>
              </w:rPr>
            </w:pPr>
            <w:r>
              <w:rPr>
                <w:rFonts w:cs="Arial"/>
                <w:color w:val="000000"/>
                <w:kern w:val="24"/>
              </w:rPr>
              <w:t>Planned</w:t>
            </w:r>
            <w:r w:rsidR="005B57A5" w:rsidRPr="00A6335E">
              <w:rPr>
                <w:rFonts w:cs="Arial"/>
                <w:color w:val="000000"/>
                <w:kern w:val="24"/>
              </w:rPr>
              <w:t xml:space="preserve"> </w:t>
            </w:r>
            <w:r w:rsidR="005B57A5">
              <w:rPr>
                <w:rFonts w:cs="Arial"/>
                <w:color w:val="000000"/>
                <w:kern w:val="24"/>
              </w:rPr>
              <w:t>additional</w:t>
            </w:r>
            <w:r w:rsidR="002D411B">
              <w:rPr>
                <w:rFonts w:cs="Arial"/>
                <w:color w:val="000000"/>
                <w:kern w:val="24"/>
              </w:rPr>
              <w:t xml:space="preserve"> budget cover</w:t>
            </w:r>
          </w:p>
        </w:tc>
        <w:tc>
          <w:tcPr>
            <w:tcW w:w="1559" w:type="dxa"/>
            <w:vAlign w:val="center"/>
          </w:tcPr>
          <w:p w14:paraId="1AB40FEF" w14:textId="6CF54CBB" w:rsidR="002D411B" w:rsidRPr="000F05C7" w:rsidRDefault="007B2C40" w:rsidP="005B2637">
            <w:pPr>
              <w:pStyle w:val="Paragraph"/>
              <w:spacing w:before="60" w:after="60" w:line="240" w:lineRule="auto"/>
              <w:jc w:val="right"/>
              <w:rPr>
                <w:rFonts w:cs="Arial"/>
                <w:kern w:val="24"/>
              </w:rPr>
            </w:pPr>
            <w:r w:rsidRPr="0012257D">
              <w:rPr>
                <w:rFonts w:cs="Arial"/>
                <w:kern w:val="24"/>
              </w:rPr>
              <w:t>0</w:t>
            </w:r>
          </w:p>
        </w:tc>
        <w:tc>
          <w:tcPr>
            <w:tcW w:w="1400" w:type="dxa"/>
            <w:vAlign w:val="center"/>
          </w:tcPr>
          <w:p w14:paraId="1499AA91" w14:textId="6BB8FE43" w:rsidR="002D411B" w:rsidRPr="000F05C7" w:rsidRDefault="007B2C40" w:rsidP="005B2637">
            <w:pPr>
              <w:pStyle w:val="Paragraph"/>
              <w:spacing w:before="60" w:after="60" w:line="240" w:lineRule="auto"/>
              <w:jc w:val="right"/>
              <w:rPr>
                <w:rFonts w:cs="Arial"/>
                <w:kern w:val="24"/>
              </w:rPr>
            </w:pPr>
            <w:r w:rsidRPr="0012257D">
              <w:rPr>
                <w:rFonts w:cs="Arial"/>
                <w:kern w:val="24"/>
              </w:rPr>
              <w:t>0</w:t>
            </w:r>
          </w:p>
        </w:tc>
        <w:tc>
          <w:tcPr>
            <w:tcW w:w="1577" w:type="dxa"/>
            <w:vAlign w:val="center"/>
          </w:tcPr>
          <w:p w14:paraId="4D9D1E23" w14:textId="4EF1FE1C" w:rsidR="002D411B" w:rsidRPr="000F05C7" w:rsidRDefault="007B2C40" w:rsidP="005B2637">
            <w:pPr>
              <w:pStyle w:val="Paragraph"/>
              <w:spacing w:before="60" w:after="60" w:line="240" w:lineRule="auto"/>
              <w:jc w:val="right"/>
              <w:rPr>
                <w:rFonts w:cs="Arial"/>
                <w:kern w:val="24"/>
              </w:rPr>
            </w:pPr>
            <w:r w:rsidRPr="0012257D">
              <w:rPr>
                <w:rFonts w:cs="Arial"/>
                <w:kern w:val="24"/>
              </w:rPr>
              <w:t>0</w:t>
            </w:r>
          </w:p>
        </w:tc>
        <w:tc>
          <w:tcPr>
            <w:tcW w:w="283" w:type="dxa"/>
            <w:vMerge/>
            <w:shd w:val="clear" w:color="auto" w:fill="BFBFBF" w:themeFill="background1" w:themeFillShade="BF"/>
            <w:vAlign w:val="center"/>
          </w:tcPr>
          <w:p w14:paraId="64ABD6FE" w14:textId="4975F74D" w:rsidR="002D411B" w:rsidRPr="000F05C7" w:rsidRDefault="002D411B" w:rsidP="005B2637">
            <w:pPr>
              <w:pStyle w:val="Paragraph"/>
              <w:spacing w:before="60" w:after="60" w:line="240" w:lineRule="auto"/>
              <w:jc w:val="right"/>
              <w:rPr>
                <w:rFonts w:cs="Arial"/>
                <w:kern w:val="24"/>
              </w:rPr>
            </w:pPr>
          </w:p>
        </w:tc>
        <w:tc>
          <w:tcPr>
            <w:tcW w:w="1985" w:type="dxa"/>
            <w:vAlign w:val="center"/>
          </w:tcPr>
          <w:p w14:paraId="70FF69C0" w14:textId="7736611E" w:rsidR="002D411B" w:rsidRPr="0012257D" w:rsidRDefault="007B2C40" w:rsidP="005B2637">
            <w:pPr>
              <w:pStyle w:val="Paragraph"/>
              <w:spacing w:before="60" w:after="60" w:line="240" w:lineRule="auto"/>
              <w:jc w:val="right"/>
              <w:rPr>
                <w:rFonts w:cs="Arial"/>
                <w:kern w:val="24"/>
              </w:rPr>
            </w:pPr>
            <w:r w:rsidRPr="0012257D">
              <w:rPr>
                <w:rFonts w:cs="Arial"/>
                <w:kern w:val="24"/>
              </w:rPr>
              <w:t>1,039</w:t>
            </w:r>
          </w:p>
        </w:tc>
        <w:tc>
          <w:tcPr>
            <w:tcW w:w="1735" w:type="dxa"/>
            <w:vAlign w:val="center"/>
          </w:tcPr>
          <w:p w14:paraId="1188D826" w14:textId="668901FE" w:rsidR="002D411B" w:rsidRPr="0012257D" w:rsidRDefault="007B2C40" w:rsidP="005B2637">
            <w:pPr>
              <w:pStyle w:val="Paragraph"/>
              <w:spacing w:before="60" w:after="60" w:line="240" w:lineRule="auto"/>
              <w:jc w:val="right"/>
              <w:rPr>
                <w:rFonts w:cs="Arial"/>
                <w:kern w:val="24"/>
              </w:rPr>
            </w:pPr>
            <w:r w:rsidRPr="0012257D">
              <w:rPr>
                <w:rFonts w:cs="Arial"/>
                <w:kern w:val="24"/>
              </w:rPr>
              <w:t>0</w:t>
            </w:r>
          </w:p>
        </w:tc>
        <w:tc>
          <w:tcPr>
            <w:tcW w:w="1791" w:type="dxa"/>
            <w:vAlign w:val="center"/>
          </w:tcPr>
          <w:p w14:paraId="49D8F050" w14:textId="54881A1B" w:rsidR="002D411B" w:rsidRPr="0012257D" w:rsidRDefault="007B2C40" w:rsidP="005B2637">
            <w:pPr>
              <w:pStyle w:val="Paragraph"/>
              <w:spacing w:before="60" w:after="60" w:line="240" w:lineRule="auto"/>
              <w:jc w:val="right"/>
              <w:rPr>
                <w:rFonts w:cs="Arial"/>
                <w:kern w:val="24"/>
              </w:rPr>
            </w:pPr>
            <w:r w:rsidRPr="0012257D">
              <w:rPr>
                <w:rFonts w:cs="Arial"/>
                <w:kern w:val="24"/>
              </w:rPr>
              <w:t>(1,039)</w:t>
            </w:r>
          </w:p>
        </w:tc>
      </w:tr>
      <w:tr w:rsidR="002D411B" w:rsidRPr="006711EF" w14:paraId="7F824DF3" w14:textId="77777777" w:rsidTr="001B7043">
        <w:trPr>
          <w:trHeight w:val="70"/>
        </w:trPr>
        <w:tc>
          <w:tcPr>
            <w:tcW w:w="3823" w:type="dxa"/>
            <w:shd w:val="clear" w:color="auto" w:fill="DED5CA"/>
            <w:vAlign w:val="center"/>
          </w:tcPr>
          <w:p w14:paraId="6C2EC902" w14:textId="5B5367DD" w:rsidR="002D411B" w:rsidRPr="0012257D" w:rsidRDefault="00105511" w:rsidP="005B2637">
            <w:pPr>
              <w:pStyle w:val="Paragraph"/>
              <w:spacing w:before="60" w:after="60" w:line="240" w:lineRule="auto"/>
              <w:rPr>
                <w:rFonts w:cs="Arial"/>
                <w:b/>
                <w:color w:val="000000"/>
                <w:kern w:val="24"/>
              </w:rPr>
            </w:pPr>
            <w:r>
              <w:rPr>
                <w:rFonts w:cs="Arial"/>
                <w:b/>
                <w:bCs/>
                <w:color w:val="000000"/>
                <w:kern w:val="24"/>
              </w:rPr>
              <w:t>Total expenditure</w:t>
            </w:r>
          </w:p>
        </w:tc>
        <w:tc>
          <w:tcPr>
            <w:tcW w:w="1559" w:type="dxa"/>
            <w:shd w:val="clear" w:color="auto" w:fill="DED5CA"/>
            <w:vAlign w:val="center"/>
          </w:tcPr>
          <w:p w14:paraId="1E85A982" w14:textId="79AD1828" w:rsidR="002D411B" w:rsidRPr="000F05C7" w:rsidRDefault="007B2C40" w:rsidP="005B2637">
            <w:pPr>
              <w:pStyle w:val="Paragraph"/>
              <w:spacing w:before="60" w:after="60" w:line="240" w:lineRule="auto"/>
              <w:jc w:val="right"/>
              <w:rPr>
                <w:rFonts w:cs="Arial"/>
                <w:b/>
                <w:color w:val="000000"/>
                <w:kern w:val="24"/>
              </w:rPr>
            </w:pPr>
            <w:r>
              <w:rPr>
                <w:rFonts w:cs="Arial"/>
                <w:b/>
                <w:bCs/>
                <w:color w:val="000000"/>
                <w:kern w:val="24"/>
              </w:rPr>
              <w:t>15,462</w:t>
            </w:r>
          </w:p>
        </w:tc>
        <w:tc>
          <w:tcPr>
            <w:tcW w:w="1400" w:type="dxa"/>
            <w:shd w:val="clear" w:color="auto" w:fill="DED5CA"/>
            <w:vAlign w:val="center"/>
          </w:tcPr>
          <w:p w14:paraId="44AF8B50" w14:textId="47E23643" w:rsidR="002D411B" w:rsidRPr="000F05C7" w:rsidRDefault="00B02800" w:rsidP="005B2637">
            <w:pPr>
              <w:pStyle w:val="Paragraph"/>
              <w:spacing w:before="60" w:after="60" w:line="240" w:lineRule="auto"/>
              <w:jc w:val="right"/>
              <w:rPr>
                <w:rFonts w:cs="Arial"/>
                <w:b/>
                <w:color w:val="000000"/>
                <w:kern w:val="24"/>
              </w:rPr>
            </w:pPr>
            <w:r>
              <w:rPr>
                <w:rFonts w:cs="Arial"/>
                <w:b/>
                <w:bCs/>
                <w:color w:val="000000"/>
                <w:kern w:val="24"/>
              </w:rPr>
              <w:t>15,406</w:t>
            </w:r>
          </w:p>
        </w:tc>
        <w:tc>
          <w:tcPr>
            <w:tcW w:w="1577" w:type="dxa"/>
            <w:shd w:val="clear" w:color="auto" w:fill="DED5CA"/>
            <w:vAlign w:val="center"/>
          </w:tcPr>
          <w:p w14:paraId="3B589444" w14:textId="7A39E0B2" w:rsidR="002D411B" w:rsidRPr="000F05C7" w:rsidRDefault="00B02800" w:rsidP="005B2637">
            <w:pPr>
              <w:pStyle w:val="Paragraph"/>
              <w:spacing w:before="60" w:after="60" w:line="240" w:lineRule="auto"/>
              <w:jc w:val="right"/>
              <w:rPr>
                <w:rFonts w:cs="Arial"/>
                <w:b/>
                <w:color w:val="000000"/>
                <w:kern w:val="24"/>
              </w:rPr>
            </w:pPr>
            <w:r>
              <w:rPr>
                <w:rFonts w:cs="Arial"/>
                <w:b/>
                <w:bCs/>
                <w:color w:val="000000"/>
                <w:kern w:val="24"/>
              </w:rPr>
              <w:t>(56)</w:t>
            </w:r>
          </w:p>
        </w:tc>
        <w:tc>
          <w:tcPr>
            <w:tcW w:w="283" w:type="dxa"/>
            <w:vMerge/>
            <w:shd w:val="clear" w:color="auto" w:fill="BFBFBF" w:themeFill="background1" w:themeFillShade="BF"/>
            <w:vAlign w:val="center"/>
          </w:tcPr>
          <w:p w14:paraId="056C3C12" w14:textId="221283D7" w:rsidR="002D411B" w:rsidRPr="000F05C7" w:rsidRDefault="002D411B" w:rsidP="005B2637">
            <w:pPr>
              <w:pStyle w:val="Paragraph"/>
              <w:spacing w:before="60" w:after="60" w:line="240" w:lineRule="auto"/>
              <w:jc w:val="right"/>
              <w:rPr>
                <w:rFonts w:cs="Arial"/>
                <w:b/>
                <w:color w:val="000000"/>
                <w:kern w:val="24"/>
              </w:rPr>
            </w:pPr>
          </w:p>
        </w:tc>
        <w:tc>
          <w:tcPr>
            <w:tcW w:w="1985" w:type="dxa"/>
            <w:shd w:val="clear" w:color="auto" w:fill="DED5CA"/>
            <w:vAlign w:val="center"/>
          </w:tcPr>
          <w:p w14:paraId="61B5FB6C" w14:textId="16B1DE0B" w:rsidR="002D411B" w:rsidRPr="0012257D" w:rsidRDefault="00B02800" w:rsidP="005B2637">
            <w:pPr>
              <w:pStyle w:val="Paragraph"/>
              <w:spacing w:before="60" w:after="60" w:line="240" w:lineRule="auto"/>
              <w:jc w:val="right"/>
              <w:rPr>
                <w:rFonts w:cs="Arial"/>
                <w:b/>
                <w:color w:val="000000"/>
                <w:kern w:val="24"/>
              </w:rPr>
            </w:pPr>
            <w:r>
              <w:rPr>
                <w:rFonts w:cs="Arial"/>
                <w:b/>
                <w:bCs/>
                <w:color w:val="000000"/>
                <w:kern w:val="24"/>
              </w:rPr>
              <w:t>93,604</w:t>
            </w:r>
          </w:p>
        </w:tc>
        <w:tc>
          <w:tcPr>
            <w:tcW w:w="1735" w:type="dxa"/>
            <w:shd w:val="clear" w:color="auto" w:fill="DED5CA"/>
            <w:vAlign w:val="center"/>
          </w:tcPr>
          <w:p w14:paraId="1D7B439D" w14:textId="1D186DC6" w:rsidR="002D411B" w:rsidRPr="0012257D" w:rsidRDefault="00B02800" w:rsidP="005B2637">
            <w:pPr>
              <w:pStyle w:val="Paragraph"/>
              <w:spacing w:before="60" w:after="60" w:line="240" w:lineRule="auto"/>
              <w:jc w:val="right"/>
              <w:rPr>
                <w:rFonts w:cs="Arial"/>
                <w:b/>
                <w:color w:val="000000"/>
                <w:kern w:val="24"/>
              </w:rPr>
            </w:pPr>
            <w:r>
              <w:rPr>
                <w:rFonts w:cs="Arial"/>
                <w:b/>
                <w:bCs/>
                <w:color w:val="000000"/>
                <w:kern w:val="24"/>
              </w:rPr>
              <w:t>93,085</w:t>
            </w:r>
          </w:p>
        </w:tc>
        <w:tc>
          <w:tcPr>
            <w:tcW w:w="1791" w:type="dxa"/>
            <w:shd w:val="clear" w:color="auto" w:fill="DED5CA"/>
            <w:vAlign w:val="center"/>
          </w:tcPr>
          <w:p w14:paraId="1CDDAEA9" w14:textId="2579D321" w:rsidR="002D411B" w:rsidRPr="0012257D" w:rsidRDefault="00B02800" w:rsidP="005B2637">
            <w:pPr>
              <w:pStyle w:val="Paragraph"/>
              <w:spacing w:before="60" w:after="60" w:line="240" w:lineRule="auto"/>
              <w:jc w:val="right"/>
              <w:rPr>
                <w:rFonts w:cs="Arial"/>
                <w:b/>
                <w:color w:val="000000"/>
                <w:kern w:val="24"/>
              </w:rPr>
            </w:pPr>
            <w:r>
              <w:rPr>
                <w:rFonts w:cs="Arial"/>
                <w:b/>
                <w:bCs/>
                <w:color w:val="000000"/>
                <w:kern w:val="24"/>
              </w:rPr>
              <w:t>(539)</w:t>
            </w:r>
          </w:p>
        </w:tc>
      </w:tr>
      <w:tr w:rsidR="002D411B" w:rsidRPr="006711EF" w14:paraId="57EE94B8" w14:textId="77777777" w:rsidTr="001B7043">
        <w:trPr>
          <w:trHeight w:val="70"/>
        </w:trPr>
        <w:tc>
          <w:tcPr>
            <w:tcW w:w="3823" w:type="dxa"/>
            <w:vAlign w:val="center"/>
          </w:tcPr>
          <w:p w14:paraId="697DC6AC" w14:textId="0D169D84" w:rsidR="002D411B" w:rsidRDefault="00105511" w:rsidP="005B2637">
            <w:pPr>
              <w:pStyle w:val="Paragraph"/>
              <w:spacing w:before="60" w:after="60" w:line="240" w:lineRule="auto"/>
              <w:rPr>
                <w:rFonts w:cs="Arial"/>
                <w:color w:val="000000"/>
                <w:kern w:val="24"/>
              </w:rPr>
            </w:pPr>
            <w:r>
              <w:rPr>
                <w:rFonts w:cs="Arial"/>
                <w:color w:val="000000"/>
                <w:kern w:val="24"/>
              </w:rPr>
              <w:t>TA-HST income</w:t>
            </w:r>
          </w:p>
        </w:tc>
        <w:tc>
          <w:tcPr>
            <w:tcW w:w="1559" w:type="dxa"/>
            <w:vAlign w:val="center"/>
          </w:tcPr>
          <w:p w14:paraId="5BBB9755" w14:textId="73B25B6F" w:rsidR="002D411B" w:rsidRPr="000558D1" w:rsidRDefault="00B02800" w:rsidP="005B2637">
            <w:pPr>
              <w:pStyle w:val="Paragraph"/>
              <w:spacing w:before="60" w:after="60" w:line="240" w:lineRule="auto"/>
              <w:jc w:val="right"/>
              <w:rPr>
                <w:rFonts w:cs="Arial"/>
                <w:color w:val="000000"/>
                <w:kern w:val="24"/>
              </w:rPr>
            </w:pPr>
            <w:r>
              <w:rPr>
                <w:rFonts w:cs="Arial"/>
                <w:color w:val="000000"/>
                <w:kern w:val="24"/>
              </w:rPr>
              <w:t>(2,333)</w:t>
            </w:r>
          </w:p>
        </w:tc>
        <w:tc>
          <w:tcPr>
            <w:tcW w:w="1400" w:type="dxa"/>
            <w:vAlign w:val="center"/>
          </w:tcPr>
          <w:p w14:paraId="31ED37C4" w14:textId="5FC4C8DD" w:rsidR="002D411B" w:rsidRPr="000558D1" w:rsidRDefault="00B02800" w:rsidP="005B2637">
            <w:pPr>
              <w:pStyle w:val="Paragraph"/>
              <w:spacing w:before="60" w:after="60" w:line="240" w:lineRule="auto"/>
              <w:jc w:val="right"/>
              <w:rPr>
                <w:rFonts w:cs="Arial"/>
                <w:color w:val="000000"/>
                <w:kern w:val="24"/>
              </w:rPr>
            </w:pPr>
            <w:r>
              <w:rPr>
                <w:rFonts w:cs="Arial"/>
                <w:color w:val="000000"/>
                <w:kern w:val="24"/>
              </w:rPr>
              <w:t>(1</w:t>
            </w:r>
            <w:r w:rsidR="00C85EF7">
              <w:rPr>
                <w:rFonts w:cs="Arial"/>
                <w:color w:val="000000"/>
                <w:kern w:val="24"/>
              </w:rPr>
              <w:t>,777)</w:t>
            </w:r>
          </w:p>
        </w:tc>
        <w:tc>
          <w:tcPr>
            <w:tcW w:w="1577" w:type="dxa"/>
            <w:vAlign w:val="center"/>
          </w:tcPr>
          <w:p w14:paraId="6187686C" w14:textId="7DB33D43" w:rsidR="002D411B" w:rsidRPr="000558D1" w:rsidRDefault="00C85EF7" w:rsidP="005B2637">
            <w:pPr>
              <w:pStyle w:val="Paragraph"/>
              <w:spacing w:before="60" w:after="60" w:line="240" w:lineRule="auto"/>
              <w:jc w:val="right"/>
              <w:rPr>
                <w:rFonts w:cs="Arial"/>
                <w:color w:val="000000"/>
                <w:kern w:val="24"/>
              </w:rPr>
            </w:pPr>
            <w:r>
              <w:rPr>
                <w:rFonts w:cs="Arial"/>
                <w:color w:val="000000"/>
                <w:kern w:val="24"/>
              </w:rPr>
              <w:t>556</w:t>
            </w:r>
          </w:p>
        </w:tc>
        <w:tc>
          <w:tcPr>
            <w:tcW w:w="283" w:type="dxa"/>
            <w:vMerge/>
            <w:shd w:val="clear" w:color="auto" w:fill="BFBFBF" w:themeFill="background1" w:themeFillShade="BF"/>
            <w:vAlign w:val="center"/>
          </w:tcPr>
          <w:p w14:paraId="748D8305" w14:textId="4C15205D" w:rsidR="002D411B" w:rsidRPr="000558D1" w:rsidRDefault="002D411B" w:rsidP="005B2637">
            <w:pPr>
              <w:pStyle w:val="Paragraph"/>
              <w:spacing w:before="60" w:after="60" w:line="240" w:lineRule="auto"/>
              <w:jc w:val="right"/>
              <w:rPr>
                <w:rFonts w:cs="Arial"/>
                <w:color w:val="000000"/>
                <w:kern w:val="24"/>
              </w:rPr>
            </w:pPr>
          </w:p>
        </w:tc>
        <w:tc>
          <w:tcPr>
            <w:tcW w:w="1985" w:type="dxa"/>
            <w:vAlign w:val="center"/>
          </w:tcPr>
          <w:p w14:paraId="16DF2299" w14:textId="6308549F" w:rsidR="002D411B" w:rsidRPr="000558D1" w:rsidRDefault="00C85EF7" w:rsidP="005B2637">
            <w:pPr>
              <w:pStyle w:val="Paragraph"/>
              <w:spacing w:before="60" w:after="60" w:line="240" w:lineRule="auto"/>
              <w:jc w:val="right"/>
              <w:rPr>
                <w:rFonts w:cs="Arial"/>
                <w:color w:val="000000"/>
                <w:kern w:val="24"/>
              </w:rPr>
            </w:pPr>
            <w:r>
              <w:rPr>
                <w:rFonts w:cs="Arial"/>
                <w:color w:val="000000"/>
                <w:kern w:val="24"/>
              </w:rPr>
              <w:t>(14,000)</w:t>
            </w:r>
          </w:p>
        </w:tc>
        <w:tc>
          <w:tcPr>
            <w:tcW w:w="1735" w:type="dxa"/>
            <w:vAlign w:val="center"/>
          </w:tcPr>
          <w:p w14:paraId="093F075A" w14:textId="212E552B" w:rsidR="002D411B" w:rsidRPr="000558D1" w:rsidRDefault="00C85EF7" w:rsidP="005B2637">
            <w:pPr>
              <w:pStyle w:val="Paragraph"/>
              <w:spacing w:before="60" w:after="60" w:line="240" w:lineRule="auto"/>
              <w:jc w:val="right"/>
              <w:rPr>
                <w:rFonts w:cs="Arial"/>
                <w:color w:val="000000"/>
                <w:kern w:val="24"/>
              </w:rPr>
            </w:pPr>
            <w:r>
              <w:rPr>
                <w:rFonts w:cs="Arial"/>
                <w:color w:val="000000"/>
                <w:kern w:val="24"/>
              </w:rPr>
              <w:t>(14,000)</w:t>
            </w:r>
          </w:p>
        </w:tc>
        <w:tc>
          <w:tcPr>
            <w:tcW w:w="1791" w:type="dxa"/>
            <w:vAlign w:val="center"/>
          </w:tcPr>
          <w:p w14:paraId="5209AAE9" w14:textId="648479BF" w:rsidR="002D411B" w:rsidRPr="006711EF" w:rsidRDefault="00C85EF7" w:rsidP="005B2637">
            <w:pPr>
              <w:pStyle w:val="Paragraph"/>
              <w:spacing w:before="60" w:after="60" w:line="240" w:lineRule="auto"/>
              <w:jc w:val="right"/>
              <w:rPr>
                <w:rFonts w:cs="Arial"/>
                <w:color w:val="000000"/>
                <w:kern w:val="24"/>
              </w:rPr>
            </w:pPr>
            <w:r>
              <w:rPr>
                <w:rFonts w:cs="Arial"/>
                <w:color w:val="000000"/>
                <w:kern w:val="24"/>
              </w:rPr>
              <w:t>(0)</w:t>
            </w:r>
          </w:p>
        </w:tc>
      </w:tr>
      <w:tr w:rsidR="002D411B" w:rsidRPr="006711EF" w14:paraId="3AF62049" w14:textId="77777777" w:rsidTr="001B7043">
        <w:trPr>
          <w:trHeight w:val="70"/>
        </w:trPr>
        <w:tc>
          <w:tcPr>
            <w:tcW w:w="3823" w:type="dxa"/>
            <w:vAlign w:val="center"/>
          </w:tcPr>
          <w:p w14:paraId="553B0A45" w14:textId="2B9972BA" w:rsidR="002D411B" w:rsidRDefault="00105511" w:rsidP="005B2637">
            <w:pPr>
              <w:pStyle w:val="Paragraph"/>
              <w:spacing w:before="60" w:after="60" w:line="240" w:lineRule="auto"/>
              <w:rPr>
                <w:rFonts w:cs="Arial"/>
                <w:color w:val="000000"/>
                <w:kern w:val="24"/>
              </w:rPr>
            </w:pPr>
            <w:r>
              <w:rPr>
                <w:rFonts w:cs="Arial"/>
                <w:color w:val="000000"/>
                <w:kern w:val="24"/>
              </w:rPr>
              <w:t>NICE Advice income</w:t>
            </w:r>
          </w:p>
        </w:tc>
        <w:tc>
          <w:tcPr>
            <w:tcW w:w="1559" w:type="dxa"/>
            <w:vAlign w:val="center"/>
          </w:tcPr>
          <w:p w14:paraId="4F29C148" w14:textId="3854ADC6" w:rsidR="002D411B" w:rsidRPr="000558D1" w:rsidRDefault="00C85EF7" w:rsidP="005B2637">
            <w:pPr>
              <w:pStyle w:val="Paragraph"/>
              <w:spacing w:before="60" w:after="60" w:line="240" w:lineRule="auto"/>
              <w:jc w:val="right"/>
              <w:rPr>
                <w:rFonts w:cs="Arial"/>
                <w:color w:val="000000"/>
                <w:kern w:val="24"/>
              </w:rPr>
            </w:pPr>
            <w:r>
              <w:rPr>
                <w:rFonts w:cs="Arial"/>
                <w:color w:val="000000"/>
                <w:kern w:val="24"/>
              </w:rPr>
              <w:t>(757)</w:t>
            </w:r>
          </w:p>
        </w:tc>
        <w:tc>
          <w:tcPr>
            <w:tcW w:w="1400" w:type="dxa"/>
            <w:vAlign w:val="center"/>
          </w:tcPr>
          <w:p w14:paraId="4B0EE0FD" w14:textId="5C400081" w:rsidR="002D411B" w:rsidRPr="000558D1" w:rsidRDefault="00C85EF7" w:rsidP="005B2637">
            <w:pPr>
              <w:pStyle w:val="Paragraph"/>
              <w:spacing w:before="60" w:after="60" w:line="240" w:lineRule="auto"/>
              <w:jc w:val="right"/>
              <w:rPr>
                <w:rFonts w:cs="Arial"/>
                <w:color w:val="000000"/>
                <w:kern w:val="24"/>
              </w:rPr>
            </w:pPr>
            <w:r>
              <w:rPr>
                <w:rFonts w:cs="Arial"/>
                <w:color w:val="000000"/>
                <w:kern w:val="24"/>
              </w:rPr>
              <w:t>(471)</w:t>
            </w:r>
          </w:p>
        </w:tc>
        <w:tc>
          <w:tcPr>
            <w:tcW w:w="1577" w:type="dxa"/>
            <w:vAlign w:val="center"/>
          </w:tcPr>
          <w:p w14:paraId="5553746B" w14:textId="68706FC1" w:rsidR="002D411B" w:rsidRPr="000558D1" w:rsidRDefault="00C85EF7" w:rsidP="005B2637">
            <w:pPr>
              <w:pStyle w:val="Paragraph"/>
              <w:spacing w:before="60" w:after="60" w:line="240" w:lineRule="auto"/>
              <w:jc w:val="right"/>
              <w:rPr>
                <w:rFonts w:cs="Arial"/>
                <w:color w:val="000000"/>
                <w:kern w:val="24"/>
              </w:rPr>
            </w:pPr>
            <w:r>
              <w:rPr>
                <w:rFonts w:cs="Arial"/>
                <w:color w:val="000000"/>
                <w:kern w:val="24"/>
              </w:rPr>
              <w:t>286</w:t>
            </w:r>
          </w:p>
        </w:tc>
        <w:tc>
          <w:tcPr>
            <w:tcW w:w="283" w:type="dxa"/>
            <w:vMerge/>
            <w:shd w:val="clear" w:color="auto" w:fill="BFBFBF" w:themeFill="background1" w:themeFillShade="BF"/>
            <w:vAlign w:val="center"/>
          </w:tcPr>
          <w:p w14:paraId="0507A893" w14:textId="6272487B" w:rsidR="002D411B" w:rsidRPr="000558D1" w:rsidRDefault="002D411B" w:rsidP="005B2637">
            <w:pPr>
              <w:pStyle w:val="Paragraph"/>
              <w:spacing w:before="60" w:after="60" w:line="240" w:lineRule="auto"/>
              <w:jc w:val="right"/>
              <w:rPr>
                <w:rFonts w:cs="Arial"/>
                <w:color w:val="000000"/>
                <w:kern w:val="24"/>
              </w:rPr>
            </w:pPr>
          </w:p>
        </w:tc>
        <w:tc>
          <w:tcPr>
            <w:tcW w:w="1985" w:type="dxa"/>
            <w:vAlign w:val="center"/>
          </w:tcPr>
          <w:p w14:paraId="34165952" w14:textId="7A5FFE74" w:rsidR="002D411B" w:rsidRPr="000558D1" w:rsidRDefault="00C85EF7" w:rsidP="005B2637">
            <w:pPr>
              <w:pStyle w:val="Paragraph"/>
              <w:spacing w:before="60" w:after="60" w:line="240" w:lineRule="auto"/>
              <w:jc w:val="right"/>
              <w:rPr>
                <w:rFonts w:cs="Arial"/>
                <w:color w:val="000000"/>
                <w:kern w:val="24"/>
              </w:rPr>
            </w:pPr>
            <w:r>
              <w:rPr>
                <w:rFonts w:cs="Arial"/>
                <w:color w:val="000000"/>
                <w:kern w:val="24"/>
              </w:rPr>
              <w:t>(4,638)</w:t>
            </w:r>
          </w:p>
        </w:tc>
        <w:tc>
          <w:tcPr>
            <w:tcW w:w="1735" w:type="dxa"/>
            <w:vAlign w:val="center"/>
          </w:tcPr>
          <w:p w14:paraId="586D78A0" w14:textId="1D9130B4" w:rsidR="002D411B" w:rsidRPr="000558D1" w:rsidRDefault="00C85EF7" w:rsidP="005B2637">
            <w:pPr>
              <w:pStyle w:val="Paragraph"/>
              <w:spacing w:before="60" w:after="60" w:line="240" w:lineRule="auto"/>
              <w:jc w:val="right"/>
              <w:rPr>
                <w:rFonts w:cs="Arial"/>
                <w:color w:val="000000"/>
                <w:kern w:val="24"/>
              </w:rPr>
            </w:pPr>
            <w:r>
              <w:rPr>
                <w:rFonts w:cs="Arial"/>
                <w:color w:val="000000"/>
                <w:kern w:val="24"/>
              </w:rPr>
              <w:t>(</w:t>
            </w:r>
            <w:r w:rsidR="000D5097">
              <w:rPr>
                <w:rFonts w:cs="Arial"/>
                <w:color w:val="000000"/>
                <w:kern w:val="24"/>
              </w:rPr>
              <w:t>4,260)</w:t>
            </w:r>
          </w:p>
        </w:tc>
        <w:tc>
          <w:tcPr>
            <w:tcW w:w="1791" w:type="dxa"/>
            <w:vAlign w:val="center"/>
          </w:tcPr>
          <w:p w14:paraId="7AB98A28" w14:textId="37E27DD8" w:rsidR="002D411B" w:rsidRPr="006711EF" w:rsidRDefault="000D5097" w:rsidP="005B2637">
            <w:pPr>
              <w:pStyle w:val="Paragraph"/>
              <w:spacing w:before="60" w:after="60" w:line="240" w:lineRule="auto"/>
              <w:jc w:val="right"/>
              <w:rPr>
                <w:rFonts w:cs="Arial"/>
                <w:color w:val="000000"/>
                <w:kern w:val="24"/>
              </w:rPr>
            </w:pPr>
            <w:r>
              <w:rPr>
                <w:rFonts w:cs="Arial"/>
                <w:color w:val="000000"/>
                <w:kern w:val="24"/>
              </w:rPr>
              <w:t>377</w:t>
            </w:r>
          </w:p>
        </w:tc>
      </w:tr>
      <w:tr w:rsidR="002D411B" w:rsidRPr="006711EF" w14:paraId="6D098946" w14:textId="77777777" w:rsidTr="001B7043">
        <w:trPr>
          <w:trHeight w:val="70"/>
        </w:trPr>
        <w:tc>
          <w:tcPr>
            <w:tcW w:w="3823" w:type="dxa"/>
            <w:vAlign w:val="center"/>
          </w:tcPr>
          <w:p w14:paraId="3E7BC2A5" w14:textId="76FD04E5" w:rsidR="002D411B" w:rsidRPr="0012257D" w:rsidRDefault="00105511" w:rsidP="005B2637">
            <w:pPr>
              <w:pStyle w:val="Paragraph"/>
              <w:spacing w:before="60" w:after="60" w:line="240" w:lineRule="auto"/>
              <w:rPr>
                <w:rFonts w:cs="Arial"/>
                <w:color w:val="000000"/>
                <w:kern w:val="24"/>
              </w:rPr>
            </w:pPr>
            <w:r>
              <w:rPr>
                <w:rFonts w:cs="Arial"/>
                <w:color w:val="000000"/>
                <w:kern w:val="24"/>
              </w:rPr>
              <w:t>Other operating income</w:t>
            </w:r>
          </w:p>
        </w:tc>
        <w:tc>
          <w:tcPr>
            <w:tcW w:w="1559" w:type="dxa"/>
            <w:vAlign w:val="center"/>
          </w:tcPr>
          <w:p w14:paraId="65736613" w14:textId="789E8312" w:rsidR="002D411B" w:rsidRPr="000F05C7" w:rsidRDefault="000D5097" w:rsidP="005B2637">
            <w:pPr>
              <w:pStyle w:val="Paragraph"/>
              <w:spacing w:before="60" w:after="60" w:line="240" w:lineRule="auto"/>
              <w:jc w:val="right"/>
              <w:rPr>
                <w:rFonts w:cs="Arial"/>
                <w:kern w:val="24"/>
              </w:rPr>
            </w:pPr>
            <w:r w:rsidRPr="0012257D">
              <w:rPr>
                <w:rFonts w:cs="Arial"/>
                <w:kern w:val="24"/>
              </w:rPr>
              <w:t>(1,700)</w:t>
            </w:r>
          </w:p>
        </w:tc>
        <w:tc>
          <w:tcPr>
            <w:tcW w:w="1400" w:type="dxa"/>
            <w:vAlign w:val="center"/>
          </w:tcPr>
          <w:p w14:paraId="6A019A25" w14:textId="628119C8" w:rsidR="002D411B" w:rsidRPr="000F05C7" w:rsidRDefault="000D5097" w:rsidP="005B2637">
            <w:pPr>
              <w:pStyle w:val="Paragraph"/>
              <w:spacing w:before="60" w:after="60" w:line="240" w:lineRule="auto"/>
              <w:jc w:val="right"/>
              <w:rPr>
                <w:rFonts w:cs="Arial"/>
                <w:kern w:val="24"/>
              </w:rPr>
            </w:pPr>
            <w:r>
              <w:rPr>
                <w:rFonts w:cs="Arial"/>
                <w:kern w:val="24"/>
              </w:rPr>
              <w:t>(1,583)</w:t>
            </w:r>
          </w:p>
        </w:tc>
        <w:tc>
          <w:tcPr>
            <w:tcW w:w="1577" w:type="dxa"/>
            <w:vAlign w:val="center"/>
          </w:tcPr>
          <w:p w14:paraId="1827B528" w14:textId="24C6C365" w:rsidR="002D411B" w:rsidRPr="000F05C7" w:rsidRDefault="001B6145" w:rsidP="005B2637">
            <w:pPr>
              <w:pStyle w:val="Paragraph"/>
              <w:spacing w:before="60" w:after="60" w:line="240" w:lineRule="auto"/>
              <w:jc w:val="right"/>
              <w:rPr>
                <w:rFonts w:cs="Arial"/>
                <w:kern w:val="24"/>
              </w:rPr>
            </w:pPr>
            <w:r>
              <w:rPr>
                <w:rFonts w:cs="Arial"/>
                <w:kern w:val="24"/>
              </w:rPr>
              <w:t>116</w:t>
            </w:r>
          </w:p>
        </w:tc>
        <w:tc>
          <w:tcPr>
            <w:tcW w:w="283" w:type="dxa"/>
            <w:vMerge/>
            <w:shd w:val="clear" w:color="auto" w:fill="BFBFBF" w:themeFill="background1" w:themeFillShade="BF"/>
            <w:vAlign w:val="center"/>
          </w:tcPr>
          <w:p w14:paraId="5C47E3CD" w14:textId="62A968D6" w:rsidR="002D411B" w:rsidRPr="000F05C7" w:rsidRDefault="002D411B" w:rsidP="005B2637">
            <w:pPr>
              <w:pStyle w:val="Paragraph"/>
              <w:spacing w:before="60" w:after="60" w:line="240" w:lineRule="auto"/>
              <w:jc w:val="right"/>
              <w:rPr>
                <w:rFonts w:cs="Arial"/>
                <w:kern w:val="24"/>
              </w:rPr>
            </w:pPr>
          </w:p>
        </w:tc>
        <w:tc>
          <w:tcPr>
            <w:tcW w:w="1985" w:type="dxa"/>
            <w:vAlign w:val="center"/>
          </w:tcPr>
          <w:p w14:paraId="579DEEAE" w14:textId="2CCEFAE9" w:rsidR="002D411B" w:rsidRPr="0012257D" w:rsidRDefault="001B6145" w:rsidP="005B2637">
            <w:pPr>
              <w:pStyle w:val="Paragraph"/>
              <w:spacing w:before="60" w:after="60" w:line="240" w:lineRule="auto"/>
              <w:jc w:val="right"/>
              <w:rPr>
                <w:rFonts w:cs="Arial"/>
                <w:kern w:val="24"/>
              </w:rPr>
            </w:pPr>
            <w:r>
              <w:rPr>
                <w:rFonts w:cs="Arial"/>
                <w:kern w:val="24"/>
              </w:rPr>
              <w:t>(9,925)</w:t>
            </w:r>
          </w:p>
        </w:tc>
        <w:tc>
          <w:tcPr>
            <w:tcW w:w="1735" w:type="dxa"/>
            <w:vAlign w:val="center"/>
          </w:tcPr>
          <w:p w14:paraId="60DA74BB" w14:textId="719A8BDD" w:rsidR="002D411B" w:rsidRPr="0012257D" w:rsidRDefault="001B6145" w:rsidP="005B2637">
            <w:pPr>
              <w:pStyle w:val="Paragraph"/>
              <w:spacing w:before="60" w:after="60" w:line="240" w:lineRule="auto"/>
              <w:jc w:val="right"/>
              <w:rPr>
                <w:rFonts w:cs="Arial"/>
                <w:kern w:val="24"/>
              </w:rPr>
            </w:pPr>
            <w:r>
              <w:rPr>
                <w:rFonts w:cs="Arial"/>
                <w:kern w:val="24"/>
              </w:rPr>
              <w:t>(9,764)</w:t>
            </w:r>
          </w:p>
        </w:tc>
        <w:tc>
          <w:tcPr>
            <w:tcW w:w="1791" w:type="dxa"/>
            <w:vAlign w:val="center"/>
          </w:tcPr>
          <w:p w14:paraId="37BD1CE0" w14:textId="16F6935E" w:rsidR="002D411B" w:rsidRPr="0012257D" w:rsidRDefault="001B6145" w:rsidP="005B2637">
            <w:pPr>
              <w:pStyle w:val="Paragraph"/>
              <w:spacing w:before="60" w:after="60" w:line="240" w:lineRule="auto"/>
              <w:jc w:val="right"/>
              <w:rPr>
                <w:rFonts w:cs="Arial"/>
                <w:kern w:val="24"/>
              </w:rPr>
            </w:pPr>
            <w:r>
              <w:rPr>
                <w:rFonts w:cs="Arial"/>
                <w:kern w:val="24"/>
              </w:rPr>
              <w:t>161</w:t>
            </w:r>
          </w:p>
        </w:tc>
      </w:tr>
      <w:tr w:rsidR="00212AF3" w:rsidRPr="006711EF" w14:paraId="68E64BE5" w14:textId="77777777" w:rsidTr="001B7043">
        <w:trPr>
          <w:trHeight w:val="70"/>
        </w:trPr>
        <w:tc>
          <w:tcPr>
            <w:tcW w:w="3823" w:type="dxa"/>
            <w:shd w:val="clear" w:color="auto" w:fill="DED5CA"/>
            <w:vAlign w:val="center"/>
          </w:tcPr>
          <w:p w14:paraId="4D18DF24" w14:textId="449E2C20" w:rsidR="00212AF3" w:rsidRPr="00DE0BA8" w:rsidRDefault="00105511" w:rsidP="005B2637">
            <w:pPr>
              <w:pStyle w:val="Paragraph"/>
              <w:spacing w:before="60" w:after="60" w:line="240" w:lineRule="auto"/>
              <w:rPr>
                <w:rFonts w:cs="Arial"/>
                <w:b/>
                <w:bCs/>
                <w:color w:val="000000"/>
                <w:kern w:val="24"/>
              </w:rPr>
            </w:pPr>
            <w:r>
              <w:rPr>
                <w:rFonts w:cs="Arial"/>
                <w:b/>
                <w:bCs/>
                <w:color w:val="000000"/>
                <w:kern w:val="24"/>
              </w:rPr>
              <w:t>Total operating income</w:t>
            </w:r>
          </w:p>
        </w:tc>
        <w:tc>
          <w:tcPr>
            <w:tcW w:w="1559" w:type="dxa"/>
            <w:shd w:val="clear" w:color="auto" w:fill="DED5CA"/>
            <w:vAlign w:val="center"/>
          </w:tcPr>
          <w:p w14:paraId="4E354211" w14:textId="2764BEB9" w:rsidR="00212AF3" w:rsidRPr="00FE5774" w:rsidRDefault="001B6145" w:rsidP="005B2637">
            <w:pPr>
              <w:pStyle w:val="Paragraph"/>
              <w:spacing w:before="60" w:after="60" w:line="240" w:lineRule="auto"/>
              <w:jc w:val="right"/>
              <w:rPr>
                <w:rFonts w:cs="Arial"/>
                <w:b/>
                <w:bCs/>
                <w:kern w:val="24"/>
              </w:rPr>
            </w:pPr>
            <w:r>
              <w:rPr>
                <w:rFonts w:cs="Arial"/>
                <w:b/>
                <w:bCs/>
                <w:kern w:val="24"/>
              </w:rPr>
              <w:t>(4,790)</w:t>
            </w:r>
          </w:p>
        </w:tc>
        <w:tc>
          <w:tcPr>
            <w:tcW w:w="1400" w:type="dxa"/>
            <w:shd w:val="clear" w:color="auto" w:fill="DED5CA"/>
            <w:vAlign w:val="center"/>
          </w:tcPr>
          <w:p w14:paraId="6C3465C8" w14:textId="7F62187E" w:rsidR="00212AF3" w:rsidRPr="00FE5774" w:rsidRDefault="002F0720" w:rsidP="005B2637">
            <w:pPr>
              <w:pStyle w:val="Paragraph"/>
              <w:spacing w:before="60" w:after="60" w:line="240" w:lineRule="auto"/>
              <w:jc w:val="right"/>
              <w:rPr>
                <w:rFonts w:cs="Arial"/>
                <w:b/>
                <w:bCs/>
                <w:kern w:val="24"/>
              </w:rPr>
            </w:pPr>
            <w:r>
              <w:rPr>
                <w:rFonts w:cs="Arial"/>
                <w:b/>
                <w:bCs/>
                <w:kern w:val="24"/>
              </w:rPr>
              <w:t>(3,832)</w:t>
            </w:r>
          </w:p>
        </w:tc>
        <w:tc>
          <w:tcPr>
            <w:tcW w:w="1577" w:type="dxa"/>
            <w:shd w:val="clear" w:color="auto" w:fill="DED5CA"/>
            <w:vAlign w:val="center"/>
          </w:tcPr>
          <w:p w14:paraId="3131A12B" w14:textId="00C2BA34" w:rsidR="00212AF3" w:rsidRPr="00FE5774" w:rsidRDefault="002F0720" w:rsidP="005B2637">
            <w:pPr>
              <w:pStyle w:val="Paragraph"/>
              <w:spacing w:before="60" w:after="60" w:line="240" w:lineRule="auto"/>
              <w:jc w:val="right"/>
              <w:rPr>
                <w:rFonts w:cs="Arial"/>
                <w:b/>
                <w:bCs/>
                <w:kern w:val="24"/>
              </w:rPr>
            </w:pPr>
            <w:r>
              <w:rPr>
                <w:rFonts w:cs="Arial"/>
                <w:b/>
                <w:bCs/>
                <w:kern w:val="24"/>
              </w:rPr>
              <w:t>958</w:t>
            </w:r>
          </w:p>
        </w:tc>
        <w:tc>
          <w:tcPr>
            <w:tcW w:w="283" w:type="dxa"/>
            <w:shd w:val="clear" w:color="auto" w:fill="BFBFBF" w:themeFill="background1" w:themeFillShade="BF"/>
            <w:vAlign w:val="center"/>
          </w:tcPr>
          <w:p w14:paraId="5800BDAB" w14:textId="77777777" w:rsidR="00212AF3" w:rsidRPr="00FE5774" w:rsidRDefault="00212AF3" w:rsidP="005B2637">
            <w:pPr>
              <w:pStyle w:val="Paragraph"/>
              <w:spacing w:before="60" w:after="60" w:line="240" w:lineRule="auto"/>
              <w:jc w:val="right"/>
              <w:rPr>
                <w:rFonts w:cs="Arial"/>
                <w:b/>
                <w:bCs/>
                <w:kern w:val="24"/>
              </w:rPr>
            </w:pPr>
          </w:p>
        </w:tc>
        <w:tc>
          <w:tcPr>
            <w:tcW w:w="1985" w:type="dxa"/>
            <w:shd w:val="clear" w:color="auto" w:fill="DED5CA"/>
            <w:vAlign w:val="center"/>
          </w:tcPr>
          <w:p w14:paraId="2F793B2A" w14:textId="2A66C93B" w:rsidR="00212AF3" w:rsidRPr="00FE5774" w:rsidRDefault="002F0720" w:rsidP="005B2637">
            <w:pPr>
              <w:pStyle w:val="Paragraph"/>
              <w:spacing w:before="60" w:after="60" w:line="240" w:lineRule="auto"/>
              <w:jc w:val="right"/>
              <w:rPr>
                <w:rFonts w:cs="Arial"/>
                <w:b/>
                <w:bCs/>
                <w:kern w:val="24"/>
              </w:rPr>
            </w:pPr>
            <w:r>
              <w:rPr>
                <w:rFonts w:cs="Arial"/>
                <w:b/>
                <w:bCs/>
                <w:kern w:val="24"/>
              </w:rPr>
              <w:t>(28,563)</w:t>
            </w:r>
          </w:p>
        </w:tc>
        <w:tc>
          <w:tcPr>
            <w:tcW w:w="1735" w:type="dxa"/>
            <w:shd w:val="clear" w:color="auto" w:fill="DED5CA"/>
            <w:vAlign w:val="center"/>
          </w:tcPr>
          <w:p w14:paraId="58DF7F44" w14:textId="65F93353" w:rsidR="00212AF3" w:rsidRPr="00FE5774" w:rsidRDefault="002F0720" w:rsidP="005B2637">
            <w:pPr>
              <w:pStyle w:val="Paragraph"/>
              <w:spacing w:before="60" w:after="60" w:line="240" w:lineRule="auto"/>
              <w:jc w:val="right"/>
              <w:rPr>
                <w:rFonts w:cs="Arial"/>
                <w:b/>
                <w:bCs/>
                <w:kern w:val="24"/>
              </w:rPr>
            </w:pPr>
            <w:r>
              <w:rPr>
                <w:rFonts w:cs="Arial"/>
                <w:b/>
                <w:bCs/>
                <w:kern w:val="24"/>
              </w:rPr>
              <w:t>(28,024)</w:t>
            </w:r>
          </w:p>
        </w:tc>
        <w:tc>
          <w:tcPr>
            <w:tcW w:w="1791" w:type="dxa"/>
            <w:shd w:val="clear" w:color="auto" w:fill="DED5CA"/>
            <w:vAlign w:val="center"/>
          </w:tcPr>
          <w:p w14:paraId="112238B6" w14:textId="123068BE" w:rsidR="00212AF3" w:rsidRPr="00FE5774" w:rsidRDefault="002F0720" w:rsidP="005B2637">
            <w:pPr>
              <w:pStyle w:val="Paragraph"/>
              <w:spacing w:before="60" w:after="60" w:line="240" w:lineRule="auto"/>
              <w:jc w:val="right"/>
              <w:rPr>
                <w:rFonts w:cs="Arial"/>
                <w:b/>
                <w:bCs/>
                <w:kern w:val="24"/>
              </w:rPr>
            </w:pPr>
            <w:r>
              <w:rPr>
                <w:rFonts w:cs="Arial"/>
                <w:b/>
                <w:bCs/>
                <w:kern w:val="24"/>
              </w:rPr>
              <w:t>539</w:t>
            </w:r>
          </w:p>
        </w:tc>
      </w:tr>
      <w:tr w:rsidR="002D411B" w:rsidRPr="006711EF" w14:paraId="4F7D5B02" w14:textId="77777777" w:rsidTr="001B7043">
        <w:trPr>
          <w:trHeight w:val="70"/>
        </w:trPr>
        <w:tc>
          <w:tcPr>
            <w:tcW w:w="3823" w:type="dxa"/>
            <w:shd w:val="clear" w:color="auto" w:fill="00436C" w:themeFill="text2"/>
            <w:vAlign w:val="center"/>
          </w:tcPr>
          <w:p w14:paraId="44BADEC7" w14:textId="2029BFAD" w:rsidR="002D411B" w:rsidRPr="0053572E" w:rsidRDefault="002D411B" w:rsidP="005B2637">
            <w:pPr>
              <w:pStyle w:val="Paragraph"/>
              <w:spacing w:before="60" w:after="60" w:line="240" w:lineRule="auto"/>
              <w:rPr>
                <w:rFonts w:cs="Arial"/>
                <w:b/>
                <w:kern w:val="24"/>
              </w:rPr>
            </w:pPr>
            <w:r w:rsidRPr="0053572E">
              <w:rPr>
                <w:rFonts w:cs="Arial"/>
                <w:b/>
                <w:kern w:val="24"/>
              </w:rPr>
              <w:t>Total net expenditure</w:t>
            </w:r>
          </w:p>
        </w:tc>
        <w:tc>
          <w:tcPr>
            <w:tcW w:w="1559" w:type="dxa"/>
            <w:shd w:val="clear" w:color="auto" w:fill="00436C" w:themeFill="text2"/>
          </w:tcPr>
          <w:p w14:paraId="066ED979" w14:textId="185CB2E0" w:rsidR="002D411B" w:rsidRPr="00B37B23" w:rsidRDefault="002F0720" w:rsidP="005B2637">
            <w:pPr>
              <w:pStyle w:val="Paragraph"/>
              <w:spacing w:before="60" w:after="60" w:line="240" w:lineRule="auto"/>
              <w:jc w:val="right"/>
              <w:rPr>
                <w:rFonts w:cs="Arial"/>
                <w:b/>
                <w:kern w:val="24"/>
              </w:rPr>
            </w:pPr>
            <w:r>
              <w:rPr>
                <w:rFonts w:cs="Arial"/>
                <w:b/>
                <w:kern w:val="24"/>
              </w:rPr>
              <w:t>10,672</w:t>
            </w:r>
          </w:p>
        </w:tc>
        <w:tc>
          <w:tcPr>
            <w:tcW w:w="1400" w:type="dxa"/>
            <w:shd w:val="clear" w:color="auto" w:fill="00436C" w:themeFill="text2"/>
          </w:tcPr>
          <w:p w14:paraId="5617438C" w14:textId="092149FA" w:rsidR="002D411B" w:rsidRPr="00B37B23" w:rsidRDefault="002F0720" w:rsidP="005B2637">
            <w:pPr>
              <w:pStyle w:val="Paragraph"/>
              <w:spacing w:before="60" w:after="60" w:line="240" w:lineRule="auto"/>
              <w:jc w:val="right"/>
              <w:rPr>
                <w:rFonts w:cs="Arial"/>
                <w:b/>
                <w:kern w:val="24"/>
              </w:rPr>
            </w:pPr>
            <w:r>
              <w:rPr>
                <w:rFonts w:cs="Arial"/>
                <w:b/>
                <w:kern w:val="24"/>
              </w:rPr>
              <w:t>11,575</w:t>
            </w:r>
          </w:p>
        </w:tc>
        <w:tc>
          <w:tcPr>
            <w:tcW w:w="1577" w:type="dxa"/>
            <w:shd w:val="clear" w:color="auto" w:fill="00436C" w:themeFill="text2"/>
          </w:tcPr>
          <w:p w14:paraId="12508918" w14:textId="09B4BAF0" w:rsidR="002D411B" w:rsidRPr="00B37B23" w:rsidRDefault="002F0720" w:rsidP="005B2637">
            <w:pPr>
              <w:pStyle w:val="Paragraph"/>
              <w:spacing w:before="60" w:after="60" w:line="240" w:lineRule="auto"/>
              <w:jc w:val="right"/>
              <w:rPr>
                <w:rFonts w:cs="Arial"/>
                <w:b/>
                <w:kern w:val="24"/>
              </w:rPr>
            </w:pPr>
            <w:r>
              <w:rPr>
                <w:rFonts w:cs="Arial"/>
                <w:b/>
                <w:kern w:val="24"/>
              </w:rPr>
              <w:t>903</w:t>
            </w:r>
          </w:p>
        </w:tc>
        <w:tc>
          <w:tcPr>
            <w:tcW w:w="283" w:type="dxa"/>
            <w:shd w:val="clear" w:color="auto" w:fill="BFBFBF" w:themeFill="background1" w:themeFillShade="BF"/>
          </w:tcPr>
          <w:p w14:paraId="2C4B9859" w14:textId="1851B9C5" w:rsidR="002D411B" w:rsidRPr="00B37B23" w:rsidRDefault="002D411B" w:rsidP="005B2637">
            <w:pPr>
              <w:pStyle w:val="Paragraph"/>
              <w:spacing w:before="60" w:after="60" w:line="240" w:lineRule="auto"/>
              <w:jc w:val="right"/>
              <w:rPr>
                <w:rFonts w:cs="Arial"/>
                <w:b/>
                <w:kern w:val="24"/>
              </w:rPr>
            </w:pPr>
          </w:p>
        </w:tc>
        <w:tc>
          <w:tcPr>
            <w:tcW w:w="1985" w:type="dxa"/>
            <w:shd w:val="clear" w:color="auto" w:fill="00436C" w:themeFill="text2"/>
            <w:vAlign w:val="center"/>
          </w:tcPr>
          <w:p w14:paraId="043F9AEF" w14:textId="4F08C77E" w:rsidR="002D411B" w:rsidRPr="00B37B23" w:rsidRDefault="002F0720" w:rsidP="005B2637">
            <w:pPr>
              <w:pStyle w:val="Paragraph"/>
              <w:spacing w:before="60" w:after="60" w:line="240" w:lineRule="auto"/>
              <w:jc w:val="right"/>
              <w:rPr>
                <w:rFonts w:cs="Arial"/>
                <w:b/>
                <w:kern w:val="24"/>
              </w:rPr>
            </w:pPr>
            <w:r>
              <w:rPr>
                <w:rFonts w:cs="Arial"/>
                <w:b/>
                <w:kern w:val="24"/>
              </w:rPr>
              <w:t>65</w:t>
            </w:r>
            <w:r w:rsidR="007A6ACD">
              <w:rPr>
                <w:rFonts w:cs="Arial"/>
                <w:b/>
                <w:kern w:val="24"/>
              </w:rPr>
              <w:t>,041</w:t>
            </w:r>
          </w:p>
        </w:tc>
        <w:tc>
          <w:tcPr>
            <w:tcW w:w="1735" w:type="dxa"/>
            <w:shd w:val="clear" w:color="auto" w:fill="00436C" w:themeFill="text2"/>
            <w:vAlign w:val="center"/>
          </w:tcPr>
          <w:p w14:paraId="17276405" w14:textId="2FEEF216" w:rsidR="002D411B" w:rsidRPr="00B37B23" w:rsidRDefault="007A6ACD" w:rsidP="005B2637">
            <w:pPr>
              <w:pStyle w:val="Paragraph"/>
              <w:spacing w:before="60" w:after="60" w:line="240" w:lineRule="auto"/>
              <w:jc w:val="right"/>
              <w:rPr>
                <w:rFonts w:cs="Arial"/>
                <w:b/>
                <w:kern w:val="24"/>
              </w:rPr>
            </w:pPr>
            <w:r>
              <w:rPr>
                <w:rFonts w:cs="Arial"/>
                <w:b/>
                <w:kern w:val="24"/>
              </w:rPr>
              <w:t>65,041</w:t>
            </w:r>
          </w:p>
        </w:tc>
        <w:tc>
          <w:tcPr>
            <w:tcW w:w="1791" w:type="dxa"/>
            <w:shd w:val="clear" w:color="auto" w:fill="00436C" w:themeFill="text2"/>
            <w:vAlign w:val="center"/>
          </w:tcPr>
          <w:p w14:paraId="5D34D933" w14:textId="2A2497D3" w:rsidR="002D411B" w:rsidRPr="00B37B23" w:rsidRDefault="007A6ACD" w:rsidP="005B2637">
            <w:pPr>
              <w:pStyle w:val="Paragraph"/>
              <w:spacing w:before="60" w:after="60" w:line="240" w:lineRule="auto"/>
              <w:jc w:val="right"/>
              <w:rPr>
                <w:rFonts w:cs="Arial"/>
                <w:b/>
                <w:kern w:val="24"/>
              </w:rPr>
            </w:pPr>
            <w:r>
              <w:rPr>
                <w:rFonts w:cs="Arial"/>
                <w:b/>
                <w:kern w:val="24"/>
              </w:rPr>
              <w:t>0</w:t>
            </w:r>
          </w:p>
        </w:tc>
      </w:tr>
    </w:tbl>
    <w:p w14:paraId="1137024E" w14:textId="2E5BA92C" w:rsidR="00000380" w:rsidRDefault="00D40AB5" w:rsidP="0012257D">
      <w:pPr>
        <w:pStyle w:val="Heading2"/>
      </w:pPr>
      <w:bookmarkStart w:id="22" w:name="_Toc234391382"/>
      <w:r>
        <w:t>Analysis</w:t>
      </w:r>
      <w:bookmarkEnd w:id="22"/>
    </w:p>
    <w:p w14:paraId="5C367168" w14:textId="5BBC1D43" w:rsidR="00A31A62" w:rsidRPr="006D6EAF" w:rsidRDefault="00A31A62" w:rsidP="00A31A62">
      <w:pPr>
        <w:pStyle w:val="ListParagraph"/>
        <w:numPr>
          <w:ilvl w:val="0"/>
          <w:numId w:val="56"/>
        </w:numPr>
        <w:spacing w:before="120" w:after="120"/>
        <w:ind w:left="284" w:hanging="284"/>
        <w:contextualSpacing w:val="0"/>
      </w:pPr>
      <w:r w:rsidRPr="00452F8D">
        <w:t xml:space="preserve">The current </w:t>
      </w:r>
      <w:r w:rsidR="001B1E4B">
        <w:t xml:space="preserve">full-year </w:t>
      </w:r>
      <w:r w:rsidRPr="00452F8D">
        <w:t>forecast is for a breakeven position at year-end. This is subject to several risks and dependencies, including income performance and the timing of planned expenditure.</w:t>
      </w:r>
    </w:p>
    <w:p w14:paraId="0E7E1CE4" w14:textId="6831179F" w:rsidR="00D40AB5" w:rsidRPr="00BF4616" w:rsidRDefault="00D40AB5" w:rsidP="00C9558A">
      <w:pPr>
        <w:pStyle w:val="ListParagraph"/>
        <w:numPr>
          <w:ilvl w:val="0"/>
          <w:numId w:val="56"/>
        </w:numPr>
        <w:spacing w:before="120" w:after="120"/>
        <w:ind w:left="284" w:hanging="284"/>
        <w:contextualSpacing w:val="0"/>
      </w:pPr>
      <w:r>
        <w:t>Year-to-date, the organisation is reporting a £0.9m overspend, primarily driven by under-recovery of operating income</w:t>
      </w:r>
      <w:r w:rsidR="00D470BC">
        <w:t xml:space="preserve"> from TA/HST Fees (£0.6m) and NICE Advice (£0.3m)</w:t>
      </w:r>
      <w:r>
        <w:t xml:space="preserve">. </w:t>
      </w:r>
      <w:r w:rsidRPr="00BF4616">
        <w:t xml:space="preserve">While some recovery is anticipated later in the year, income delivery remains a </w:t>
      </w:r>
      <w:r w:rsidRPr="00DD625C">
        <w:t>key risk</w:t>
      </w:r>
      <w:r w:rsidRPr="00BF4616">
        <w:t xml:space="preserve"> to the overall financial position.</w:t>
      </w:r>
      <w:r w:rsidR="00EF78AA">
        <w:t xml:space="preserve"> Expenditure budgets are currently </w:t>
      </w:r>
      <w:r w:rsidR="004C7664">
        <w:t xml:space="preserve">within </w:t>
      </w:r>
      <w:proofErr w:type="gramStart"/>
      <w:r w:rsidR="005262FE">
        <w:t>plan</w:t>
      </w:r>
      <w:proofErr w:type="gramEnd"/>
      <w:r w:rsidR="004C7664">
        <w:t xml:space="preserve"> and this is forecast to continue</w:t>
      </w:r>
      <w:r w:rsidR="00641670">
        <w:t xml:space="preserve">. The </w:t>
      </w:r>
      <w:r w:rsidR="008833E4">
        <w:t>full-year forecast</w:t>
      </w:r>
      <w:r w:rsidR="00641670">
        <w:t xml:space="preserve"> non-pay overspend primarily relates to </w:t>
      </w:r>
      <w:r w:rsidR="00400653">
        <w:t xml:space="preserve">restructuring </w:t>
      </w:r>
      <w:r w:rsidR="00641670">
        <w:t>costs</w:t>
      </w:r>
      <w:r w:rsidR="00400653">
        <w:t>;</w:t>
      </w:r>
      <w:r w:rsidR="00AE6E48">
        <w:t xml:space="preserve"> however</w:t>
      </w:r>
      <w:r w:rsidR="00400653">
        <w:t>,</w:t>
      </w:r>
      <w:r w:rsidR="00AE6E48">
        <w:t xml:space="preserve"> we made a provision </w:t>
      </w:r>
      <w:r w:rsidR="00D0369B">
        <w:t xml:space="preserve">in the </w:t>
      </w:r>
      <w:r w:rsidR="00400653">
        <w:t>20</w:t>
      </w:r>
      <w:r w:rsidR="00D0369B">
        <w:t xml:space="preserve">25/26 accounts relating to this and it is expected that DHSC will </w:t>
      </w:r>
      <w:r w:rsidR="00D75C55">
        <w:t xml:space="preserve">provide budget </w:t>
      </w:r>
      <w:r w:rsidR="001301BF">
        <w:t xml:space="preserve">cover </w:t>
      </w:r>
      <w:r w:rsidR="00D75C55">
        <w:t xml:space="preserve">to offset </w:t>
      </w:r>
      <w:r w:rsidR="00D0369B">
        <w:t>the impact on RDEL budgets.</w:t>
      </w:r>
    </w:p>
    <w:p w14:paraId="1FF6993C" w14:textId="5E78BC0A" w:rsidR="00D75C55" w:rsidRPr="00BF4616" w:rsidRDefault="00423853" w:rsidP="00A6335E">
      <w:pPr>
        <w:pStyle w:val="ListParagraph"/>
        <w:numPr>
          <w:ilvl w:val="0"/>
          <w:numId w:val="56"/>
        </w:numPr>
        <w:spacing w:before="120" w:after="120"/>
        <w:ind w:left="284" w:hanging="284"/>
        <w:contextualSpacing w:val="0"/>
      </w:pPr>
      <w:r>
        <w:t xml:space="preserve">To reduce the </w:t>
      </w:r>
      <w:r w:rsidR="002A26E3">
        <w:t>risk of</w:t>
      </w:r>
      <w:r>
        <w:t xml:space="preserve"> year-end deficit, we </w:t>
      </w:r>
      <w:r w:rsidR="00F73271">
        <w:t>are taking steps to control costs</w:t>
      </w:r>
      <w:r w:rsidR="00980E20">
        <w:t xml:space="preserve">, including careful management of headcount </w:t>
      </w:r>
      <w:r w:rsidR="00AC5E9D">
        <w:t>and expenditure</w:t>
      </w:r>
      <w:r w:rsidR="00980E20">
        <w:t xml:space="preserve">, and </w:t>
      </w:r>
      <w:r w:rsidR="00766066">
        <w:t>action to mitigate the impact of income under-performance</w:t>
      </w:r>
      <w:r w:rsidR="005262FE">
        <w:t>.</w:t>
      </w:r>
    </w:p>
    <w:p w14:paraId="0F69A3A6" w14:textId="77777777" w:rsidR="000E6B0B" w:rsidRDefault="000E6B0B" w:rsidP="00CB38A4"/>
    <w:p w14:paraId="22E9F4F5" w14:textId="77777777" w:rsidR="001042C6" w:rsidRDefault="001042C6" w:rsidP="00CB38A4"/>
    <w:p w14:paraId="5D37316A" w14:textId="73391CED" w:rsidR="001042C6" w:rsidRDefault="001042C6">
      <w:r>
        <w:br w:type="page"/>
      </w:r>
    </w:p>
    <w:p w14:paraId="4EAA5FB2" w14:textId="1EC400F5" w:rsidR="001042C6" w:rsidRPr="00517723" w:rsidRDefault="001042C6" w:rsidP="001042C6">
      <w:pPr>
        <w:pStyle w:val="Heading1"/>
        <w:ind w:left="426" w:hanging="426"/>
      </w:pPr>
      <w:bookmarkStart w:id="23" w:name="_Toc234391383"/>
      <w:r>
        <w:t xml:space="preserve">Appendix A: </w:t>
      </w:r>
      <w:r w:rsidR="00A46880">
        <w:t>Chart d</w:t>
      </w:r>
      <w:r>
        <w:t>ata tables</w:t>
      </w:r>
      <w:bookmarkEnd w:id="23"/>
    </w:p>
    <w:p w14:paraId="10535787" w14:textId="6D593976" w:rsidR="001042C6" w:rsidRPr="00DE0285" w:rsidRDefault="005D3854" w:rsidP="00CB38A4">
      <w:r w:rsidRPr="00DE0285">
        <w:t xml:space="preserve">Data table 1: </w:t>
      </w:r>
      <w:r w:rsidR="00DE0285" w:rsidRPr="00DE0285">
        <w:t>Number of KPIs by RAG status</w:t>
      </w:r>
    </w:p>
    <w:tbl>
      <w:tblPr>
        <w:tblStyle w:val="TableGrid"/>
        <w:tblW w:w="0" w:type="auto"/>
        <w:tblLook w:val="04A0" w:firstRow="1" w:lastRow="0" w:firstColumn="1" w:lastColumn="0" w:noHBand="0" w:noVBand="1"/>
      </w:tblPr>
      <w:tblGrid>
        <w:gridCol w:w="3060"/>
        <w:gridCol w:w="1200"/>
        <w:gridCol w:w="1200"/>
        <w:gridCol w:w="1200"/>
        <w:gridCol w:w="1200"/>
      </w:tblGrid>
      <w:tr w:rsidR="005D3854" w:rsidRPr="005D3854" w14:paraId="11B19012" w14:textId="77777777" w:rsidTr="00A06F6D">
        <w:trPr>
          <w:trHeight w:val="70"/>
        </w:trPr>
        <w:tc>
          <w:tcPr>
            <w:tcW w:w="3060" w:type="dxa"/>
            <w:shd w:val="clear" w:color="auto" w:fill="00436C"/>
            <w:noWrap/>
            <w:vAlign w:val="center"/>
            <w:hideMark/>
          </w:tcPr>
          <w:p w14:paraId="4FC76111" w14:textId="77777777" w:rsidR="005D3854" w:rsidRPr="00A06F6D" w:rsidRDefault="005D3854" w:rsidP="00A06F6D">
            <w:pPr>
              <w:spacing w:before="60" w:after="60"/>
              <w:rPr>
                <w:b/>
                <w:bCs/>
                <w:color w:val="FFFFFF" w:themeColor="background1"/>
              </w:rPr>
            </w:pPr>
            <w:r w:rsidRPr="00A06F6D">
              <w:rPr>
                <w:b/>
                <w:bCs/>
                <w:color w:val="FFFFFF" w:themeColor="background1"/>
              </w:rPr>
              <w:t>Aim</w:t>
            </w:r>
          </w:p>
        </w:tc>
        <w:tc>
          <w:tcPr>
            <w:tcW w:w="1200" w:type="dxa"/>
            <w:shd w:val="clear" w:color="auto" w:fill="00436C"/>
            <w:noWrap/>
            <w:vAlign w:val="center"/>
            <w:hideMark/>
          </w:tcPr>
          <w:p w14:paraId="2EE3AC9B" w14:textId="77777777" w:rsidR="005D3854" w:rsidRPr="00A06F6D" w:rsidRDefault="005D3854" w:rsidP="00A06F6D">
            <w:pPr>
              <w:spacing w:before="60" w:after="60"/>
              <w:jc w:val="center"/>
              <w:rPr>
                <w:b/>
                <w:bCs/>
                <w:color w:val="FFFFFF" w:themeColor="background1"/>
              </w:rPr>
            </w:pPr>
            <w:r w:rsidRPr="00A06F6D">
              <w:rPr>
                <w:b/>
                <w:bCs/>
                <w:color w:val="FFFFFF" w:themeColor="background1"/>
              </w:rPr>
              <w:t>GREEN</w:t>
            </w:r>
          </w:p>
        </w:tc>
        <w:tc>
          <w:tcPr>
            <w:tcW w:w="1200" w:type="dxa"/>
            <w:shd w:val="clear" w:color="auto" w:fill="00436C"/>
            <w:noWrap/>
            <w:vAlign w:val="center"/>
            <w:hideMark/>
          </w:tcPr>
          <w:p w14:paraId="6F619192" w14:textId="77777777" w:rsidR="005D3854" w:rsidRPr="00A06F6D" w:rsidRDefault="005D3854" w:rsidP="00A06F6D">
            <w:pPr>
              <w:spacing w:before="60" w:after="60"/>
              <w:jc w:val="center"/>
              <w:rPr>
                <w:b/>
                <w:bCs/>
                <w:color w:val="FFFFFF" w:themeColor="background1"/>
              </w:rPr>
            </w:pPr>
            <w:r w:rsidRPr="00A06F6D">
              <w:rPr>
                <w:b/>
                <w:bCs/>
                <w:color w:val="FFFFFF" w:themeColor="background1"/>
              </w:rPr>
              <w:t>AMBER</w:t>
            </w:r>
          </w:p>
        </w:tc>
        <w:tc>
          <w:tcPr>
            <w:tcW w:w="1200" w:type="dxa"/>
            <w:shd w:val="clear" w:color="auto" w:fill="00436C"/>
            <w:noWrap/>
            <w:vAlign w:val="center"/>
            <w:hideMark/>
          </w:tcPr>
          <w:p w14:paraId="0D1A7106" w14:textId="77777777" w:rsidR="005D3854" w:rsidRPr="00A06F6D" w:rsidRDefault="005D3854" w:rsidP="00A06F6D">
            <w:pPr>
              <w:spacing w:before="60" w:after="60"/>
              <w:jc w:val="center"/>
              <w:rPr>
                <w:b/>
                <w:bCs/>
                <w:color w:val="FFFFFF" w:themeColor="background1"/>
              </w:rPr>
            </w:pPr>
            <w:r w:rsidRPr="00A06F6D">
              <w:rPr>
                <w:b/>
                <w:bCs/>
                <w:color w:val="FFFFFF" w:themeColor="background1"/>
              </w:rPr>
              <w:t>RED</w:t>
            </w:r>
          </w:p>
        </w:tc>
        <w:tc>
          <w:tcPr>
            <w:tcW w:w="1200" w:type="dxa"/>
            <w:shd w:val="clear" w:color="auto" w:fill="00436C"/>
            <w:noWrap/>
            <w:vAlign w:val="center"/>
            <w:hideMark/>
          </w:tcPr>
          <w:p w14:paraId="4A6EA4B5" w14:textId="77777777" w:rsidR="005D3854" w:rsidRPr="00A06F6D" w:rsidRDefault="005D3854" w:rsidP="00A06F6D">
            <w:pPr>
              <w:spacing w:before="60" w:after="60"/>
              <w:jc w:val="center"/>
              <w:rPr>
                <w:b/>
                <w:bCs/>
                <w:color w:val="FFFFFF" w:themeColor="background1"/>
              </w:rPr>
            </w:pPr>
            <w:r w:rsidRPr="00A06F6D">
              <w:rPr>
                <w:b/>
                <w:bCs/>
                <w:color w:val="FFFFFF" w:themeColor="background1"/>
              </w:rPr>
              <w:t>Total</w:t>
            </w:r>
          </w:p>
        </w:tc>
      </w:tr>
      <w:tr w:rsidR="005D3854" w:rsidRPr="005D3854" w14:paraId="36DA2130" w14:textId="77777777" w:rsidTr="00A06F6D">
        <w:trPr>
          <w:trHeight w:val="279"/>
        </w:trPr>
        <w:tc>
          <w:tcPr>
            <w:tcW w:w="3060" w:type="dxa"/>
            <w:noWrap/>
            <w:vAlign w:val="center"/>
            <w:hideMark/>
          </w:tcPr>
          <w:p w14:paraId="63F0AD9F" w14:textId="77777777" w:rsidR="005D3854" w:rsidRPr="005D3854" w:rsidRDefault="005D3854" w:rsidP="00A06F6D">
            <w:pPr>
              <w:spacing w:before="60" w:after="60"/>
            </w:pPr>
            <w:r w:rsidRPr="005D3854">
              <w:t>Stronger NICE</w:t>
            </w:r>
          </w:p>
        </w:tc>
        <w:tc>
          <w:tcPr>
            <w:tcW w:w="1200" w:type="dxa"/>
            <w:noWrap/>
            <w:vAlign w:val="center"/>
            <w:hideMark/>
          </w:tcPr>
          <w:p w14:paraId="2341979D" w14:textId="77777777" w:rsidR="005D3854" w:rsidRPr="005D3854" w:rsidRDefault="005D3854" w:rsidP="00A06F6D">
            <w:pPr>
              <w:spacing w:before="60" w:after="60"/>
              <w:jc w:val="center"/>
            </w:pPr>
            <w:r w:rsidRPr="005D3854">
              <w:t>2</w:t>
            </w:r>
          </w:p>
        </w:tc>
        <w:tc>
          <w:tcPr>
            <w:tcW w:w="1200" w:type="dxa"/>
            <w:noWrap/>
            <w:vAlign w:val="center"/>
            <w:hideMark/>
          </w:tcPr>
          <w:p w14:paraId="26621643" w14:textId="77777777" w:rsidR="005D3854" w:rsidRPr="005D3854" w:rsidRDefault="005D3854" w:rsidP="00A06F6D">
            <w:pPr>
              <w:spacing w:before="60" w:after="60"/>
              <w:jc w:val="center"/>
            </w:pPr>
            <w:r w:rsidRPr="005D3854">
              <w:t>2</w:t>
            </w:r>
          </w:p>
        </w:tc>
        <w:tc>
          <w:tcPr>
            <w:tcW w:w="1200" w:type="dxa"/>
            <w:noWrap/>
            <w:vAlign w:val="center"/>
            <w:hideMark/>
          </w:tcPr>
          <w:p w14:paraId="1BFCD2F9" w14:textId="0ACB214D" w:rsidR="005D3854" w:rsidRPr="005D3854" w:rsidRDefault="005D3854" w:rsidP="00A06F6D">
            <w:pPr>
              <w:spacing w:before="60" w:after="60"/>
              <w:jc w:val="center"/>
            </w:pPr>
          </w:p>
        </w:tc>
        <w:tc>
          <w:tcPr>
            <w:tcW w:w="1200" w:type="dxa"/>
            <w:noWrap/>
            <w:vAlign w:val="center"/>
            <w:hideMark/>
          </w:tcPr>
          <w:p w14:paraId="4D364AA3" w14:textId="77777777" w:rsidR="005D3854" w:rsidRPr="005D3854" w:rsidRDefault="005D3854" w:rsidP="00A06F6D">
            <w:pPr>
              <w:spacing w:before="60" w:after="60"/>
              <w:jc w:val="center"/>
            </w:pPr>
            <w:r w:rsidRPr="005D3854">
              <w:t>4</w:t>
            </w:r>
          </w:p>
        </w:tc>
      </w:tr>
      <w:tr w:rsidR="005D3854" w:rsidRPr="005D3854" w14:paraId="49455A36" w14:textId="77777777" w:rsidTr="00A06F6D">
        <w:trPr>
          <w:trHeight w:val="70"/>
        </w:trPr>
        <w:tc>
          <w:tcPr>
            <w:tcW w:w="3060" w:type="dxa"/>
            <w:noWrap/>
            <w:vAlign w:val="center"/>
            <w:hideMark/>
          </w:tcPr>
          <w:p w14:paraId="6937FD56" w14:textId="77777777" w:rsidR="005D3854" w:rsidRPr="005D3854" w:rsidRDefault="005D3854" w:rsidP="00A06F6D">
            <w:pPr>
              <w:spacing w:before="60" w:after="60"/>
            </w:pPr>
            <w:r w:rsidRPr="005D3854">
              <w:t>Faster access</w:t>
            </w:r>
          </w:p>
        </w:tc>
        <w:tc>
          <w:tcPr>
            <w:tcW w:w="1200" w:type="dxa"/>
            <w:noWrap/>
            <w:vAlign w:val="center"/>
            <w:hideMark/>
          </w:tcPr>
          <w:p w14:paraId="23FEB059" w14:textId="77777777" w:rsidR="005D3854" w:rsidRPr="005D3854" w:rsidRDefault="005D3854" w:rsidP="00A06F6D">
            <w:pPr>
              <w:spacing w:before="60" w:after="60"/>
              <w:jc w:val="center"/>
            </w:pPr>
            <w:r w:rsidRPr="005D3854">
              <w:t>5</w:t>
            </w:r>
          </w:p>
        </w:tc>
        <w:tc>
          <w:tcPr>
            <w:tcW w:w="1200" w:type="dxa"/>
            <w:noWrap/>
            <w:vAlign w:val="center"/>
            <w:hideMark/>
          </w:tcPr>
          <w:p w14:paraId="7CC01394" w14:textId="77777777" w:rsidR="005D3854" w:rsidRPr="005D3854" w:rsidRDefault="005D3854" w:rsidP="00A06F6D">
            <w:pPr>
              <w:spacing w:before="60" w:after="60"/>
              <w:jc w:val="center"/>
            </w:pPr>
            <w:r w:rsidRPr="005D3854">
              <w:t>2</w:t>
            </w:r>
          </w:p>
        </w:tc>
        <w:tc>
          <w:tcPr>
            <w:tcW w:w="1200" w:type="dxa"/>
            <w:noWrap/>
            <w:vAlign w:val="center"/>
            <w:hideMark/>
          </w:tcPr>
          <w:p w14:paraId="6FBC1F61" w14:textId="2DC93AD3" w:rsidR="005D3854" w:rsidRPr="005D3854" w:rsidRDefault="005D3854" w:rsidP="00A06F6D">
            <w:pPr>
              <w:spacing w:before="60" w:after="60"/>
              <w:jc w:val="center"/>
            </w:pPr>
          </w:p>
        </w:tc>
        <w:tc>
          <w:tcPr>
            <w:tcW w:w="1200" w:type="dxa"/>
            <w:noWrap/>
            <w:vAlign w:val="center"/>
            <w:hideMark/>
          </w:tcPr>
          <w:p w14:paraId="1F0CCDF1" w14:textId="77777777" w:rsidR="005D3854" w:rsidRPr="005D3854" w:rsidRDefault="005D3854" w:rsidP="00A06F6D">
            <w:pPr>
              <w:spacing w:before="60" w:after="60"/>
              <w:jc w:val="center"/>
            </w:pPr>
            <w:r w:rsidRPr="005D3854">
              <w:t>7</w:t>
            </w:r>
          </w:p>
        </w:tc>
      </w:tr>
      <w:tr w:rsidR="005D3854" w:rsidRPr="005D3854" w14:paraId="02E2144C" w14:textId="77777777" w:rsidTr="00A06F6D">
        <w:trPr>
          <w:trHeight w:val="70"/>
        </w:trPr>
        <w:tc>
          <w:tcPr>
            <w:tcW w:w="3060" w:type="dxa"/>
            <w:noWrap/>
            <w:vAlign w:val="center"/>
            <w:hideMark/>
          </w:tcPr>
          <w:p w14:paraId="04A2A449" w14:textId="77777777" w:rsidR="005D3854" w:rsidRPr="005D3854" w:rsidRDefault="005D3854" w:rsidP="00A06F6D">
            <w:pPr>
              <w:spacing w:before="60" w:after="60"/>
            </w:pPr>
            <w:r w:rsidRPr="005D3854">
              <w:t>Better guidance</w:t>
            </w:r>
          </w:p>
        </w:tc>
        <w:tc>
          <w:tcPr>
            <w:tcW w:w="1200" w:type="dxa"/>
            <w:noWrap/>
            <w:vAlign w:val="center"/>
            <w:hideMark/>
          </w:tcPr>
          <w:p w14:paraId="6E852FC0" w14:textId="77777777" w:rsidR="005D3854" w:rsidRPr="005D3854" w:rsidRDefault="005D3854" w:rsidP="00A06F6D">
            <w:pPr>
              <w:spacing w:before="60" w:after="60"/>
              <w:jc w:val="center"/>
            </w:pPr>
            <w:r w:rsidRPr="005D3854">
              <w:t>1</w:t>
            </w:r>
          </w:p>
        </w:tc>
        <w:tc>
          <w:tcPr>
            <w:tcW w:w="1200" w:type="dxa"/>
            <w:noWrap/>
            <w:vAlign w:val="center"/>
            <w:hideMark/>
          </w:tcPr>
          <w:p w14:paraId="0685D18A" w14:textId="1BE27ECE" w:rsidR="005D3854" w:rsidRPr="005D3854" w:rsidRDefault="005D3854" w:rsidP="00A06F6D">
            <w:pPr>
              <w:spacing w:before="60" w:after="60"/>
              <w:jc w:val="center"/>
            </w:pPr>
          </w:p>
        </w:tc>
        <w:tc>
          <w:tcPr>
            <w:tcW w:w="1200" w:type="dxa"/>
            <w:noWrap/>
            <w:vAlign w:val="center"/>
            <w:hideMark/>
          </w:tcPr>
          <w:p w14:paraId="56C4471D" w14:textId="5B27699E" w:rsidR="005D3854" w:rsidRPr="005D3854" w:rsidRDefault="005D3854" w:rsidP="00A06F6D">
            <w:pPr>
              <w:spacing w:before="60" w:after="60"/>
              <w:jc w:val="center"/>
            </w:pPr>
          </w:p>
        </w:tc>
        <w:tc>
          <w:tcPr>
            <w:tcW w:w="1200" w:type="dxa"/>
            <w:noWrap/>
            <w:vAlign w:val="center"/>
            <w:hideMark/>
          </w:tcPr>
          <w:p w14:paraId="42E91547" w14:textId="77777777" w:rsidR="005D3854" w:rsidRPr="005D3854" w:rsidRDefault="005D3854" w:rsidP="00A06F6D">
            <w:pPr>
              <w:spacing w:before="60" w:after="60"/>
              <w:jc w:val="center"/>
            </w:pPr>
            <w:r w:rsidRPr="005D3854">
              <w:t>1</w:t>
            </w:r>
          </w:p>
        </w:tc>
      </w:tr>
      <w:tr w:rsidR="005D3854" w:rsidRPr="005D3854" w14:paraId="4A4A3F00" w14:textId="77777777" w:rsidTr="00A06F6D">
        <w:trPr>
          <w:trHeight w:val="70"/>
        </w:trPr>
        <w:tc>
          <w:tcPr>
            <w:tcW w:w="3060" w:type="dxa"/>
            <w:noWrap/>
            <w:vAlign w:val="center"/>
            <w:hideMark/>
          </w:tcPr>
          <w:p w14:paraId="3631505F" w14:textId="77777777" w:rsidR="005D3854" w:rsidRPr="005D3854" w:rsidRDefault="005D3854" w:rsidP="00A06F6D">
            <w:pPr>
              <w:spacing w:before="60" w:after="60"/>
              <w:rPr>
                <w:b/>
                <w:bCs/>
              </w:rPr>
            </w:pPr>
            <w:r w:rsidRPr="005D3854">
              <w:rPr>
                <w:b/>
                <w:bCs/>
              </w:rPr>
              <w:t>All KPIs</w:t>
            </w:r>
          </w:p>
        </w:tc>
        <w:tc>
          <w:tcPr>
            <w:tcW w:w="1200" w:type="dxa"/>
            <w:noWrap/>
            <w:vAlign w:val="center"/>
            <w:hideMark/>
          </w:tcPr>
          <w:p w14:paraId="1CE51F2A" w14:textId="77777777" w:rsidR="005D3854" w:rsidRPr="005D3854" w:rsidRDefault="005D3854" w:rsidP="00A06F6D">
            <w:pPr>
              <w:spacing w:before="60" w:after="60"/>
              <w:jc w:val="center"/>
              <w:rPr>
                <w:b/>
                <w:bCs/>
              </w:rPr>
            </w:pPr>
            <w:r w:rsidRPr="005D3854">
              <w:rPr>
                <w:b/>
                <w:bCs/>
              </w:rPr>
              <w:t>8</w:t>
            </w:r>
          </w:p>
        </w:tc>
        <w:tc>
          <w:tcPr>
            <w:tcW w:w="1200" w:type="dxa"/>
            <w:noWrap/>
            <w:vAlign w:val="center"/>
            <w:hideMark/>
          </w:tcPr>
          <w:p w14:paraId="1CE93FCA" w14:textId="77777777" w:rsidR="005D3854" w:rsidRPr="005D3854" w:rsidRDefault="005D3854" w:rsidP="00A06F6D">
            <w:pPr>
              <w:spacing w:before="60" w:after="60"/>
              <w:jc w:val="center"/>
              <w:rPr>
                <w:b/>
                <w:bCs/>
              </w:rPr>
            </w:pPr>
            <w:r w:rsidRPr="005D3854">
              <w:rPr>
                <w:b/>
                <w:bCs/>
              </w:rPr>
              <w:t>4</w:t>
            </w:r>
          </w:p>
        </w:tc>
        <w:tc>
          <w:tcPr>
            <w:tcW w:w="1200" w:type="dxa"/>
            <w:noWrap/>
            <w:vAlign w:val="center"/>
            <w:hideMark/>
          </w:tcPr>
          <w:p w14:paraId="3B40DE55" w14:textId="77777777" w:rsidR="005D3854" w:rsidRPr="005D3854" w:rsidRDefault="005D3854" w:rsidP="00A06F6D">
            <w:pPr>
              <w:spacing w:before="60" w:after="60"/>
              <w:jc w:val="center"/>
              <w:rPr>
                <w:b/>
                <w:bCs/>
              </w:rPr>
            </w:pPr>
            <w:r w:rsidRPr="005D3854">
              <w:rPr>
                <w:b/>
                <w:bCs/>
              </w:rPr>
              <w:t>0</w:t>
            </w:r>
          </w:p>
        </w:tc>
        <w:tc>
          <w:tcPr>
            <w:tcW w:w="1200" w:type="dxa"/>
            <w:noWrap/>
            <w:vAlign w:val="center"/>
            <w:hideMark/>
          </w:tcPr>
          <w:p w14:paraId="429E3453" w14:textId="77777777" w:rsidR="005D3854" w:rsidRPr="005D3854" w:rsidRDefault="005D3854" w:rsidP="00A06F6D">
            <w:pPr>
              <w:spacing w:before="60" w:after="60"/>
              <w:jc w:val="center"/>
              <w:rPr>
                <w:b/>
                <w:bCs/>
              </w:rPr>
            </w:pPr>
            <w:r w:rsidRPr="005D3854">
              <w:rPr>
                <w:b/>
                <w:bCs/>
              </w:rPr>
              <w:t>12</w:t>
            </w:r>
          </w:p>
        </w:tc>
      </w:tr>
    </w:tbl>
    <w:p w14:paraId="65F141BF" w14:textId="524EAD41" w:rsidR="001042C6" w:rsidRDefault="00593F6D" w:rsidP="00A06F6D">
      <w:pPr>
        <w:spacing w:before="240" w:after="120"/>
      </w:pPr>
      <w:r>
        <w:t xml:space="preserve">Data table 2: </w:t>
      </w:r>
      <w:r w:rsidR="00C2040C">
        <w:t>Average ti</w:t>
      </w:r>
      <w:r w:rsidR="005D6EC0">
        <w:t xml:space="preserve">me </w:t>
      </w:r>
      <w:r w:rsidR="005D6EC0" w:rsidRPr="006902F0">
        <w:t>between marketing authorisation and NICE recommendation</w:t>
      </w:r>
      <w:r w:rsidR="005D6EC0">
        <w:t xml:space="preserve"> </w:t>
      </w:r>
      <w:r w:rsidR="00F02A79">
        <w:t xml:space="preserve">(medicines) </w:t>
      </w:r>
      <w:r w:rsidR="005D6EC0">
        <w:t>and number of publications</w:t>
      </w:r>
      <w:r w:rsidR="00C2040C">
        <w:t xml:space="preserve"> </w:t>
      </w:r>
      <w:r w:rsidR="00C2040C" w:rsidRPr="00593F6D">
        <w:t>(excluding reviews and terminations)</w:t>
      </w:r>
    </w:p>
    <w:tbl>
      <w:tblPr>
        <w:tblStyle w:val="TableGrid"/>
        <w:tblW w:w="14596" w:type="dxa"/>
        <w:tblLayout w:type="fixed"/>
        <w:tblLook w:val="04A0" w:firstRow="1" w:lastRow="0" w:firstColumn="1" w:lastColumn="0" w:noHBand="0" w:noVBand="1"/>
      </w:tblPr>
      <w:tblGrid>
        <w:gridCol w:w="3256"/>
        <w:gridCol w:w="810"/>
        <w:gridCol w:w="810"/>
        <w:gridCol w:w="810"/>
        <w:gridCol w:w="810"/>
        <w:gridCol w:w="810"/>
        <w:gridCol w:w="810"/>
        <w:gridCol w:w="810"/>
        <w:gridCol w:w="810"/>
        <w:gridCol w:w="810"/>
        <w:gridCol w:w="810"/>
        <w:gridCol w:w="810"/>
        <w:gridCol w:w="810"/>
        <w:gridCol w:w="810"/>
        <w:gridCol w:w="810"/>
      </w:tblGrid>
      <w:tr w:rsidR="00593F6D" w:rsidRPr="00593F6D" w14:paraId="7FC5F1EC" w14:textId="77777777" w:rsidTr="005E30D8">
        <w:trPr>
          <w:trHeight w:val="300"/>
        </w:trPr>
        <w:tc>
          <w:tcPr>
            <w:tcW w:w="3256" w:type="dxa"/>
            <w:shd w:val="clear" w:color="auto" w:fill="00436C"/>
            <w:noWrap/>
            <w:vAlign w:val="center"/>
            <w:hideMark/>
          </w:tcPr>
          <w:p w14:paraId="66389F6B" w14:textId="74062EB1" w:rsidR="00593F6D" w:rsidRPr="005E30D8" w:rsidRDefault="00D67930" w:rsidP="005E30D8">
            <w:pPr>
              <w:spacing w:after="0"/>
              <w:rPr>
                <w:b/>
                <w:bCs/>
                <w:color w:val="FFFFFF" w:themeColor="background1"/>
              </w:rPr>
            </w:pPr>
            <w:r w:rsidRPr="00D67930">
              <w:rPr>
                <w:b/>
                <w:bCs/>
                <w:color w:val="FFFFFF" w:themeColor="background1"/>
              </w:rPr>
              <w:t>Measure</w:t>
            </w:r>
          </w:p>
        </w:tc>
        <w:tc>
          <w:tcPr>
            <w:tcW w:w="810" w:type="dxa"/>
            <w:shd w:val="clear" w:color="auto" w:fill="00436C"/>
            <w:noWrap/>
            <w:vAlign w:val="center"/>
            <w:hideMark/>
          </w:tcPr>
          <w:p w14:paraId="2548C329" w14:textId="77777777" w:rsidR="00593F6D" w:rsidRPr="005E30D8" w:rsidRDefault="00593F6D" w:rsidP="005E30D8">
            <w:pPr>
              <w:spacing w:after="0"/>
              <w:jc w:val="center"/>
              <w:rPr>
                <w:b/>
                <w:bCs/>
                <w:color w:val="FFFFFF" w:themeColor="background1"/>
              </w:rPr>
            </w:pPr>
            <w:r w:rsidRPr="005E30D8">
              <w:rPr>
                <w:b/>
                <w:bCs/>
                <w:color w:val="FFFFFF" w:themeColor="background1"/>
              </w:rPr>
              <w:t>Apr-25</w:t>
            </w:r>
          </w:p>
        </w:tc>
        <w:tc>
          <w:tcPr>
            <w:tcW w:w="810" w:type="dxa"/>
            <w:shd w:val="clear" w:color="auto" w:fill="00436C"/>
            <w:noWrap/>
            <w:vAlign w:val="center"/>
            <w:hideMark/>
          </w:tcPr>
          <w:p w14:paraId="7373B5F6" w14:textId="77777777" w:rsidR="00593F6D" w:rsidRPr="005E30D8" w:rsidRDefault="00593F6D" w:rsidP="005E30D8">
            <w:pPr>
              <w:spacing w:after="0"/>
              <w:jc w:val="center"/>
              <w:rPr>
                <w:b/>
                <w:bCs/>
                <w:color w:val="FFFFFF" w:themeColor="background1"/>
              </w:rPr>
            </w:pPr>
            <w:r w:rsidRPr="005E30D8">
              <w:rPr>
                <w:b/>
                <w:bCs/>
                <w:color w:val="FFFFFF" w:themeColor="background1"/>
              </w:rPr>
              <w:t>May-25</w:t>
            </w:r>
          </w:p>
        </w:tc>
        <w:tc>
          <w:tcPr>
            <w:tcW w:w="810" w:type="dxa"/>
            <w:shd w:val="clear" w:color="auto" w:fill="00436C"/>
            <w:noWrap/>
            <w:vAlign w:val="center"/>
            <w:hideMark/>
          </w:tcPr>
          <w:p w14:paraId="391895CE" w14:textId="77777777" w:rsidR="00593F6D" w:rsidRPr="005E30D8" w:rsidRDefault="00593F6D" w:rsidP="005E30D8">
            <w:pPr>
              <w:spacing w:after="0"/>
              <w:jc w:val="center"/>
              <w:rPr>
                <w:b/>
                <w:bCs/>
                <w:color w:val="FFFFFF" w:themeColor="background1"/>
              </w:rPr>
            </w:pPr>
            <w:r w:rsidRPr="005E30D8">
              <w:rPr>
                <w:b/>
                <w:bCs/>
                <w:color w:val="FFFFFF" w:themeColor="background1"/>
              </w:rPr>
              <w:t>Jun-25</w:t>
            </w:r>
          </w:p>
        </w:tc>
        <w:tc>
          <w:tcPr>
            <w:tcW w:w="810" w:type="dxa"/>
            <w:shd w:val="clear" w:color="auto" w:fill="00436C"/>
            <w:noWrap/>
            <w:vAlign w:val="center"/>
            <w:hideMark/>
          </w:tcPr>
          <w:p w14:paraId="7F37C7FD" w14:textId="77777777" w:rsidR="00593F6D" w:rsidRPr="005E30D8" w:rsidRDefault="00593F6D" w:rsidP="005E30D8">
            <w:pPr>
              <w:spacing w:after="0"/>
              <w:jc w:val="center"/>
              <w:rPr>
                <w:b/>
                <w:bCs/>
                <w:color w:val="FFFFFF" w:themeColor="background1"/>
              </w:rPr>
            </w:pPr>
            <w:r w:rsidRPr="005E30D8">
              <w:rPr>
                <w:b/>
                <w:bCs/>
                <w:color w:val="FFFFFF" w:themeColor="background1"/>
              </w:rPr>
              <w:t>Jul-25</w:t>
            </w:r>
          </w:p>
        </w:tc>
        <w:tc>
          <w:tcPr>
            <w:tcW w:w="810" w:type="dxa"/>
            <w:shd w:val="clear" w:color="auto" w:fill="00436C"/>
            <w:noWrap/>
            <w:vAlign w:val="center"/>
            <w:hideMark/>
          </w:tcPr>
          <w:p w14:paraId="1A00320B" w14:textId="77777777" w:rsidR="00593F6D" w:rsidRPr="005E30D8" w:rsidRDefault="00593F6D" w:rsidP="005E30D8">
            <w:pPr>
              <w:spacing w:after="0"/>
              <w:jc w:val="center"/>
              <w:rPr>
                <w:b/>
                <w:bCs/>
                <w:color w:val="FFFFFF" w:themeColor="background1"/>
              </w:rPr>
            </w:pPr>
            <w:r w:rsidRPr="005E30D8">
              <w:rPr>
                <w:b/>
                <w:bCs/>
                <w:color w:val="FFFFFF" w:themeColor="background1"/>
              </w:rPr>
              <w:t>Aug-25</w:t>
            </w:r>
          </w:p>
        </w:tc>
        <w:tc>
          <w:tcPr>
            <w:tcW w:w="810" w:type="dxa"/>
            <w:shd w:val="clear" w:color="auto" w:fill="00436C"/>
            <w:noWrap/>
            <w:vAlign w:val="center"/>
            <w:hideMark/>
          </w:tcPr>
          <w:p w14:paraId="148C90AA" w14:textId="77777777" w:rsidR="00593F6D" w:rsidRPr="005E30D8" w:rsidRDefault="00593F6D" w:rsidP="005E30D8">
            <w:pPr>
              <w:spacing w:after="0"/>
              <w:jc w:val="center"/>
              <w:rPr>
                <w:b/>
                <w:bCs/>
                <w:color w:val="FFFFFF" w:themeColor="background1"/>
              </w:rPr>
            </w:pPr>
            <w:r w:rsidRPr="005E30D8">
              <w:rPr>
                <w:b/>
                <w:bCs/>
                <w:color w:val="FFFFFF" w:themeColor="background1"/>
              </w:rPr>
              <w:t>Sep-25</w:t>
            </w:r>
          </w:p>
        </w:tc>
        <w:tc>
          <w:tcPr>
            <w:tcW w:w="810" w:type="dxa"/>
            <w:shd w:val="clear" w:color="auto" w:fill="00436C"/>
            <w:noWrap/>
            <w:vAlign w:val="center"/>
            <w:hideMark/>
          </w:tcPr>
          <w:p w14:paraId="6F9673DD" w14:textId="77777777" w:rsidR="00593F6D" w:rsidRPr="005E30D8" w:rsidRDefault="00593F6D" w:rsidP="005E30D8">
            <w:pPr>
              <w:spacing w:after="0"/>
              <w:jc w:val="center"/>
              <w:rPr>
                <w:b/>
                <w:bCs/>
                <w:color w:val="FFFFFF" w:themeColor="background1"/>
              </w:rPr>
            </w:pPr>
            <w:r w:rsidRPr="005E30D8">
              <w:rPr>
                <w:b/>
                <w:bCs/>
                <w:color w:val="FFFFFF" w:themeColor="background1"/>
              </w:rPr>
              <w:t>Oct-25</w:t>
            </w:r>
          </w:p>
        </w:tc>
        <w:tc>
          <w:tcPr>
            <w:tcW w:w="810" w:type="dxa"/>
            <w:shd w:val="clear" w:color="auto" w:fill="00436C"/>
            <w:noWrap/>
            <w:vAlign w:val="center"/>
            <w:hideMark/>
          </w:tcPr>
          <w:p w14:paraId="79E7E8A2" w14:textId="77777777" w:rsidR="00593F6D" w:rsidRPr="005E30D8" w:rsidRDefault="00593F6D" w:rsidP="005E30D8">
            <w:pPr>
              <w:spacing w:after="0"/>
              <w:jc w:val="center"/>
              <w:rPr>
                <w:b/>
                <w:bCs/>
                <w:color w:val="FFFFFF" w:themeColor="background1"/>
              </w:rPr>
            </w:pPr>
            <w:r w:rsidRPr="005E30D8">
              <w:rPr>
                <w:b/>
                <w:bCs/>
                <w:color w:val="FFFFFF" w:themeColor="background1"/>
              </w:rPr>
              <w:t>Nov-25</w:t>
            </w:r>
          </w:p>
        </w:tc>
        <w:tc>
          <w:tcPr>
            <w:tcW w:w="810" w:type="dxa"/>
            <w:shd w:val="clear" w:color="auto" w:fill="00436C"/>
            <w:noWrap/>
            <w:vAlign w:val="center"/>
            <w:hideMark/>
          </w:tcPr>
          <w:p w14:paraId="50D478B9" w14:textId="77777777" w:rsidR="00593F6D" w:rsidRPr="005E30D8" w:rsidRDefault="00593F6D" w:rsidP="005E30D8">
            <w:pPr>
              <w:spacing w:after="0"/>
              <w:jc w:val="center"/>
              <w:rPr>
                <w:b/>
                <w:bCs/>
                <w:color w:val="FFFFFF" w:themeColor="background1"/>
              </w:rPr>
            </w:pPr>
            <w:r w:rsidRPr="005E30D8">
              <w:rPr>
                <w:b/>
                <w:bCs/>
                <w:color w:val="FFFFFF" w:themeColor="background1"/>
              </w:rPr>
              <w:t>Dec-25</w:t>
            </w:r>
          </w:p>
        </w:tc>
        <w:tc>
          <w:tcPr>
            <w:tcW w:w="810" w:type="dxa"/>
            <w:shd w:val="clear" w:color="auto" w:fill="00436C"/>
            <w:noWrap/>
            <w:vAlign w:val="center"/>
            <w:hideMark/>
          </w:tcPr>
          <w:p w14:paraId="02284460" w14:textId="77777777" w:rsidR="00593F6D" w:rsidRPr="005E30D8" w:rsidRDefault="00593F6D" w:rsidP="005E30D8">
            <w:pPr>
              <w:spacing w:after="0"/>
              <w:jc w:val="center"/>
              <w:rPr>
                <w:b/>
                <w:bCs/>
                <w:color w:val="FFFFFF" w:themeColor="background1"/>
              </w:rPr>
            </w:pPr>
            <w:r w:rsidRPr="005E30D8">
              <w:rPr>
                <w:b/>
                <w:bCs/>
                <w:color w:val="FFFFFF" w:themeColor="background1"/>
              </w:rPr>
              <w:t>Jan-26</w:t>
            </w:r>
          </w:p>
        </w:tc>
        <w:tc>
          <w:tcPr>
            <w:tcW w:w="810" w:type="dxa"/>
            <w:shd w:val="clear" w:color="auto" w:fill="00436C"/>
            <w:noWrap/>
            <w:vAlign w:val="center"/>
            <w:hideMark/>
          </w:tcPr>
          <w:p w14:paraId="5DD3D151" w14:textId="77777777" w:rsidR="00593F6D" w:rsidRPr="005E30D8" w:rsidRDefault="00593F6D" w:rsidP="005E30D8">
            <w:pPr>
              <w:spacing w:after="0"/>
              <w:jc w:val="center"/>
              <w:rPr>
                <w:b/>
                <w:bCs/>
                <w:color w:val="FFFFFF" w:themeColor="background1"/>
              </w:rPr>
            </w:pPr>
            <w:r w:rsidRPr="005E30D8">
              <w:rPr>
                <w:b/>
                <w:bCs/>
                <w:color w:val="FFFFFF" w:themeColor="background1"/>
              </w:rPr>
              <w:t>Feb-26</w:t>
            </w:r>
          </w:p>
        </w:tc>
        <w:tc>
          <w:tcPr>
            <w:tcW w:w="810" w:type="dxa"/>
            <w:shd w:val="clear" w:color="auto" w:fill="00436C"/>
            <w:noWrap/>
            <w:vAlign w:val="center"/>
            <w:hideMark/>
          </w:tcPr>
          <w:p w14:paraId="22120458" w14:textId="77777777" w:rsidR="00593F6D" w:rsidRPr="005E30D8" w:rsidRDefault="00593F6D" w:rsidP="005E30D8">
            <w:pPr>
              <w:spacing w:after="0"/>
              <w:jc w:val="center"/>
              <w:rPr>
                <w:b/>
                <w:bCs/>
                <w:color w:val="FFFFFF" w:themeColor="background1"/>
              </w:rPr>
            </w:pPr>
            <w:r w:rsidRPr="005E30D8">
              <w:rPr>
                <w:b/>
                <w:bCs/>
                <w:color w:val="FFFFFF" w:themeColor="background1"/>
              </w:rPr>
              <w:t>Mar-26</w:t>
            </w:r>
          </w:p>
        </w:tc>
        <w:tc>
          <w:tcPr>
            <w:tcW w:w="810" w:type="dxa"/>
            <w:shd w:val="clear" w:color="auto" w:fill="00436C"/>
            <w:noWrap/>
            <w:vAlign w:val="center"/>
            <w:hideMark/>
          </w:tcPr>
          <w:p w14:paraId="283D6E60" w14:textId="77777777" w:rsidR="00593F6D" w:rsidRPr="005E30D8" w:rsidRDefault="00593F6D" w:rsidP="005E30D8">
            <w:pPr>
              <w:spacing w:after="0"/>
              <w:jc w:val="center"/>
              <w:rPr>
                <w:b/>
                <w:bCs/>
                <w:color w:val="FFFFFF" w:themeColor="background1"/>
              </w:rPr>
            </w:pPr>
            <w:r w:rsidRPr="005E30D8">
              <w:rPr>
                <w:b/>
                <w:bCs/>
                <w:color w:val="FFFFFF" w:themeColor="background1"/>
              </w:rPr>
              <w:t>Apr-26</w:t>
            </w:r>
          </w:p>
        </w:tc>
        <w:tc>
          <w:tcPr>
            <w:tcW w:w="810" w:type="dxa"/>
            <w:shd w:val="clear" w:color="auto" w:fill="00436C"/>
            <w:noWrap/>
            <w:vAlign w:val="center"/>
            <w:hideMark/>
          </w:tcPr>
          <w:p w14:paraId="57C01A83" w14:textId="77777777" w:rsidR="00593F6D" w:rsidRPr="005E30D8" w:rsidRDefault="00593F6D" w:rsidP="005E30D8">
            <w:pPr>
              <w:spacing w:after="0"/>
              <w:jc w:val="center"/>
              <w:rPr>
                <w:b/>
                <w:bCs/>
                <w:color w:val="FFFFFF" w:themeColor="background1"/>
              </w:rPr>
            </w:pPr>
            <w:r w:rsidRPr="005E30D8">
              <w:rPr>
                <w:b/>
                <w:bCs/>
                <w:color w:val="FFFFFF" w:themeColor="background1"/>
              </w:rPr>
              <w:t>May-26</w:t>
            </w:r>
          </w:p>
        </w:tc>
      </w:tr>
      <w:tr w:rsidR="00593F6D" w:rsidRPr="00593F6D" w14:paraId="1C34D2AA" w14:textId="77777777" w:rsidTr="005E30D8">
        <w:trPr>
          <w:trHeight w:val="70"/>
        </w:trPr>
        <w:tc>
          <w:tcPr>
            <w:tcW w:w="3256" w:type="dxa"/>
            <w:noWrap/>
            <w:vAlign w:val="center"/>
            <w:hideMark/>
          </w:tcPr>
          <w:p w14:paraId="67DEDEDF" w14:textId="77777777" w:rsidR="00593F6D" w:rsidRPr="00593F6D" w:rsidRDefault="00593F6D" w:rsidP="005E30D8">
            <w:pPr>
              <w:spacing w:before="60" w:after="60"/>
            </w:pPr>
            <w:r w:rsidRPr="00593F6D">
              <w:t>Median</w:t>
            </w:r>
          </w:p>
        </w:tc>
        <w:tc>
          <w:tcPr>
            <w:tcW w:w="810" w:type="dxa"/>
            <w:noWrap/>
            <w:vAlign w:val="center"/>
            <w:hideMark/>
          </w:tcPr>
          <w:p w14:paraId="6C18FFD4" w14:textId="77777777" w:rsidR="00593F6D" w:rsidRPr="00593F6D" w:rsidRDefault="00593F6D" w:rsidP="005E30D8">
            <w:pPr>
              <w:spacing w:before="60" w:after="60"/>
              <w:jc w:val="center"/>
            </w:pPr>
            <w:r w:rsidRPr="00593F6D">
              <w:t>311</w:t>
            </w:r>
          </w:p>
        </w:tc>
        <w:tc>
          <w:tcPr>
            <w:tcW w:w="810" w:type="dxa"/>
            <w:noWrap/>
            <w:vAlign w:val="center"/>
            <w:hideMark/>
          </w:tcPr>
          <w:p w14:paraId="161B5AA9" w14:textId="77777777" w:rsidR="00593F6D" w:rsidRPr="00593F6D" w:rsidRDefault="00593F6D" w:rsidP="005E30D8">
            <w:pPr>
              <w:spacing w:before="60" w:after="60"/>
              <w:jc w:val="center"/>
            </w:pPr>
            <w:r w:rsidRPr="00593F6D">
              <w:t>224</w:t>
            </w:r>
          </w:p>
        </w:tc>
        <w:tc>
          <w:tcPr>
            <w:tcW w:w="810" w:type="dxa"/>
            <w:noWrap/>
            <w:vAlign w:val="center"/>
            <w:hideMark/>
          </w:tcPr>
          <w:p w14:paraId="3271B593" w14:textId="77777777" w:rsidR="00593F6D" w:rsidRPr="00593F6D" w:rsidRDefault="00593F6D" w:rsidP="005E30D8">
            <w:pPr>
              <w:spacing w:before="60" w:after="60"/>
              <w:jc w:val="center"/>
            </w:pPr>
            <w:r w:rsidRPr="00593F6D">
              <w:t>178</w:t>
            </w:r>
          </w:p>
        </w:tc>
        <w:tc>
          <w:tcPr>
            <w:tcW w:w="810" w:type="dxa"/>
            <w:noWrap/>
            <w:vAlign w:val="center"/>
            <w:hideMark/>
          </w:tcPr>
          <w:p w14:paraId="4F4F9A60" w14:textId="77777777" w:rsidR="00593F6D" w:rsidRPr="00593F6D" w:rsidRDefault="00593F6D" w:rsidP="005E30D8">
            <w:pPr>
              <w:spacing w:before="60" w:after="60"/>
              <w:jc w:val="center"/>
            </w:pPr>
            <w:r w:rsidRPr="00593F6D">
              <w:t>148</w:t>
            </w:r>
          </w:p>
        </w:tc>
        <w:tc>
          <w:tcPr>
            <w:tcW w:w="810" w:type="dxa"/>
            <w:noWrap/>
            <w:vAlign w:val="center"/>
            <w:hideMark/>
          </w:tcPr>
          <w:p w14:paraId="3BE223C6" w14:textId="77777777" w:rsidR="00593F6D" w:rsidRPr="00593F6D" w:rsidRDefault="00593F6D" w:rsidP="005E30D8">
            <w:pPr>
              <w:spacing w:before="60" w:after="60"/>
              <w:jc w:val="center"/>
            </w:pPr>
            <w:r w:rsidRPr="00593F6D">
              <w:t>232</w:t>
            </w:r>
          </w:p>
        </w:tc>
        <w:tc>
          <w:tcPr>
            <w:tcW w:w="810" w:type="dxa"/>
            <w:noWrap/>
            <w:vAlign w:val="center"/>
            <w:hideMark/>
          </w:tcPr>
          <w:p w14:paraId="6D834708" w14:textId="77777777" w:rsidR="00593F6D" w:rsidRPr="00593F6D" w:rsidRDefault="00593F6D" w:rsidP="005E30D8">
            <w:pPr>
              <w:spacing w:before="60" w:after="60"/>
              <w:jc w:val="center"/>
            </w:pPr>
            <w:r w:rsidRPr="00593F6D">
              <w:t>216</w:t>
            </w:r>
          </w:p>
        </w:tc>
        <w:tc>
          <w:tcPr>
            <w:tcW w:w="810" w:type="dxa"/>
            <w:noWrap/>
            <w:vAlign w:val="center"/>
            <w:hideMark/>
          </w:tcPr>
          <w:p w14:paraId="6048F185" w14:textId="77777777" w:rsidR="00593F6D" w:rsidRPr="00593F6D" w:rsidRDefault="00593F6D" w:rsidP="005E30D8">
            <w:pPr>
              <w:spacing w:before="60" w:after="60"/>
              <w:jc w:val="center"/>
            </w:pPr>
            <w:r w:rsidRPr="00593F6D">
              <w:t>208</w:t>
            </w:r>
          </w:p>
        </w:tc>
        <w:tc>
          <w:tcPr>
            <w:tcW w:w="810" w:type="dxa"/>
            <w:noWrap/>
            <w:vAlign w:val="center"/>
            <w:hideMark/>
          </w:tcPr>
          <w:p w14:paraId="69665FA5" w14:textId="77777777" w:rsidR="00593F6D" w:rsidRPr="00593F6D" w:rsidRDefault="00593F6D" w:rsidP="005E30D8">
            <w:pPr>
              <w:spacing w:before="60" w:after="60"/>
              <w:jc w:val="center"/>
            </w:pPr>
            <w:r w:rsidRPr="00593F6D">
              <w:t>446</w:t>
            </w:r>
          </w:p>
        </w:tc>
        <w:tc>
          <w:tcPr>
            <w:tcW w:w="810" w:type="dxa"/>
            <w:noWrap/>
            <w:vAlign w:val="center"/>
            <w:hideMark/>
          </w:tcPr>
          <w:p w14:paraId="17701F1A" w14:textId="77777777" w:rsidR="00593F6D" w:rsidRPr="00593F6D" w:rsidRDefault="00593F6D" w:rsidP="005E30D8">
            <w:pPr>
              <w:spacing w:before="60" w:after="60"/>
              <w:jc w:val="center"/>
            </w:pPr>
            <w:r w:rsidRPr="00593F6D">
              <w:t>230</w:t>
            </w:r>
          </w:p>
        </w:tc>
        <w:tc>
          <w:tcPr>
            <w:tcW w:w="810" w:type="dxa"/>
            <w:noWrap/>
            <w:vAlign w:val="center"/>
            <w:hideMark/>
          </w:tcPr>
          <w:p w14:paraId="4365D9F9" w14:textId="77777777" w:rsidR="00593F6D" w:rsidRPr="00593F6D" w:rsidRDefault="00593F6D" w:rsidP="005E30D8">
            <w:pPr>
              <w:spacing w:before="60" w:after="60"/>
              <w:jc w:val="center"/>
            </w:pPr>
            <w:r w:rsidRPr="00593F6D">
              <w:t>294</w:t>
            </w:r>
          </w:p>
        </w:tc>
        <w:tc>
          <w:tcPr>
            <w:tcW w:w="810" w:type="dxa"/>
            <w:noWrap/>
            <w:vAlign w:val="center"/>
            <w:hideMark/>
          </w:tcPr>
          <w:p w14:paraId="356801C5" w14:textId="77777777" w:rsidR="00593F6D" w:rsidRPr="00593F6D" w:rsidRDefault="00593F6D" w:rsidP="005E30D8">
            <w:pPr>
              <w:spacing w:before="60" w:after="60"/>
              <w:jc w:val="center"/>
            </w:pPr>
            <w:r w:rsidRPr="00593F6D">
              <w:t>325</w:t>
            </w:r>
          </w:p>
        </w:tc>
        <w:tc>
          <w:tcPr>
            <w:tcW w:w="810" w:type="dxa"/>
            <w:noWrap/>
            <w:vAlign w:val="center"/>
            <w:hideMark/>
          </w:tcPr>
          <w:p w14:paraId="7218B403" w14:textId="77777777" w:rsidR="00593F6D" w:rsidRPr="00593F6D" w:rsidRDefault="00593F6D" w:rsidP="005E30D8">
            <w:pPr>
              <w:spacing w:before="60" w:after="60"/>
              <w:jc w:val="center"/>
            </w:pPr>
            <w:r w:rsidRPr="00593F6D">
              <w:t>563</w:t>
            </w:r>
          </w:p>
        </w:tc>
        <w:tc>
          <w:tcPr>
            <w:tcW w:w="810" w:type="dxa"/>
            <w:noWrap/>
            <w:vAlign w:val="center"/>
            <w:hideMark/>
          </w:tcPr>
          <w:p w14:paraId="38BEC1F0" w14:textId="77777777" w:rsidR="00593F6D" w:rsidRPr="00593F6D" w:rsidRDefault="00593F6D" w:rsidP="005E30D8">
            <w:pPr>
              <w:spacing w:before="60" w:after="60"/>
              <w:jc w:val="center"/>
            </w:pPr>
            <w:r w:rsidRPr="00593F6D">
              <w:t>225</w:t>
            </w:r>
          </w:p>
        </w:tc>
        <w:tc>
          <w:tcPr>
            <w:tcW w:w="810" w:type="dxa"/>
            <w:noWrap/>
            <w:vAlign w:val="center"/>
            <w:hideMark/>
          </w:tcPr>
          <w:p w14:paraId="0922EEEE" w14:textId="77777777" w:rsidR="00593F6D" w:rsidRPr="00593F6D" w:rsidRDefault="00593F6D" w:rsidP="005E30D8">
            <w:pPr>
              <w:spacing w:before="60" w:after="60"/>
              <w:jc w:val="center"/>
            </w:pPr>
            <w:r w:rsidRPr="00593F6D">
              <w:t>524</w:t>
            </w:r>
          </w:p>
        </w:tc>
      </w:tr>
      <w:tr w:rsidR="00593F6D" w:rsidRPr="00593F6D" w14:paraId="44443137" w14:textId="77777777" w:rsidTr="005E30D8">
        <w:trPr>
          <w:trHeight w:val="70"/>
        </w:trPr>
        <w:tc>
          <w:tcPr>
            <w:tcW w:w="3256" w:type="dxa"/>
            <w:noWrap/>
            <w:vAlign w:val="center"/>
            <w:hideMark/>
          </w:tcPr>
          <w:p w14:paraId="3182920F" w14:textId="77777777" w:rsidR="00593F6D" w:rsidRPr="00593F6D" w:rsidRDefault="00593F6D" w:rsidP="005E30D8">
            <w:pPr>
              <w:spacing w:before="60" w:after="60"/>
            </w:pPr>
            <w:r w:rsidRPr="00593F6D">
              <w:t>Mean</w:t>
            </w:r>
          </w:p>
        </w:tc>
        <w:tc>
          <w:tcPr>
            <w:tcW w:w="810" w:type="dxa"/>
            <w:noWrap/>
            <w:vAlign w:val="center"/>
            <w:hideMark/>
          </w:tcPr>
          <w:p w14:paraId="792A1C2B" w14:textId="77777777" w:rsidR="00593F6D" w:rsidRPr="00593F6D" w:rsidRDefault="00593F6D" w:rsidP="005E30D8">
            <w:pPr>
              <w:spacing w:before="60" w:after="60"/>
              <w:jc w:val="center"/>
            </w:pPr>
            <w:r w:rsidRPr="00593F6D">
              <w:t>385</w:t>
            </w:r>
          </w:p>
        </w:tc>
        <w:tc>
          <w:tcPr>
            <w:tcW w:w="810" w:type="dxa"/>
            <w:noWrap/>
            <w:vAlign w:val="center"/>
            <w:hideMark/>
          </w:tcPr>
          <w:p w14:paraId="5F878BD7" w14:textId="77777777" w:rsidR="00593F6D" w:rsidRPr="00593F6D" w:rsidRDefault="00593F6D" w:rsidP="005E30D8">
            <w:pPr>
              <w:spacing w:before="60" w:after="60"/>
              <w:jc w:val="center"/>
            </w:pPr>
            <w:r w:rsidRPr="00593F6D">
              <w:t>204</w:t>
            </w:r>
          </w:p>
        </w:tc>
        <w:tc>
          <w:tcPr>
            <w:tcW w:w="810" w:type="dxa"/>
            <w:noWrap/>
            <w:vAlign w:val="center"/>
            <w:hideMark/>
          </w:tcPr>
          <w:p w14:paraId="6E0C986F" w14:textId="77777777" w:rsidR="00593F6D" w:rsidRPr="00593F6D" w:rsidRDefault="00593F6D" w:rsidP="005E30D8">
            <w:pPr>
              <w:spacing w:before="60" w:after="60"/>
              <w:jc w:val="center"/>
            </w:pPr>
            <w:r w:rsidRPr="00593F6D">
              <w:t>322</w:t>
            </w:r>
          </w:p>
        </w:tc>
        <w:tc>
          <w:tcPr>
            <w:tcW w:w="810" w:type="dxa"/>
            <w:noWrap/>
            <w:vAlign w:val="center"/>
            <w:hideMark/>
          </w:tcPr>
          <w:p w14:paraId="7440D8A7" w14:textId="77777777" w:rsidR="00593F6D" w:rsidRPr="00593F6D" w:rsidRDefault="00593F6D" w:rsidP="005E30D8">
            <w:pPr>
              <w:spacing w:before="60" w:after="60"/>
              <w:jc w:val="center"/>
            </w:pPr>
            <w:r w:rsidRPr="00593F6D">
              <w:t>193</w:t>
            </w:r>
          </w:p>
        </w:tc>
        <w:tc>
          <w:tcPr>
            <w:tcW w:w="810" w:type="dxa"/>
            <w:noWrap/>
            <w:vAlign w:val="center"/>
            <w:hideMark/>
          </w:tcPr>
          <w:p w14:paraId="76C46218" w14:textId="77777777" w:rsidR="00593F6D" w:rsidRPr="00593F6D" w:rsidRDefault="00593F6D" w:rsidP="005E30D8">
            <w:pPr>
              <w:spacing w:before="60" w:after="60"/>
              <w:jc w:val="center"/>
            </w:pPr>
            <w:r w:rsidRPr="00593F6D">
              <w:t>557</w:t>
            </w:r>
          </w:p>
        </w:tc>
        <w:tc>
          <w:tcPr>
            <w:tcW w:w="810" w:type="dxa"/>
            <w:noWrap/>
            <w:vAlign w:val="center"/>
            <w:hideMark/>
          </w:tcPr>
          <w:p w14:paraId="66F4346B" w14:textId="77777777" w:rsidR="00593F6D" w:rsidRPr="00593F6D" w:rsidRDefault="00593F6D" w:rsidP="005E30D8">
            <w:pPr>
              <w:spacing w:before="60" w:after="60"/>
              <w:jc w:val="center"/>
            </w:pPr>
            <w:r w:rsidRPr="00593F6D">
              <w:t>254</w:t>
            </w:r>
          </w:p>
        </w:tc>
        <w:tc>
          <w:tcPr>
            <w:tcW w:w="810" w:type="dxa"/>
            <w:noWrap/>
            <w:vAlign w:val="center"/>
            <w:hideMark/>
          </w:tcPr>
          <w:p w14:paraId="418BD6E5" w14:textId="77777777" w:rsidR="00593F6D" w:rsidRPr="00593F6D" w:rsidRDefault="00593F6D" w:rsidP="005E30D8">
            <w:pPr>
              <w:spacing w:before="60" w:after="60"/>
              <w:jc w:val="center"/>
            </w:pPr>
            <w:r w:rsidRPr="00593F6D">
              <w:t>208</w:t>
            </w:r>
          </w:p>
        </w:tc>
        <w:tc>
          <w:tcPr>
            <w:tcW w:w="810" w:type="dxa"/>
            <w:noWrap/>
            <w:vAlign w:val="center"/>
            <w:hideMark/>
          </w:tcPr>
          <w:p w14:paraId="2CBFE9DB" w14:textId="77777777" w:rsidR="00593F6D" w:rsidRPr="00593F6D" w:rsidRDefault="00593F6D" w:rsidP="005E30D8">
            <w:pPr>
              <w:spacing w:before="60" w:after="60"/>
              <w:jc w:val="center"/>
            </w:pPr>
            <w:r w:rsidRPr="00593F6D">
              <w:t>423</w:t>
            </w:r>
          </w:p>
        </w:tc>
        <w:tc>
          <w:tcPr>
            <w:tcW w:w="810" w:type="dxa"/>
            <w:noWrap/>
            <w:vAlign w:val="center"/>
            <w:hideMark/>
          </w:tcPr>
          <w:p w14:paraId="597B4827" w14:textId="77777777" w:rsidR="00593F6D" w:rsidRPr="00593F6D" w:rsidRDefault="00593F6D" w:rsidP="005E30D8">
            <w:pPr>
              <w:spacing w:before="60" w:after="60"/>
              <w:jc w:val="center"/>
            </w:pPr>
            <w:r w:rsidRPr="00593F6D">
              <w:t>334</w:t>
            </w:r>
          </w:p>
        </w:tc>
        <w:tc>
          <w:tcPr>
            <w:tcW w:w="810" w:type="dxa"/>
            <w:noWrap/>
            <w:vAlign w:val="center"/>
            <w:hideMark/>
          </w:tcPr>
          <w:p w14:paraId="698BF8F3" w14:textId="77777777" w:rsidR="00593F6D" w:rsidRPr="00593F6D" w:rsidRDefault="00593F6D" w:rsidP="005E30D8">
            <w:pPr>
              <w:spacing w:before="60" w:after="60"/>
              <w:jc w:val="center"/>
            </w:pPr>
            <w:r w:rsidRPr="00593F6D">
              <w:t>294</w:t>
            </w:r>
          </w:p>
        </w:tc>
        <w:tc>
          <w:tcPr>
            <w:tcW w:w="810" w:type="dxa"/>
            <w:noWrap/>
            <w:vAlign w:val="center"/>
            <w:hideMark/>
          </w:tcPr>
          <w:p w14:paraId="39DA7AFD" w14:textId="77777777" w:rsidR="00593F6D" w:rsidRPr="00593F6D" w:rsidRDefault="00593F6D" w:rsidP="005E30D8">
            <w:pPr>
              <w:spacing w:before="60" w:after="60"/>
              <w:jc w:val="center"/>
            </w:pPr>
            <w:r w:rsidRPr="00593F6D">
              <w:t>347</w:t>
            </w:r>
          </w:p>
        </w:tc>
        <w:tc>
          <w:tcPr>
            <w:tcW w:w="810" w:type="dxa"/>
            <w:noWrap/>
            <w:vAlign w:val="center"/>
            <w:hideMark/>
          </w:tcPr>
          <w:p w14:paraId="0DAD074B" w14:textId="77777777" w:rsidR="00593F6D" w:rsidRPr="00593F6D" w:rsidRDefault="00593F6D" w:rsidP="005E30D8">
            <w:pPr>
              <w:spacing w:before="60" w:after="60"/>
              <w:jc w:val="center"/>
            </w:pPr>
            <w:r w:rsidRPr="00593F6D">
              <w:t>522</w:t>
            </w:r>
          </w:p>
        </w:tc>
        <w:tc>
          <w:tcPr>
            <w:tcW w:w="810" w:type="dxa"/>
            <w:noWrap/>
            <w:vAlign w:val="center"/>
            <w:hideMark/>
          </w:tcPr>
          <w:p w14:paraId="41FD7162" w14:textId="77777777" w:rsidR="00593F6D" w:rsidRPr="00593F6D" w:rsidRDefault="00593F6D" w:rsidP="005E30D8">
            <w:pPr>
              <w:spacing w:before="60" w:after="60"/>
              <w:jc w:val="center"/>
            </w:pPr>
            <w:r w:rsidRPr="00593F6D">
              <w:t>222</w:t>
            </w:r>
          </w:p>
        </w:tc>
        <w:tc>
          <w:tcPr>
            <w:tcW w:w="810" w:type="dxa"/>
            <w:noWrap/>
            <w:vAlign w:val="center"/>
            <w:hideMark/>
          </w:tcPr>
          <w:p w14:paraId="32F38BBA" w14:textId="77777777" w:rsidR="00593F6D" w:rsidRPr="00593F6D" w:rsidRDefault="00593F6D" w:rsidP="005E30D8">
            <w:pPr>
              <w:spacing w:before="60" w:after="60"/>
              <w:jc w:val="center"/>
            </w:pPr>
            <w:r w:rsidRPr="00593F6D">
              <w:t>521</w:t>
            </w:r>
          </w:p>
        </w:tc>
      </w:tr>
      <w:tr w:rsidR="00593F6D" w:rsidRPr="00593F6D" w14:paraId="7A3E03E0" w14:textId="77777777" w:rsidTr="005E30D8">
        <w:trPr>
          <w:trHeight w:val="70"/>
        </w:trPr>
        <w:tc>
          <w:tcPr>
            <w:tcW w:w="3256" w:type="dxa"/>
            <w:noWrap/>
            <w:vAlign w:val="center"/>
            <w:hideMark/>
          </w:tcPr>
          <w:p w14:paraId="0720F23C" w14:textId="0A713953" w:rsidR="00593F6D" w:rsidRPr="00593F6D" w:rsidRDefault="00593F6D" w:rsidP="005E30D8">
            <w:pPr>
              <w:spacing w:before="60" w:after="60"/>
            </w:pPr>
            <w:r w:rsidRPr="00593F6D">
              <w:t xml:space="preserve">Number of publications </w:t>
            </w:r>
          </w:p>
        </w:tc>
        <w:tc>
          <w:tcPr>
            <w:tcW w:w="810" w:type="dxa"/>
            <w:noWrap/>
            <w:vAlign w:val="center"/>
            <w:hideMark/>
          </w:tcPr>
          <w:p w14:paraId="15F9A6D1" w14:textId="77777777" w:rsidR="00593F6D" w:rsidRPr="00593F6D" w:rsidRDefault="00593F6D" w:rsidP="005E30D8">
            <w:pPr>
              <w:spacing w:before="60" w:after="60"/>
              <w:jc w:val="center"/>
            </w:pPr>
            <w:r w:rsidRPr="00593F6D">
              <w:t>6</w:t>
            </w:r>
          </w:p>
        </w:tc>
        <w:tc>
          <w:tcPr>
            <w:tcW w:w="810" w:type="dxa"/>
            <w:noWrap/>
            <w:vAlign w:val="center"/>
            <w:hideMark/>
          </w:tcPr>
          <w:p w14:paraId="25814A30" w14:textId="77777777" w:rsidR="00593F6D" w:rsidRPr="00593F6D" w:rsidRDefault="00593F6D" w:rsidP="005E30D8">
            <w:pPr>
              <w:spacing w:before="60" w:after="60"/>
              <w:jc w:val="center"/>
            </w:pPr>
            <w:r w:rsidRPr="00593F6D">
              <w:t>4</w:t>
            </w:r>
          </w:p>
        </w:tc>
        <w:tc>
          <w:tcPr>
            <w:tcW w:w="810" w:type="dxa"/>
            <w:noWrap/>
            <w:vAlign w:val="center"/>
            <w:hideMark/>
          </w:tcPr>
          <w:p w14:paraId="6C07D7FF" w14:textId="77777777" w:rsidR="00593F6D" w:rsidRPr="00593F6D" w:rsidRDefault="00593F6D" w:rsidP="005E30D8">
            <w:pPr>
              <w:spacing w:before="60" w:after="60"/>
              <w:jc w:val="center"/>
            </w:pPr>
            <w:r w:rsidRPr="00593F6D">
              <w:t>6</w:t>
            </w:r>
          </w:p>
        </w:tc>
        <w:tc>
          <w:tcPr>
            <w:tcW w:w="810" w:type="dxa"/>
            <w:noWrap/>
            <w:vAlign w:val="center"/>
            <w:hideMark/>
          </w:tcPr>
          <w:p w14:paraId="03F63333" w14:textId="77777777" w:rsidR="00593F6D" w:rsidRPr="00593F6D" w:rsidRDefault="00593F6D" w:rsidP="005E30D8">
            <w:pPr>
              <w:spacing w:before="60" w:after="60"/>
              <w:jc w:val="center"/>
            </w:pPr>
            <w:r w:rsidRPr="00593F6D">
              <w:t>5</w:t>
            </w:r>
          </w:p>
        </w:tc>
        <w:tc>
          <w:tcPr>
            <w:tcW w:w="810" w:type="dxa"/>
            <w:noWrap/>
            <w:vAlign w:val="center"/>
            <w:hideMark/>
          </w:tcPr>
          <w:p w14:paraId="1716CBD3" w14:textId="77777777" w:rsidR="00593F6D" w:rsidRPr="00593F6D" w:rsidRDefault="00593F6D" w:rsidP="005E30D8">
            <w:pPr>
              <w:spacing w:before="60" w:after="60"/>
              <w:jc w:val="center"/>
            </w:pPr>
            <w:r w:rsidRPr="00593F6D">
              <w:t>9</w:t>
            </w:r>
          </w:p>
        </w:tc>
        <w:tc>
          <w:tcPr>
            <w:tcW w:w="810" w:type="dxa"/>
            <w:noWrap/>
            <w:vAlign w:val="center"/>
            <w:hideMark/>
          </w:tcPr>
          <w:p w14:paraId="60961C24" w14:textId="77777777" w:rsidR="00593F6D" w:rsidRPr="00593F6D" w:rsidRDefault="00593F6D" w:rsidP="005E30D8">
            <w:pPr>
              <w:spacing w:before="60" w:after="60"/>
              <w:jc w:val="center"/>
            </w:pPr>
            <w:r w:rsidRPr="00593F6D">
              <w:t>3</w:t>
            </w:r>
          </w:p>
        </w:tc>
        <w:tc>
          <w:tcPr>
            <w:tcW w:w="810" w:type="dxa"/>
            <w:noWrap/>
            <w:vAlign w:val="center"/>
            <w:hideMark/>
          </w:tcPr>
          <w:p w14:paraId="79C27DA5" w14:textId="77777777" w:rsidR="00593F6D" w:rsidRPr="00593F6D" w:rsidRDefault="00593F6D" w:rsidP="005E30D8">
            <w:pPr>
              <w:spacing w:before="60" w:after="60"/>
              <w:jc w:val="center"/>
            </w:pPr>
            <w:r w:rsidRPr="00593F6D">
              <w:t>2</w:t>
            </w:r>
          </w:p>
        </w:tc>
        <w:tc>
          <w:tcPr>
            <w:tcW w:w="810" w:type="dxa"/>
            <w:noWrap/>
            <w:vAlign w:val="center"/>
            <w:hideMark/>
          </w:tcPr>
          <w:p w14:paraId="355B2AB6" w14:textId="77777777" w:rsidR="00593F6D" w:rsidRPr="00593F6D" w:rsidRDefault="00593F6D" w:rsidP="005E30D8">
            <w:pPr>
              <w:spacing w:before="60" w:after="60"/>
              <w:jc w:val="center"/>
            </w:pPr>
            <w:r w:rsidRPr="00593F6D">
              <w:t>4</w:t>
            </w:r>
          </w:p>
        </w:tc>
        <w:tc>
          <w:tcPr>
            <w:tcW w:w="810" w:type="dxa"/>
            <w:noWrap/>
            <w:vAlign w:val="center"/>
            <w:hideMark/>
          </w:tcPr>
          <w:p w14:paraId="0582670E" w14:textId="77777777" w:rsidR="00593F6D" w:rsidRPr="00593F6D" w:rsidRDefault="00593F6D" w:rsidP="005E30D8">
            <w:pPr>
              <w:spacing w:before="60" w:after="60"/>
              <w:jc w:val="center"/>
            </w:pPr>
            <w:r w:rsidRPr="00593F6D">
              <w:t>5</w:t>
            </w:r>
          </w:p>
        </w:tc>
        <w:tc>
          <w:tcPr>
            <w:tcW w:w="810" w:type="dxa"/>
            <w:noWrap/>
            <w:vAlign w:val="center"/>
            <w:hideMark/>
          </w:tcPr>
          <w:p w14:paraId="76B83CE1" w14:textId="77777777" w:rsidR="00593F6D" w:rsidRPr="00593F6D" w:rsidRDefault="00593F6D" w:rsidP="005E30D8">
            <w:pPr>
              <w:spacing w:before="60" w:after="60"/>
              <w:jc w:val="center"/>
            </w:pPr>
            <w:r w:rsidRPr="00593F6D">
              <w:t>2</w:t>
            </w:r>
          </w:p>
        </w:tc>
        <w:tc>
          <w:tcPr>
            <w:tcW w:w="810" w:type="dxa"/>
            <w:noWrap/>
            <w:vAlign w:val="center"/>
            <w:hideMark/>
          </w:tcPr>
          <w:p w14:paraId="150477CE" w14:textId="77777777" w:rsidR="00593F6D" w:rsidRPr="00593F6D" w:rsidRDefault="00593F6D" w:rsidP="005E30D8">
            <w:pPr>
              <w:spacing w:before="60" w:after="60"/>
              <w:jc w:val="center"/>
            </w:pPr>
            <w:r w:rsidRPr="00593F6D">
              <w:t>4</w:t>
            </w:r>
          </w:p>
        </w:tc>
        <w:tc>
          <w:tcPr>
            <w:tcW w:w="810" w:type="dxa"/>
            <w:noWrap/>
            <w:vAlign w:val="center"/>
            <w:hideMark/>
          </w:tcPr>
          <w:p w14:paraId="6774DB3F" w14:textId="77777777" w:rsidR="00593F6D" w:rsidRPr="00593F6D" w:rsidRDefault="00593F6D" w:rsidP="005E30D8">
            <w:pPr>
              <w:spacing w:before="60" w:after="60"/>
              <w:jc w:val="center"/>
            </w:pPr>
            <w:r w:rsidRPr="00593F6D">
              <w:t>5</w:t>
            </w:r>
          </w:p>
        </w:tc>
        <w:tc>
          <w:tcPr>
            <w:tcW w:w="810" w:type="dxa"/>
            <w:noWrap/>
            <w:vAlign w:val="center"/>
            <w:hideMark/>
          </w:tcPr>
          <w:p w14:paraId="090BEFAF" w14:textId="77777777" w:rsidR="00593F6D" w:rsidRPr="00593F6D" w:rsidRDefault="00593F6D" w:rsidP="005E30D8">
            <w:pPr>
              <w:spacing w:before="60" w:after="60"/>
              <w:jc w:val="center"/>
            </w:pPr>
            <w:r w:rsidRPr="00593F6D">
              <w:t>3</w:t>
            </w:r>
          </w:p>
        </w:tc>
        <w:tc>
          <w:tcPr>
            <w:tcW w:w="810" w:type="dxa"/>
            <w:noWrap/>
            <w:vAlign w:val="center"/>
            <w:hideMark/>
          </w:tcPr>
          <w:p w14:paraId="29F6C05A" w14:textId="77777777" w:rsidR="00593F6D" w:rsidRPr="00593F6D" w:rsidRDefault="00593F6D" w:rsidP="005E30D8">
            <w:pPr>
              <w:spacing w:before="60" w:after="60"/>
              <w:jc w:val="center"/>
            </w:pPr>
            <w:r w:rsidRPr="00593F6D">
              <w:t>7</w:t>
            </w:r>
          </w:p>
        </w:tc>
      </w:tr>
    </w:tbl>
    <w:p w14:paraId="50A15440" w14:textId="25891916" w:rsidR="005D6EC0" w:rsidRDefault="005D6EC0" w:rsidP="005E30D8">
      <w:pPr>
        <w:spacing w:before="240" w:after="120"/>
      </w:pPr>
      <w:r>
        <w:t>Data table 3: Median number of working days for healthtech guidance production</w:t>
      </w:r>
      <w:r w:rsidR="00C2040C">
        <w:t xml:space="preserve"> and number of publications</w:t>
      </w:r>
    </w:p>
    <w:tbl>
      <w:tblPr>
        <w:tblStyle w:val="TableGrid"/>
        <w:tblW w:w="14595" w:type="dxa"/>
        <w:tblLayout w:type="fixed"/>
        <w:tblLook w:val="04A0" w:firstRow="1" w:lastRow="0" w:firstColumn="1" w:lastColumn="0" w:noHBand="0" w:noVBand="1"/>
      </w:tblPr>
      <w:tblGrid>
        <w:gridCol w:w="3681"/>
        <w:gridCol w:w="945"/>
        <w:gridCol w:w="945"/>
        <w:gridCol w:w="945"/>
        <w:gridCol w:w="850"/>
        <w:gridCol w:w="992"/>
        <w:gridCol w:w="851"/>
        <w:gridCol w:w="992"/>
        <w:gridCol w:w="851"/>
        <w:gridCol w:w="850"/>
        <w:gridCol w:w="851"/>
        <w:gridCol w:w="850"/>
        <w:gridCol w:w="992"/>
      </w:tblGrid>
      <w:tr w:rsidR="00553021" w:rsidRPr="00553021" w14:paraId="505AACA0" w14:textId="77777777" w:rsidTr="005E30D8">
        <w:trPr>
          <w:trHeight w:val="315"/>
        </w:trPr>
        <w:tc>
          <w:tcPr>
            <w:tcW w:w="3681" w:type="dxa"/>
            <w:shd w:val="clear" w:color="auto" w:fill="00436C"/>
            <w:noWrap/>
            <w:hideMark/>
          </w:tcPr>
          <w:p w14:paraId="51F80D85" w14:textId="77777777" w:rsidR="00553021" w:rsidRPr="005E30D8" w:rsidRDefault="00553021" w:rsidP="005E30D8">
            <w:pPr>
              <w:spacing w:after="0"/>
              <w:rPr>
                <w:b/>
                <w:bCs/>
                <w:color w:val="FFFFFF" w:themeColor="background1"/>
              </w:rPr>
            </w:pPr>
            <w:r w:rsidRPr="005E30D8">
              <w:rPr>
                <w:b/>
                <w:bCs/>
                <w:color w:val="FFFFFF" w:themeColor="background1"/>
              </w:rPr>
              <w:t>Measure</w:t>
            </w:r>
          </w:p>
        </w:tc>
        <w:tc>
          <w:tcPr>
            <w:tcW w:w="945" w:type="dxa"/>
            <w:shd w:val="clear" w:color="auto" w:fill="00436C"/>
            <w:noWrap/>
            <w:hideMark/>
          </w:tcPr>
          <w:p w14:paraId="342B971C" w14:textId="77777777" w:rsidR="00553021" w:rsidRPr="005E30D8" w:rsidRDefault="00553021" w:rsidP="005E30D8">
            <w:pPr>
              <w:spacing w:after="0"/>
              <w:jc w:val="center"/>
              <w:rPr>
                <w:b/>
                <w:bCs/>
                <w:color w:val="FFFFFF" w:themeColor="background1"/>
              </w:rPr>
            </w:pPr>
            <w:r w:rsidRPr="005E30D8">
              <w:rPr>
                <w:b/>
                <w:bCs/>
                <w:color w:val="FFFFFF" w:themeColor="background1"/>
              </w:rPr>
              <w:t>Apr-25</w:t>
            </w:r>
          </w:p>
        </w:tc>
        <w:tc>
          <w:tcPr>
            <w:tcW w:w="945" w:type="dxa"/>
            <w:shd w:val="clear" w:color="auto" w:fill="00436C"/>
            <w:noWrap/>
            <w:hideMark/>
          </w:tcPr>
          <w:p w14:paraId="0750E750" w14:textId="77777777" w:rsidR="00553021" w:rsidRPr="005E30D8" w:rsidRDefault="00553021" w:rsidP="005E30D8">
            <w:pPr>
              <w:spacing w:after="0"/>
              <w:jc w:val="center"/>
              <w:rPr>
                <w:b/>
                <w:bCs/>
                <w:color w:val="FFFFFF" w:themeColor="background1"/>
              </w:rPr>
            </w:pPr>
            <w:r w:rsidRPr="005E30D8">
              <w:rPr>
                <w:b/>
                <w:bCs/>
                <w:color w:val="FFFFFF" w:themeColor="background1"/>
              </w:rPr>
              <w:t>May-25</w:t>
            </w:r>
          </w:p>
        </w:tc>
        <w:tc>
          <w:tcPr>
            <w:tcW w:w="945" w:type="dxa"/>
            <w:shd w:val="clear" w:color="auto" w:fill="00436C"/>
            <w:noWrap/>
            <w:hideMark/>
          </w:tcPr>
          <w:p w14:paraId="45C6AF3F" w14:textId="77777777" w:rsidR="00553021" w:rsidRPr="005E30D8" w:rsidRDefault="00553021" w:rsidP="005E30D8">
            <w:pPr>
              <w:spacing w:after="0"/>
              <w:jc w:val="center"/>
              <w:rPr>
                <w:b/>
                <w:bCs/>
                <w:color w:val="FFFFFF" w:themeColor="background1"/>
              </w:rPr>
            </w:pPr>
            <w:r w:rsidRPr="005E30D8">
              <w:rPr>
                <w:b/>
                <w:bCs/>
                <w:color w:val="FFFFFF" w:themeColor="background1"/>
              </w:rPr>
              <w:t>Jun-25</w:t>
            </w:r>
          </w:p>
        </w:tc>
        <w:tc>
          <w:tcPr>
            <w:tcW w:w="850" w:type="dxa"/>
            <w:shd w:val="clear" w:color="auto" w:fill="00436C"/>
            <w:noWrap/>
            <w:hideMark/>
          </w:tcPr>
          <w:p w14:paraId="723DCCCA" w14:textId="77777777" w:rsidR="00553021" w:rsidRPr="005E30D8" w:rsidRDefault="00553021" w:rsidP="005E30D8">
            <w:pPr>
              <w:spacing w:after="0"/>
              <w:jc w:val="center"/>
              <w:rPr>
                <w:b/>
                <w:bCs/>
                <w:color w:val="FFFFFF" w:themeColor="background1"/>
              </w:rPr>
            </w:pPr>
            <w:r w:rsidRPr="005E30D8">
              <w:rPr>
                <w:b/>
                <w:bCs/>
                <w:color w:val="FFFFFF" w:themeColor="background1"/>
              </w:rPr>
              <w:t>Jul-25</w:t>
            </w:r>
          </w:p>
        </w:tc>
        <w:tc>
          <w:tcPr>
            <w:tcW w:w="992" w:type="dxa"/>
            <w:shd w:val="clear" w:color="auto" w:fill="00436C"/>
            <w:noWrap/>
            <w:hideMark/>
          </w:tcPr>
          <w:p w14:paraId="47E65778" w14:textId="77777777" w:rsidR="00553021" w:rsidRPr="005E30D8" w:rsidRDefault="00553021" w:rsidP="005E30D8">
            <w:pPr>
              <w:spacing w:after="0"/>
              <w:jc w:val="center"/>
              <w:rPr>
                <w:b/>
                <w:bCs/>
                <w:color w:val="FFFFFF" w:themeColor="background1"/>
              </w:rPr>
            </w:pPr>
            <w:r w:rsidRPr="005E30D8">
              <w:rPr>
                <w:b/>
                <w:bCs/>
                <w:color w:val="FFFFFF" w:themeColor="background1"/>
              </w:rPr>
              <w:t>Aug-25</w:t>
            </w:r>
          </w:p>
        </w:tc>
        <w:tc>
          <w:tcPr>
            <w:tcW w:w="851" w:type="dxa"/>
            <w:shd w:val="clear" w:color="auto" w:fill="00436C"/>
            <w:noWrap/>
            <w:hideMark/>
          </w:tcPr>
          <w:p w14:paraId="6AB67A9F" w14:textId="77777777" w:rsidR="00553021" w:rsidRPr="005E30D8" w:rsidRDefault="00553021" w:rsidP="005E30D8">
            <w:pPr>
              <w:spacing w:after="0"/>
              <w:jc w:val="center"/>
              <w:rPr>
                <w:b/>
                <w:bCs/>
                <w:color w:val="FFFFFF" w:themeColor="background1"/>
              </w:rPr>
            </w:pPr>
            <w:r w:rsidRPr="005E30D8">
              <w:rPr>
                <w:b/>
                <w:bCs/>
                <w:color w:val="FFFFFF" w:themeColor="background1"/>
              </w:rPr>
              <w:t>Oct-25</w:t>
            </w:r>
          </w:p>
        </w:tc>
        <w:tc>
          <w:tcPr>
            <w:tcW w:w="992" w:type="dxa"/>
            <w:shd w:val="clear" w:color="auto" w:fill="00436C"/>
            <w:noWrap/>
            <w:hideMark/>
          </w:tcPr>
          <w:p w14:paraId="758B1268" w14:textId="77777777" w:rsidR="00553021" w:rsidRPr="005E30D8" w:rsidRDefault="00553021" w:rsidP="005E30D8">
            <w:pPr>
              <w:spacing w:after="0"/>
              <w:jc w:val="center"/>
              <w:rPr>
                <w:b/>
                <w:bCs/>
                <w:color w:val="FFFFFF" w:themeColor="background1"/>
              </w:rPr>
            </w:pPr>
            <w:r w:rsidRPr="005E30D8">
              <w:rPr>
                <w:b/>
                <w:bCs/>
                <w:color w:val="FFFFFF" w:themeColor="background1"/>
              </w:rPr>
              <w:t>Dec-25</w:t>
            </w:r>
          </w:p>
        </w:tc>
        <w:tc>
          <w:tcPr>
            <w:tcW w:w="851" w:type="dxa"/>
            <w:shd w:val="clear" w:color="auto" w:fill="00436C"/>
            <w:noWrap/>
            <w:hideMark/>
          </w:tcPr>
          <w:p w14:paraId="734E0827" w14:textId="77777777" w:rsidR="00553021" w:rsidRPr="005E30D8" w:rsidRDefault="00553021" w:rsidP="005E30D8">
            <w:pPr>
              <w:spacing w:after="0"/>
              <w:jc w:val="center"/>
              <w:rPr>
                <w:b/>
                <w:bCs/>
                <w:color w:val="FFFFFF" w:themeColor="background1"/>
              </w:rPr>
            </w:pPr>
            <w:r w:rsidRPr="005E30D8">
              <w:rPr>
                <w:b/>
                <w:bCs/>
                <w:color w:val="FFFFFF" w:themeColor="background1"/>
              </w:rPr>
              <w:t>Jan-26</w:t>
            </w:r>
          </w:p>
        </w:tc>
        <w:tc>
          <w:tcPr>
            <w:tcW w:w="850" w:type="dxa"/>
            <w:shd w:val="clear" w:color="auto" w:fill="00436C"/>
            <w:noWrap/>
            <w:hideMark/>
          </w:tcPr>
          <w:p w14:paraId="139BC16C" w14:textId="77777777" w:rsidR="00553021" w:rsidRPr="005E30D8" w:rsidRDefault="00553021" w:rsidP="005E30D8">
            <w:pPr>
              <w:spacing w:after="0"/>
              <w:jc w:val="center"/>
              <w:rPr>
                <w:b/>
                <w:bCs/>
                <w:color w:val="FFFFFF" w:themeColor="background1"/>
              </w:rPr>
            </w:pPr>
            <w:r w:rsidRPr="005E30D8">
              <w:rPr>
                <w:b/>
                <w:bCs/>
                <w:color w:val="FFFFFF" w:themeColor="background1"/>
              </w:rPr>
              <w:t>Feb-26</w:t>
            </w:r>
          </w:p>
        </w:tc>
        <w:tc>
          <w:tcPr>
            <w:tcW w:w="851" w:type="dxa"/>
            <w:shd w:val="clear" w:color="auto" w:fill="00436C"/>
            <w:noWrap/>
            <w:hideMark/>
          </w:tcPr>
          <w:p w14:paraId="59580C72" w14:textId="77777777" w:rsidR="00553021" w:rsidRPr="005E30D8" w:rsidRDefault="00553021" w:rsidP="005E30D8">
            <w:pPr>
              <w:spacing w:after="0"/>
              <w:jc w:val="center"/>
              <w:rPr>
                <w:b/>
                <w:bCs/>
                <w:color w:val="FFFFFF" w:themeColor="background1"/>
              </w:rPr>
            </w:pPr>
            <w:r w:rsidRPr="005E30D8">
              <w:rPr>
                <w:b/>
                <w:bCs/>
                <w:color w:val="FFFFFF" w:themeColor="background1"/>
              </w:rPr>
              <w:t>Mar-26</w:t>
            </w:r>
          </w:p>
        </w:tc>
        <w:tc>
          <w:tcPr>
            <w:tcW w:w="850" w:type="dxa"/>
            <w:shd w:val="clear" w:color="auto" w:fill="00436C"/>
            <w:noWrap/>
            <w:hideMark/>
          </w:tcPr>
          <w:p w14:paraId="21E264CE" w14:textId="77777777" w:rsidR="00553021" w:rsidRPr="005E30D8" w:rsidRDefault="00553021" w:rsidP="005E30D8">
            <w:pPr>
              <w:spacing w:after="0"/>
              <w:jc w:val="center"/>
              <w:rPr>
                <w:b/>
                <w:bCs/>
                <w:color w:val="FFFFFF" w:themeColor="background1"/>
              </w:rPr>
            </w:pPr>
            <w:r w:rsidRPr="005E30D8">
              <w:rPr>
                <w:b/>
                <w:bCs/>
                <w:color w:val="FFFFFF" w:themeColor="background1"/>
              </w:rPr>
              <w:t>Apr-26</w:t>
            </w:r>
          </w:p>
        </w:tc>
        <w:tc>
          <w:tcPr>
            <w:tcW w:w="992" w:type="dxa"/>
            <w:shd w:val="clear" w:color="auto" w:fill="00436C"/>
            <w:noWrap/>
            <w:hideMark/>
          </w:tcPr>
          <w:p w14:paraId="05420230" w14:textId="77777777" w:rsidR="00553021" w:rsidRPr="005E30D8" w:rsidRDefault="00553021" w:rsidP="005E30D8">
            <w:pPr>
              <w:spacing w:after="0"/>
              <w:jc w:val="center"/>
              <w:rPr>
                <w:b/>
                <w:bCs/>
                <w:color w:val="FFFFFF" w:themeColor="background1"/>
              </w:rPr>
            </w:pPr>
            <w:r w:rsidRPr="005E30D8">
              <w:rPr>
                <w:b/>
                <w:bCs/>
                <w:color w:val="FFFFFF" w:themeColor="background1"/>
              </w:rPr>
              <w:t>May-26</w:t>
            </w:r>
          </w:p>
        </w:tc>
      </w:tr>
      <w:tr w:rsidR="00C2040C" w:rsidRPr="00553021" w14:paraId="6A272CAD" w14:textId="77777777" w:rsidTr="005E30D8">
        <w:trPr>
          <w:trHeight w:val="70"/>
        </w:trPr>
        <w:tc>
          <w:tcPr>
            <w:tcW w:w="3681" w:type="dxa"/>
            <w:noWrap/>
            <w:vAlign w:val="center"/>
            <w:hideMark/>
          </w:tcPr>
          <w:p w14:paraId="419D5103" w14:textId="4157552C" w:rsidR="00C2040C" w:rsidRPr="00553021" w:rsidRDefault="00C2040C" w:rsidP="005E30D8">
            <w:pPr>
              <w:spacing w:before="60" w:after="60"/>
            </w:pPr>
            <w:r w:rsidRPr="00553021">
              <w:t>Median working days</w:t>
            </w:r>
          </w:p>
        </w:tc>
        <w:tc>
          <w:tcPr>
            <w:tcW w:w="945" w:type="dxa"/>
            <w:noWrap/>
            <w:vAlign w:val="center"/>
            <w:hideMark/>
          </w:tcPr>
          <w:p w14:paraId="4B39C697" w14:textId="5D18E981" w:rsidR="00C2040C" w:rsidRPr="00553021" w:rsidRDefault="00C2040C" w:rsidP="005E30D8">
            <w:pPr>
              <w:spacing w:before="60" w:after="60"/>
              <w:jc w:val="center"/>
            </w:pPr>
            <w:r w:rsidRPr="000260C0">
              <w:t>201</w:t>
            </w:r>
          </w:p>
        </w:tc>
        <w:tc>
          <w:tcPr>
            <w:tcW w:w="945" w:type="dxa"/>
            <w:noWrap/>
            <w:vAlign w:val="center"/>
            <w:hideMark/>
          </w:tcPr>
          <w:p w14:paraId="02847B48" w14:textId="132610B3" w:rsidR="00C2040C" w:rsidRPr="00553021" w:rsidRDefault="00C2040C" w:rsidP="005E30D8">
            <w:pPr>
              <w:spacing w:before="60" w:after="60"/>
              <w:jc w:val="center"/>
            </w:pPr>
            <w:r w:rsidRPr="000260C0">
              <w:t>335</w:t>
            </w:r>
          </w:p>
        </w:tc>
        <w:tc>
          <w:tcPr>
            <w:tcW w:w="945" w:type="dxa"/>
            <w:noWrap/>
            <w:vAlign w:val="center"/>
            <w:hideMark/>
          </w:tcPr>
          <w:p w14:paraId="2F7A2644" w14:textId="6AA4D26D" w:rsidR="00C2040C" w:rsidRPr="00553021" w:rsidRDefault="00C2040C" w:rsidP="005E30D8">
            <w:pPr>
              <w:spacing w:before="60" w:after="60"/>
              <w:jc w:val="center"/>
            </w:pPr>
            <w:r w:rsidRPr="000260C0">
              <w:t>228</w:t>
            </w:r>
          </w:p>
        </w:tc>
        <w:tc>
          <w:tcPr>
            <w:tcW w:w="850" w:type="dxa"/>
            <w:noWrap/>
            <w:vAlign w:val="center"/>
            <w:hideMark/>
          </w:tcPr>
          <w:p w14:paraId="7C1ABF84" w14:textId="67999081" w:rsidR="00C2040C" w:rsidRPr="00553021" w:rsidRDefault="00C2040C" w:rsidP="005E30D8">
            <w:pPr>
              <w:spacing w:before="60" w:after="60"/>
              <w:jc w:val="center"/>
            </w:pPr>
            <w:r w:rsidRPr="000260C0">
              <w:t>194</w:t>
            </w:r>
          </w:p>
        </w:tc>
        <w:tc>
          <w:tcPr>
            <w:tcW w:w="992" w:type="dxa"/>
            <w:noWrap/>
            <w:vAlign w:val="center"/>
            <w:hideMark/>
          </w:tcPr>
          <w:p w14:paraId="2932205E" w14:textId="680C5D54" w:rsidR="00C2040C" w:rsidRPr="00553021" w:rsidRDefault="00C2040C" w:rsidP="005E30D8">
            <w:pPr>
              <w:spacing w:before="60" w:after="60"/>
              <w:jc w:val="center"/>
            </w:pPr>
            <w:r w:rsidRPr="000260C0">
              <w:t>251</w:t>
            </w:r>
          </w:p>
        </w:tc>
        <w:tc>
          <w:tcPr>
            <w:tcW w:w="851" w:type="dxa"/>
            <w:noWrap/>
            <w:vAlign w:val="center"/>
            <w:hideMark/>
          </w:tcPr>
          <w:p w14:paraId="031081E8" w14:textId="7532A638" w:rsidR="00C2040C" w:rsidRPr="00553021" w:rsidRDefault="00C2040C" w:rsidP="005E30D8">
            <w:pPr>
              <w:spacing w:before="60" w:after="60"/>
              <w:jc w:val="center"/>
            </w:pPr>
            <w:r w:rsidRPr="000260C0">
              <w:t>179</w:t>
            </w:r>
          </w:p>
        </w:tc>
        <w:tc>
          <w:tcPr>
            <w:tcW w:w="992" w:type="dxa"/>
            <w:noWrap/>
            <w:vAlign w:val="center"/>
            <w:hideMark/>
          </w:tcPr>
          <w:p w14:paraId="2B5446E6" w14:textId="6192FC4B" w:rsidR="00C2040C" w:rsidRPr="00553021" w:rsidRDefault="00C2040C" w:rsidP="005E30D8">
            <w:pPr>
              <w:spacing w:before="60" w:after="60"/>
              <w:jc w:val="center"/>
            </w:pPr>
            <w:r w:rsidRPr="000260C0">
              <w:t>160</w:t>
            </w:r>
          </w:p>
        </w:tc>
        <w:tc>
          <w:tcPr>
            <w:tcW w:w="851" w:type="dxa"/>
            <w:noWrap/>
            <w:vAlign w:val="center"/>
            <w:hideMark/>
          </w:tcPr>
          <w:p w14:paraId="5B30A013" w14:textId="2FD5B94E" w:rsidR="00C2040C" w:rsidRPr="00553021" w:rsidRDefault="00C2040C" w:rsidP="005E30D8">
            <w:pPr>
              <w:spacing w:before="60" w:after="60"/>
              <w:jc w:val="center"/>
            </w:pPr>
            <w:r w:rsidRPr="005E30D8">
              <w:t>197</w:t>
            </w:r>
          </w:p>
        </w:tc>
        <w:tc>
          <w:tcPr>
            <w:tcW w:w="850" w:type="dxa"/>
            <w:noWrap/>
            <w:vAlign w:val="center"/>
            <w:hideMark/>
          </w:tcPr>
          <w:p w14:paraId="7379E46C" w14:textId="75086819" w:rsidR="00C2040C" w:rsidRPr="00553021" w:rsidRDefault="00C2040C" w:rsidP="005E30D8">
            <w:pPr>
              <w:spacing w:before="60" w:after="60"/>
              <w:jc w:val="center"/>
            </w:pPr>
            <w:r w:rsidRPr="000260C0">
              <w:t>238</w:t>
            </w:r>
          </w:p>
        </w:tc>
        <w:tc>
          <w:tcPr>
            <w:tcW w:w="851" w:type="dxa"/>
            <w:noWrap/>
            <w:vAlign w:val="center"/>
            <w:hideMark/>
          </w:tcPr>
          <w:p w14:paraId="263CF62D" w14:textId="1A060E95" w:rsidR="00C2040C" w:rsidRPr="00553021" w:rsidRDefault="00C2040C" w:rsidP="005E30D8">
            <w:pPr>
              <w:spacing w:before="60" w:after="60"/>
              <w:jc w:val="center"/>
            </w:pPr>
            <w:r w:rsidRPr="000260C0">
              <w:t>132</w:t>
            </w:r>
          </w:p>
        </w:tc>
        <w:tc>
          <w:tcPr>
            <w:tcW w:w="850" w:type="dxa"/>
            <w:noWrap/>
            <w:vAlign w:val="center"/>
            <w:hideMark/>
          </w:tcPr>
          <w:p w14:paraId="0BBCE867" w14:textId="02C237B3" w:rsidR="00C2040C" w:rsidRPr="00553021" w:rsidRDefault="00C2040C" w:rsidP="005E30D8">
            <w:pPr>
              <w:spacing w:before="60" w:after="60"/>
              <w:jc w:val="center"/>
            </w:pPr>
            <w:r w:rsidRPr="005E30D8">
              <w:t>187</w:t>
            </w:r>
          </w:p>
        </w:tc>
        <w:tc>
          <w:tcPr>
            <w:tcW w:w="992" w:type="dxa"/>
            <w:noWrap/>
            <w:vAlign w:val="center"/>
            <w:hideMark/>
          </w:tcPr>
          <w:p w14:paraId="692C78E7" w14:textId="6DE2333D" w:rsidR="00C2040C" w:rsidRPr="00553021" w:rsidRDefault="00C2040C" w:rsidP="005E30D8">
            <w:pPr>
              <w:spacing w:before="60" w:after="60"/>
              <w:jc w:val="center"/>
            </w:pPr>
            <w:r w:rsidRPr="000260C0">
              <w:t>159</w:t>
            </w:r>
          </w:p>
        </w:tc>
      </w:tr>
      <w:tr w:rsidR="00553021" w:rsidRPr="00553021" w14:paraId="511F9C7E" w14:textId="77777777" w:rsidTr="005E30D8">
        <w:trPr>
          <w:trHeight w:val="70"/>
        </w:trPr>
        <w:tc>
          <w:tcPr>
            <w:tcW w:w="3681" w:type="dxa"/>
            <w:vAlign w:val="center"/>
            <w:hideMark/>
          </w:tcPr>
          <w:p w14:paraId="7BE9E53A" w14:textId="54D1FD21" w:rsidR="00553021" w:rsidRPr="00553021" w:rsidRDefault="00553021" w:rsidP="005E30D8">
            <w:pPr>
              <w:spacing w:before="60" w:after="60"/>
            </w:pPr>
            <w:r w:rsidRPr="00553021">
              <w:t>No. of publications</w:t>
            </w:r>
          </w:p>
        </w:tc>
        <w:tc>
          <w:tcPr>
            <w:tcW w:w="945" w:type="dxa"/>
            <w:vAlign w:val="center"/>
            <w:hideMark/>
          </w:tcPr>
          <w:p w14:paraId="570BCFFD" w14:textId="77777777" w:rsidR="00553021" w:rsidRPr="00553021" w:rsidRDefault="00553021" w:rsidP="005E30D8">
            <w:pPr>
              <w:spacing w:before="60" w:after="60"/>
              <w:jc w:val="center"/>
            </w:pPr>
            <w:r w:rsidRPr="00553021">
              <w:t>4</w:t>
            </w:r>
          </w:p>
        </w:tc>
        <w:tc>
          <w:tcPr>
            <w:tcW w:w="945" w:type="dxa"/>
            <w:vAlign w:val="center"/>
            <w:hideMark/>
          </w:tcPr>
          <w:p w14:paraId="7B3708BB" w14:textId="77777777" w:rsidR="00553021" w:rsidRPr="00553021" w:rsidRDefault="00553021" w:rsidP="005E30D8">
            <w:pPr>
              <w:spacing w:before="60" w:after="60"/>
              <w:jc w:val="center"/>
            </w:pPr>
            <w:r w:rsidRPr="00553021">
              <w:t>3</w:t>
            </w:r>
          </w:p>
        </w:tc>
        <w:tc>
          <w:tcPr>
            <w:tcW w:w="945" w:type="dxa"/>
            <w:vAlign w:val="center"/>
            <w:hideMark/>
          </w:tcPr>
          <w:p w14:paraId="0956D663" w14:textId="77777777" w:rsidR="00553021" w:rsidRPr="00553021" w:rsidRDefault="00553021" w:rsidP="005E30D8">
            <w:pPr>
              <w:spacing w:before="60" w:after="60"/>
              <w:jc w:val="center"/>
            </w:pPr>
            <w:r w:rsidRPr="00553021">
              <w:t>4</w:t>
            </w:r>
          </w:p>
        </w:tc>
        <w:tc>
          <w:tcPr>
            <w:tcW w:w="850" w:type="dxa"/>
            <w:vAlign w:val="center"/>
            <w:hideMark/>
          </w:tcPr>
          <w:p w14:paraId="636B4F88" w14:textId="77777777" w:rsidR="00553021" w:rsidRPr="00553021" w:rsidRDefault="00553021" w:rsidP="005E30D8">
            <w:pPr>
              <w:spacing w:before="60" w:after="60"/>
              <w:jc w:val="center"/>
            </w:pPr>
            <w:r w:rsidRPr="00553021">
              <w:t>4</w:t>
            </w:r>
          </w:p>
        </w:tc>
        <w:tc>
          <w:tcPr>
            <w:tcW w:w="992" w:type="dxa"/>
            <w:vAlign w:val="center"/>
            <w:hideMark/>
          </w:tcPr>
          <w:p w14:paraId="26D6FDC2" w14:textId="77777777" w:rsidR="00553021" w:rsidRPr="00553021" w:rsidRDefault="00553021" w:rsidP="005E30D8">
            <w:pPr>
              <w:spacing w:before="60" w:after="60"/>
              <w:jc w:val="center"/>
            </w:pPr>
            <w:r w:rsidRPr="00553021">
              <w:t>3</w:t>
            </w:r>
          </w:p>
        </w:tc>
        <w:tc>
          <w:tcPr>
            <w:tcW w:w="851" w:type="dxa"/>
            <w:vAlign w:val="center"/>
            <w:hideMark/>
          </w:tcPr>
          <w:p w14:paraId="20D1BDCA" w14:textId="77777777" w:rsidR="00553021" w:rsidRPr="00553021" w:rsidRDefault="00553021" w:rsidP="005E30D8">
            <w:pPr>
              <w:spacing w:before="60" w:after="60"/>
              <w:jc w:val="center"/>
            </w:pPr>
            <w:r w:rsidRPr="00553021">
              <w:t>4</w:t>
            </w:r>
          </w:p>
        </w:tc>
        <w:tc>
          <w:tcPr>
            <w:tcW w:w="992" w:type="dxa"/>
            <w:vAlign w:val="center"/>
            <w:hideMark/>
          </w:tcPr>
          <w:p w14:paraId="296ABEB5" w14:textId="77777777" w:rsidR="00553021" w:rsidRPr="00553021" w:rsidRDefault="00553021" w:rsidP="005E30D8">
            <w:pPr>
              <w:spacing w:before="60" w:after="60"/>
              <w:jc w:val="center"/>
            </w:pPr>
            <w:r w:rsidRPr="00553021">
              <w:t>2</w:t>
            </w:r>
          </w:p>
        </w:tc>
        <w:tc>
          <w:tcPr>
            <w:tcW w:w="851" w:type="dxa"/>
            <w:vAlign w:val="center"/>
            <w:hideMark/>
          </w:tcPr>
          <w:p w14:paraId="7F22F4CD" w14:textId="77777777" w:rsidR="00553021" w:rsidRPr="00553021" w:rsidRDefault="00553021" w:rsidP="005E30D8">
            <w:pPr>
              <w:spacing w:before="60" w:after="60"/>
              <w:jc w:val="center"/>
            </w:pPr>
            <w:r w:rsidRPr="00553021">
              <w:t>3</w:t>
            </w:r>
          </w:p>
        </w:tc>
        <w:tc>
          <w:tcPr>
            <w:tcW w:w="850" w:type="dxa"/>
            <w:vAlign w:val="center"/>
            <w:hideMark/>
          </w:tcPr>
          <w:p w14:paraId="7B164E83" w14:textId="77777777" w:rsidR="00553021" w:rsidRPr="00553021" w:rsidRDefault="00553021" w:rsidP="005E30D8">
            <w:pPr>
              <w:spacing w:before="60" w:after="60"/>
              <w:jc w:val="center"/>
            </w:pPr>
            <w:r w:rsidRPr="00553021">
              <w:t>3</w:t>
            </w:r>
          </w:p>
        </w:tc>
        <w:tc>
          <w:tcPr>
            <w:tcW w:w="851" w:type="dxa"/>
            <w:vAlign w:val="center"/>
            <w:hideMark/>
          </w:tcPr>
          <w:p w14:paraId="21CEE31D" w14:textId="77777777" w:rsidR="00553021" w:rsidRPr="00553021" w:rsidRDefault="00553021" w:rsidP="005E30D8">
            <w:pPr>
              <w:spacing w:before="60" w:after="60"/>
              <w:jc w:val="center"/>
            </w:pPr>
            <w:r w:rsidRPr="00553021">
              <w:t>4</w:t>
            </w:r>
          </w:p>
        </w:tc>
        <w:tc>
          <w:tcPr>
            <w:tcW w:w="850" w:type="dxa"/>
            <w:vAlign w:val="center"/>
            <w:hideMark/>
          </w:tcPr>
          <w:p w14:paraId="18EB9C31" w14:textId="77777777" w:rsidR="00553021" w:rsidRPr="00553021" w:rsidRDefault="00553021" w:rsidP="005E30D8">
            <w:pPr>
              <w:spacing w:before="60" w:after="60"/>
              <w:jc w:val="center"/>
            </w:pPr>
            <w:r w:rsidRPr="00553021">
              <w:t>2</w:t>
            </w:r>
          </w:p>
        </w:tc>
        <w:tc>
          <w:tcPr>
            <w:tcW w:w="992" w:type="dxa"/>
            <w:vAlign w:val="center"/>
            <w:hideMark/>
          </w:tcPr>
          <w:p w14:paraId="21D3B04F" w14:textId="77777777" w:rsidR="00553021" w:rsidRPr="00553021" w:rsidRDefault="00553021" w:rsidP="005E30D8">
            <w:pPr>
              <w:spacing w:before="60" w:after="60"/>
              <w:jc w:val="center"/>
            </w:pPr>
            <w:r w:rsidRPr="00553021">
              <w:t>2</w:t>
            </w:r>
          </w:p>
        </w:tc>
      </w:tr>
    </w:tbl>
    <w:p w14:paraId="04329A87" w14:textId="4C8B0E09" w:rsidR="00F74610" w:rsidRPr="00F04664" w:rsidRDefault="00F74610" w:rsidP="00CB38A4"/>
    <w:sectPr w:rsidR="00F74610" w:rsidRPr="00F04664" w:rsidSect="00F74361">
      <w:footerReference w:type="default" r:id="rId16"/>
      <w:headerReference w:type="first" r:id="rId17"/>
      <w:footerReference w:type="first" r:id="rId18"/>
      <w:pgSz w:w="16838" w:h="11906" w:orient="landscape"/>
      <w:pgMar w:top="1276" w:right="1440" w:bottom="180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A8D1" w14:textId="77777777" w:rsidR="00691173" w:rsidRDefault="00691173" w:rsidP="00446BEE">
      <w:r>
        <w:separator/>
      </w:r>
    </w:p>
  </w:endnote>
  <w:endnote w:type="continuationSeparator" w:id="0">
    <w:p w14:paraId="2879375C" w14:textId="77777777" w:rsidR="00691173" w:rsidRDefault="0069117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panose1 w:val="02000503000000020004"/>
    <w:charset w:val="00"/>
    <w:family w:val="auto"/>
    <w:pitch w:val="variable"/>
    <w:sig w:usb0="E00002FF" w:usb1="1200A1FF" w:usb2="00000001" w:usb3="00000000" w:csb0="0000019F" w:csb1="00000000"/>
  </w:font>
  <w:font w:name="MS Mincho">
    <w:panose1 w:val="02020609040205080304"/>
    <w:charset w:val="80"/>
    <w:family w:val="modern"/>
    <w:pitch w:val="fixed"/>
    <w:sig w:usb0="E00002FF" w:usb1="6AC7FDFB" w:usb2="08000012" w:usb3="00000000" w:csb0="0002009F" w:csb1="00000000"/>
  </w:font>
  <w:font w:name="Lora SemiBold">
    <w:panose1 w:val="00000000000000000000"/>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C9F8" w14:textId="7A256C71" w:rsidR="00446BEE" w:rsidRDefault="00446BEE" w:rsidP="00446BEE">
    <w:pPr>
      <w:pStyle w:val="Footer"/>
    </w:pPr>
    <w:r>
      <w:tab/>
    </w:r>
    <w:r>
      <w:tab/>
    </w:r>
    <w:r w:rsidR="00EB3486">
      <w:tab/>
    </w:r>
    <w:r w:rsidR="00EB3486">
      <w:tab/>
    </w:r>
    <w:r w:rsidR="00EB3486">
      <w:tab/>
    </w:r>
    <w:r w:rsidR="00EB3486">
      <w:tab/>
    </w:r>
    <w:r w:rsidR="00EB3486">
      <w:tab/>
    </w:r>
    <w:r w:rsidR="00E6218D">
      <w:t xml:space="preserve">Page </w:t>
    </w:r>
    <w:r>
      <w:fldChar w:fldCharType="begin"/>
    </w:r>
    <w:r>
      <w:instrText xml:space="preserve"> PAGE </w:instrText>
    </w:r>
    <w:r>
      <w:fldChar w:fldCharType="separate"/>
    </w:r>
    <w:r w:rsidR="00FA2C5A">
      <w:rPr>
        <w:noProof/>
      </w:rPr>
      <w:t>1</w:t>
    </w:r>
    <w:r>
      <w:fldChar w:fldCharType="end"/>
    </w:r>
    <w:r>
      <w:t xml:space="preserve"> of </w:t>
    </w:r>
    <w:fldSimple w:instr=" NUMPAGES  ">
      <w:r w:rsidR="00FA2C5A">
        <w:rPr>
          <w:noProof/>
        </w:rPr>
        <w:t>1</w:t>
      </w:r>
    </w:fldSimple>
  </w:p>
  <w:p w14:paraId="76AB4204" w14:textId="443BC2E0"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Content>
      <w:sdt>
        <w:sdtPr>
          <w:id w:val="-1769616900"/>
          <w:docPartObj>
            <w:docPartGallery w:val="Page Numbers (Top of Page)"/>
            <w:docPartUnique/>
          </w:docPartObj>
        </w:sdtPr>
        <w:sdtContent>
          <w:p w14:paraId="38FE5FC4" w14:textId="6FC0E9B4" w:rsidR="008E7826" w:rsidRDefault="008E7826" w:rsidP="00B3290A">
            <w:pPr>
              <w:pStyle w:val="Footer"/>
              <w:jc w:val="right"/>
            </w:pPr>
            <w:r>
              <w:tab/>
            </w:r>
            <w:r>
              <w:tab/>
            </w:r>
            <w:r w:rsidR="00EB3486">
              <w:tab/>
            </w:r>
            <w:r w:rsidR="00EB3486">
              <w:tab/>
            </w:r>
            <w:r w:rsidR="00EB3486">
              <w:tab/>
            </w:r>
            <w:r w:rsidR="00EB3486">
              <w:tab/>
            </w:r>
            <w:r w:rsidR="00EB3486">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fldSimple w:instr=" NUMPAGES  ">
              <w:r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7737" w14:textId="77777777" w:rsidR="00691173" w:rsidRDefault="00691173" w:rsidP="00446BEE">
      <w:r>
        <w:separator/>
      </w:r>
    </w:p>
  </w:footnote>
  <w:footnote w:type="continuationSeparator" w:id="0">
    <w:p w14:paraId="3F143D58" w14:textId="77777777" w:rsidR="00691173" w:rsidRDefault="00691173" w:rsidP="00446BEE">
      <w:r>
        <w:continuationSeparator/>
      </w:r>
    </w:p>
  </w:footnote>
  <w:footnote w:id="1">
    <w:p w14:paraId="5B611024" w14:textId="6A498A1D" w:rsidR="00A50D12" w:rsidRDefault="00A50D12">
      <w:pPr>
        <w:pStyle w:val="FootnoteText"/>
      </w:pPr>
      <w:r w:rsidRPr="00603781">
        <w:rPr>
          <w:rStyle w:val="FootnoteReference"/>
          <w:sz w:val="22"/>
          <w:szCs w:val="22"/>
        </w:rPr>
        <w:footnoteRef/>
      </w:r>
      <w:r w:rsidRPr="00603781">
        <w:rPr>
          <w:sz w:val="22"/>
          <w:szCs w:val="22"/>
        </w:rPr>
        <w:t xml:space="preserve"> 60% target applies to topics with an ITP issued since 1</w:t>
      </w:r>
      <w:r w:rsidRPr="00603781">
        <w:rPr>
          <w:sz w:val="22"/>
          <w:szCs w:val="22"/>
          <w:vertAlign w:val="superscript"/>
        </w:rPr>
        <w:t>st</w:t>
      </w:r>
      <w:r w:rsidRPr="00603781">
        <w:rPr>
          <w:sz w:val="22"/>
          <w:szCs w:val="22"/>
        </w:rPr>
        <w:t xml:space="preserve"> April</w:t>
      </w:r>
      <w:r w:rsidR="00603781" w:rsidRPr="00603781">
        <w:rPr>
          <w:sz w:val="22"/>
          <w:szCs w:val="22"/>
        </w:rPr>
        <w:t xml:space="preserve"> 2025.</w:t>
      </w:r>
    </w:p>
  </w:footnote>
  <w:footnote w:id="2">
    <w:p w14:paraId="1210481C" w14:textId="66EE454D" w:rsidR="00F47384" w:rsidRDefault="00F47384">
      <w:pPr>
        <w:pStyle w:val="FootnoteText"/>
      </w:pPr>
      <w:r>
        <w:rPr>
          <w:rStyle w:val="FootnoteReference"/>
        </w:rPr>
        <w:footnoteRef/>
      </w:r>
      <w:r>
        <w:t xml:space="preserve"> </w:t>
      </w:r>
      <w:r w:rsidRPr="00A146F8">
        <w:rPr>
          <w:sz w:val="22"/>
          <w:szCs w:val="22"/>
        </w:rPr>
        <w:t>25/26</w:t>
      </w:r>
      <w:r w:rsidR="00184A9B" w:rsidRPr="00A146F8">
        <w:rPr>
          <w:sz w:val="22"/>
          <w:szCs w:val="22"/>
        </w:rPr>
        <w:t xml:space="preserve"> </w:t>
      </w:r>
      <w:r w:rsidR="00A146F8" w:rsidRPr="00A146F8">
        <w:rPr>
          <w:sz w:val="22"/>
          <w:szCs w:val="22"/>
        </w:rPr>
        <w:t>performance (29%) reflects the proportion of medicines evaluation final guidance published in 25/26 that was published within 240 working days of the ITP being issued.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2FE2" w14:textId="73C3DAE4" w:rsidR="008F6FB7" w:rsidRDefault="008F6FB7">
    <w:pPr>
      <w:pStyle w:val="Header"/>
    </w:pPr>
    <w:r>
      <w:rPr>
        <w:noProof/>
      </w:rPr>
      <w:drawing>
        <wp:anchor distT="0" distB="0" distL="114300" distR="114300" simplePos="0" relativeHeight="251658240" behindDoc="0" locked="0" layoutInCell="1" allowOverlap="1" wp14:anchorId="76268743" wp14:editId="3F201A7D">
          <wp:simplePos x="0" y="0"/>
          <wp:positionH relativeFrom="column">
            <wp:posOffset>0</wp:posOffset>
          </wp:positionH>
          <wp:positionV relativeFrom="page">
            <wp:posOffset>447675</wp:posOffset>
          </wp:positionV>
          <wp:extent cx="2444400" cy="252000"/>
          <wp:effectExtent l="0" t="0" r="0" b="0"/>
          <wp:wrapNone/>
          <wp:docPr id="1255403492" name="Picture 1255403492"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5E4852">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E0E03C4"/>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6B3437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B48ED"/>
    <w:multiLevelType w:val="hybridMultilevel"/>
    <w:tmpl w:val="E0DCDCBA"/>
    <w:lvl w:ilvl="0" w:tplc="C4C06B86">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0ED2582"/>
    <w:multiLevelType w:val="hybridMultilevel"/>
    <w:tmpl w:val="4086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0015A4"/>
    <w:multiLevelType w:val="hybridMultilevel"/>
    <w:tmpl w:val="C150D136"/>
    <w:lvl w:ilvl="0" w:tplc="88ACBF32">
      <w:start w:val="1"/>
      <w:numFmt w:val="bullet"/>
      <w:lvlText w:val="•"/>
      <w:lvlJc w:val="left"/>
      <w:pPr>
        <w:tabs>
          <w:tab w:val="num" w:pos="720"/>
        </w:tabs>
        <w:ind w:left="720" w:hanging="360"/>
      </w:pPr>
      <w:rPr>
        <w:rFonts w:ascii="Arial" w:hAnsi="Arial" w:hint="default"/>
      </w:rPr>
    </w:lvl>
    <w:lvl w:ilvl="1" w:tplc="9B14C20A" w:tentative="1">
      <w:start w:val="1"/>
      <w:numFmt w:val="bullet"/>
      <w:lvlText w:val="•"/>
      <w:lvlJc w:val="left"/>
      <w:pPr>
        <w:tabs>
          <w:tab w:val="num" w:pos="1440"/>
        </w:tabs>
        <w:ind w:left="1440" w:hanging="360"/>
      </w:pPr>
      <w:rPr>
        <w:rFonts w:ascii="Arial" w:hAnsi="Arial" w:hint="default"/>
      </w:rPr>
    </w:lvl>
    <w:lvl w:ilvl="2" w:tplc="84B20C0C" w:tentative="1">
      <w:start w:val="1"/>
      <w:numFmt w:val="bullet"/>
      <w:lvlText w:val="•"/>
      <w:lvlJc w:val="left"/>
      <w:pPr>
        <w:tabs>
          <w:tab w:val="num" w:pos="2160"/>
        </w:tabs>
        <w:ind w:left="2160" w:hanging="360"/>
      </w:pPr>
      <w:rPr>
        <w:rFonts w:ascii="Arial" w:hAnsi="Arial" w:hint="default"/>
      </w:rPr>
    </w:lvl>
    <w:lvl w:ilvl="3" w:tplc="9EEADD0A" w:tentative="1">
      <w:start w:val="1"/>
      <w:numFmt w:val="bullet"/>
      <w:lvlText w:val="•"/>
      <w:lvlJc w:val="left"/>
      <w:pPr>
        <w:tabs>
          <w:tab w:val="num" w:pos="2880"/>
        </w:tabs>
        <w:ind w:left="2880" w:hanging="360"/>
      </w:pPr>
      <w:rPr>
        <w:rFonts w:ascii="Arial" w:hAnsi="Arial" w:hint="default"/>
      </w:rPr>
    </w:lvl>
    <w:lvl w:ilvl="4" w:tplc="6DD6115A" w:tentative="1">
      <w:start w:val="1"/>
      <w:numFmt w:val="bullet"/>
      <w:lvlText w:val="•"/>
      <w:lvlJc w:val="left"/>
      <w:pPr>
        <w:tabs>
          <w:tab w:val="num" w:pos="3600"/>
        </w:tabs>
        <w:ind w:left="3600" w:hanging="360"/>
      </w:pPr>
      <w:rPr>
        <w:rFonts w:ascii="Arial" w:hAnsi="Arial" w:hint="default"/>
      </w:rPr>
    </w:lvl>
    <w:lvl w:ilvl="5" w:tplc="F4562C42" w:tentative="1">
      <w:start w:val="1"/>
      <w:numFmt w:val="bullet"/>
      <w:lvlText w:val="•"/>
      <w:lvlJc w:val="left"/>
      <w:pPr>
        <w:tabs>
          <w:tab w:val="num" w:pos="4320"/>
        </w:tabs>
        <w:ind w:left="4320" w:hanging="360"/>
      </w:pPr>
      <w:rPr>
        <w:rFonts w:ascii="Arial" w:hAnsi="Arial" w:hint="default"/>
      </w:rPr>
    </w:lvl>
    <w:lvl w:ilvl="6" w:tplc="6A8CD9E2" w:tentative="1">
      <w:start w:val="1"/>
      <w:numFmt w:val="bullet"/>
      <w:lvlText w:val="•"/>
      <w:lvlJc w:val="left"/>
      <w:pPr>
        <w:tabs>
          <w:tab w:val="num" w:pos="5040"/>
        </w:tabs>
        <w:ind w:left="5040" w:hanging="360"/>
      </w:pPr>
      <w:rPr>
        <w:rFonts w:ascii="Arial" w:hAnsi="Arial" w:hint="default"/>
      </w:rPr>
    </w:lvl>
    <w:lvl w:ilvl="7" w:tplc="5E4288A4" w:tentative="1">
      <w:start w:val="1"/>
      <w:numFmt w:val="bullet"/>
      <w:lvlText w:val="•"/>
      <w:lvlJc w:val="left"/>
      <w:pPr>
        <w:tabs>
          <w:tab w:val="num" w:pos="5760"/>
        </w:tabs>
        <w:ind w:left="5760" w:hanging="360"/>
      </w:pPr>
      <w:rPr>
        <w:rFonts w:ascii="Arial" w:hAnsi="Arial" w:hint="default"/>
      </w:rPr>
    </w:lvl>
    <w:lvl w:ilvl="8" w:tplc="9C8AC3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1E28D9"/>
    <w:multiLevelType w:val="hybridMultilevel"/>
    <w:tmpl w:val="A74A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60333"/>
    <w:multiLevelType w:val="hybridMultilevel"/>
    <w:tmpl w:val="D81A0D90"/>
    <w:lvl w:ilvl="0" w:tplc="B8DC8506">
      <w:start w:val="1"/>
      <w:numFmt w:val="bullet"/>
      <w:lvlText w:val="•"/>
      <w:lvlJc w:val="left"/>
      <w:pPr>
        <w:tabs>
          <w:tab w:val="num" w:pos="720"/>
        </w:tabs>
        <w:ind w:left="720" w:hanging="360"/>
      </w:pPr>
      <w:rPr>
        <w:rFonts w:ascii="Arial" w:hAnsi="Arial" w:hint="default"/>
      </w:rPr>
    </w:lvl>
    <w:lvl w:ilvl="1" w:tplc="CB04F610" w:tentative="1">
      <w:start w:val="1"/>
      <w:numFmt w:val="bullet"/>
      <w:lvlText w:val="•"/>
      <w:lvlJc w:val="left"/>
      <w:pPr>
        <w:tabs>
          <w:tab w:val="num" w:pos="1440"/>
        </w:tabs>
        <w:ind w:left="1440" w:hanging="360"/>
      </w:pPr>
      <w:rPr>
        <w:rFonts w:ascii="Arial" w:hAnsi="Arial" w:hint="default"/>
      </w:rPr>
    </w:lvl>
    <w:lvl w:ilvl="2" w:tplc="7040AC70" w:tentative="1">
      <w:start w:val="1"/>
      <w:numFmt w:val="bullet"/>
      <w:lvlText w:val="•"/>
      <w:lvlJc w:val="left"/>
      <w:pPr>
        <w:tabs>
          <w:tab w:val="num" w:pos="2160"/>
        </w:tabs>
        <w:ind w:left="2160" w:hanging="360"/>
      </w:pPr>
      <w:rPr>
        <w:rFonts w:ascii="Arial" w:hAnsi="Arial" w:hint="default"/>
      </w:rPr>
    </w:lvl>
    <w:lvl w:ilvl="3" w:tplc="E666894E" w:tentative="1">
      <w:start w:val="1"/>
      <w:numFmt w:val="bullet"/>
      <w:lvlText w:val="•"/>
      <w:lvlJc w:val="left"/>
      <w:pPr>
        <w:tabs>
          <w:tab w:val="num" w:pos="2880"/>
        </w:tabs>
        <w:ind w:left="2880" w:hanging="360"/>
      </w:pPr>
      <w:rPr>
        <w:rFonts w:ascii="Arial" w:hAnsi="Arial" w:hint="default"/>
      </w:rPr>
    </w:lvl>
    <w:lvl w:ilvl="4" w:tplc="D85AA28E" w:tentative="1">
      <w:start w:val="1"/>
      <w:numFmt w:val="bullet"/>
      <w:lvlText w:val="•"/>
      <w:lvlJc w:val="left"/>
      <w:pPr>
        <w:tabs>
          <w:tab w:val="num" w:pos="3600"/>
        </w:tabs>
        <w:ind w:left="3600" w:hanging="360"/>
      </w:pPr>
      <w:rPr>
        <w:rFonts w:ascii="Arial" w:hAnsi="Arial" w:hint="default"/>
      </w:rPr>
    </w:lvl>
    <w:lvl w:ilvl="5" w:tplc="C4C08FE8" w:tentative="1">
      <w:start w:val="1"/>
      <w:numFmt w:val="bullet"/>
      <w:lvlText w:val="•"/>
      <w:lvlJc w:val="left"/>
      <w:pPr>
        <w:tabs>
          <w:tab w:val="num" w:pos="4320"/>
        </w:tabs>
        <w:ind w:left="4320" w:hanging="360"/>
      </w:pPr>
      <w:rPr>
        <w:rFonts w:ascii="Arial" w:hAnsi="Arial" w:hint="default"/>
      </w:rPr>
    </w:lvl>
    <w:lvl w:ilvl="6" w:tplc="64DCA39A" w:tentative="1">
      <w:start w:val="1"/>
      <w:numFmt w:val="bullet"/>
      <w:lvlText w:val="•"/>
      <w:lvlJc w:val="left"/>
      <w:pPr>
        <w:tabs>
          <w:tab w:val="num" w:pos="5040"/>
        </w:tabs>
        <w:ind w:left="5040" w:hanging="360"/>
      </w:pPr>
      <w:rPr>
        <w:rFonts w:ascii="Arial" w:hAnsi="Arial" w:hint="default"/>
      </w:rPr>
    </w:lvl>
    <w:lvl w:ilvl="7" w:tplc="CAC690DA" w:tentative="1">
      <w:start w:val="1"/>
      <w:numFmt w:val="bullet"/>
      <w:lvlText w:val="•"/>
      <w:lvlJc w:val="left"/>
      <w:pPr>
        <w:tabs>
          <w:tab w:val="num" w:pos="5760"/>
        </w:tabs>
        <w:ind w:left="5760" w:hanging="360"/>
      </w:pPr>
      <w:rPr>
        <w:rFonts w:ascii="Arial" w:hAnsi="Arial" w:hint="default"/>
      </w:rPr>
    </w:lvl>
    <w:lvl w:ilvl="8" w:tplc="8AD0D1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8E7296A"/>
    <w:multiLevelType w:val="hybridMultilevel"/>
    <w:tmpl w:val="09EAB93E"/>
    <w:lvl w:ilvl="0" w:tplc="EDD6B8F0">
      <w:start w:val="1"/>
      <w:numFmt w:val="bullet"/>
      <w:lvlText w:val="•"/>
      <w:lvlJc w:val="left"/>
      <w:pPr>
        <w:tabs>
          <w:tab w:val="num" w:pos="720"/>
        </w:tabs>
        <w:ind w:left="720" w:hanging="360"/>
      </w:pPr>
      <w:rPr>
        <w:rFonts w:ascii="Arial" w:hAnsi="Arial" w:hint="default"/>
      </w:rPr>
    </w:lvl>
    <w:lvl w:ilvl="1" w:tplc="5946573C" w:tentative="1">
      <w:start w:val="1"/>
      <w:numFmt w:val="bullet"/>
      <w:lvlText w:val="•"/>
      <w:lvlJc w:val="left"/>
      <w:pPr>
        <w:tabs>
          <w:tab w:val="num" w:pos="1440"/>
        </w:tabs>
        <w:ind w:left="1440" w:hanging="360"/>
      </w:pPr>
      <w:rPr>
        <w:rFonts w:ascii="Arial" w:hAnsi="Arial" w:hint="default"/>
      </w:rPr>
    </w:lvl>
    <w:lvl w:ilvl="2" w:tplc="1362F49E" w:tentative="1">
      <w:start w:val="1"/>
      <w:numFmt w:val="bullet"/>
      <w:lvlText w:val="•"/>
      <w:lvlJc w:val="left"/>
      <w:pPr>
        <w:tabs>
          <w:tab w:val="num" w:pos="2160"/>
        </w:tabs>
        <w:ind w:left="2160" w:hanging="360"/>
      </w:pPr>
      <w:rPr>
        <w:rFonts w:ascii="Arial" w:hAnsi="Arial" w:hint="default"/>
      </w:rPr>
    </w:lvl>
    <w:lvl w:ilvl="3" w:tplc="187ED8C6" w:tentative="1">
      <w:start w:val="1"/>
      <w:numFmt w:val="bullet"/>
      <w:lvlText w:val="•"/>
      <w:lvlJc w:val="left"/>
      <w:pPr>
        <w:tabs>
          <w:tab w:val="num" w:pos="2880"/>
        </w:tabs>
        <w:ind w:left="2880" w:hanging="360"/>
      </w:pPr>
      <w:rPr>
        <w:rFonts w:ascii="Arial" w:hAnsi="Arial" w:hint="default"/>
      </w:rPr>
    </w:lvl>
    <w:lvl w:ilvl="4" w:tplc="D9D2E960" w:tentative="1">
      <w:start w:val="1"/>
      <w:numFmt w:val="bullet"/>
      <w:lvlText w:val="•"/>
      <w:lvlJc w:val="left"/>
      <w:pPr>
        <w:tabs>
          <w:tab w:val="num" w:pos="3600"/>
        </w:tabs>
        <w:ind w:left="3600" w:hanging="360"/>
      </w:pPr>
      <w:rPr>
        <w:rFonts w:ascii="Arial" w:hAnsi="Arial" w:hint="default"/>
      </w:rPr>
    </w:lvl>
    <w:lvl w:ilvl="5" w:tplc="A4AE364A" w:tentative="1">
      <w:start w:val="1"/>
      <w:numFmt w:val="bullet"/>
      <w:lvlText w:val="•"/>
      <w:lvlJc w:val="left"/>
      <w:pPr>
        <w:tabs>
          <w:tab w:val="num" w:pos="4320"/>
        </w:tabs>
        <w:ind w:left="4320" w:hanging="360"/>
      </w:pPr>
      <w:rPr>
        <w:rFonts w:ascii="Arial" w:hAnsi="Arial" w:hint="default"/>
      </w:rPr>
    </w:lvl>
    <w:lvl w:ilvl="6" w:tplc="45486EEA" w:tentative="1">
      <w:start w:val="1"/>
      <w:numFmt w:val="bullet"/>
      <w:lvlText w:val="•"/>
      <w:lvlJc w:val="left"/>
      <w:pPr>
        <w:tabs>
          <w:tab w:val="num" w:pos="5040"/>
        </w:tabs>
        <w:ind w:left="5040" w:hanging="360"/>
      </w:pPr>
      <w:rPr>
        <w:rFonts w:ascii="Arial" w:hAnsi="Arial" w:hint="default"/>
      </w:rPr>
    </w:lvl>
    <w:lvl w:ilvl="7" w:tplc="8FBCB6FE" w:tentative="1">
      <w:start w:val="1"/>
      <w:numFmt w:val="bullet"/>
      <w:lvlText w:val="•"/>
      <w:lvlJc w:val="left"/>
      <w:pPr>
        <w:tabs>
          <w:tab w:val="num" w:pos="5760"/>
        </w:tabs>
        <w:ind w:left="5760" w:hanging="360"/>
      </w:pPr>
      <w:rPr>
        <w:rFonts w:ascii="Arial" w:hAnsi="Arial" w:hint="default"/>
      </w:rPr>
    </w:lvl>
    <w:lvl w:ilvl="8" w:tplc="E42CF6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D3509A"/>
    <w:multiLevelType w:val="hybridMultilevel"/>
    <w:tmpl w:val="F8B85092"/>
    <w:lvl w:ilvl="0" w:tplc="5296BCEC">
      <w:start w:val="1"/>
      <w:numFmt w:val="bullet"/>
      <w:lvlText w:val="•"/>
      <w:lvlJc w:val="left"/>
      <w:pPr>
        <w:tabs>
          <w:tab w:val="num" w:pos="720"/>
        </w:tabs>
        <w:ind w:left="720" w:hanging="360"/>
      </w:pPr>
      <w:rPr>
        <w:rFonts w:ascii="Arial" w:hAnsi="Arial" w:hint="default"/>
      </w:rPr>
    </w:lvl>
    <w:lvl w:ilvl="1" w:tplc="5B6801D8" w:tentative="1">
      <w:start w:val="1"/>
      <w:numFmt w:val="bullet"/>
      <w:lvlText w:val="•"/>
      <w:lvlJc w:val="left"/>
      <w:pPr>
        <w:tabs>
          <w:tab w:val="num" w:pos="1440"/>
        </w:tabs>
        <w:ind w:left="1440" w:hanging="360"/>
      </w:pPr>
      <w:rPr>
        <w:rFonts w:ascii="Arial" w:hAnsi="Arial" w:hint="default"/>
      </w:rPr>
    </w:lvl>
    <w:lvl w:ilvl="2" w:tplc="FE7CA390" w:tentative="1">
      <w:start w:val="1"/>
      <w:numFmt w:val="bullet"/>
      <w:lvlText w:val="•"/>
      <w:lvlJc w:val="left"/>
      <w:pPr>
        <w:tabs>
          <w:tab w:val="num" w:pos="2160"/>
        </w:tabs>
        <w:ind w:left="2160" w:hanging="360"/>
      </w:pPr>
      <w:rPr>
        <w:rFonts w:ascii="Arial" w:hAnsi="Arial" w:hint="default"/>
      </w:rPr>
    </w:lvl>
    <w:lvl w:ilvl="3" w:tplc="7466F516" w:tentative="1">
      <w:start w:val="1"/>
      <w:numFmt w:val="bullet"/>
      <w:lvlText w:val="•"/>
      <w:lvlJc w:val="left"/>
      <w:pPr>
        <w:tabs>
          <w:tab w:val="num" w:pos="2880"/>
        </w:tabs>
        <w:ind w:left="2880" w:hanging="360"/>
      </w:pPr>
      <w:rPr>
        <w:rFonts w:ascii="Arial" w:hAnsi="Arial" w:hint="default"/>
      </w:rPr>
    </w:lvl>
    <w:lvl w:ilvl="4" w:tplc="E8686F9E" w:tentative="1">
      <w:start w:val="1"/>
      <w:numFmt w:val="bullet"/>
      <w:lvlText w:val="•"/>
      <w:lvlJc w:val="left"/>
      <w:pPr>
        <w:tabs>
          <w:tab w:val="num" w:pos="3600"/>
        </w:tabs>
        <w:ind w:left="3600" w:hanging="360"/>
      </w:pPr>
      <w:rPr>
        <w:rFonts w:ascii="Arial" w:hAnsi="Arial" w:hint="default"/>
      </w:rPr>
    </w:lvl>
    <w:lvl w:ilvl="5" w:tplc="9D786D4E" w:tentative="1">
      <w:start w:val="1"/>
      <w:numFmt w:val="bullet"/>
      <w:lvlText w:val="•"/>
      <w:lvlJc w:val="left"/>
      <w:pPr>
        <w:tabs>
          <w:tab w:val="num" w:pos="4320"/>
        </w:tabs>
        <w:ind w:left="4320" w:hanging="360"/>
      </w:pPr>
      <w:rPr>
        <w:rFonts w:ascii="Arial" w:hAnsi="Arial" w:hint="default"/>
      </w:rPr>
    </w:lvl>
    <w:lvl w:ilvl="6" w:tplc="E7763B60" w:tentative="1">
      <w:start w:val="1"/>
      <w:numFmt w:val="bullet"/>
      <w:lvlText w:val="•"/>
      <w:lvlJc w:val="left"/>
      <w:pPr>
        <w:tabs>
          <w:tab w:val="num" w:pos="5040"/>
        </w:tabs>
        <w:ind w:left="5040" w:hanging="360"/>
      </w:pPr>
      <w:rPr>
        <w:rFonts w:ascii="Arial" w:hAnsi="Arial" w:hint="default"/>
      </w:rPr>
    </w:lvl>
    <w:lvl w:ilvl="7" w:tplc="46CED69E" w:tentative="1">
      <w:start w:val="1"/>
      <w:numFmt w:val="bullet"/>
      <w:lvlText w:val="•"/>
      <w:lvlJc w:val="left"/>
      <w:pPr>
        <w:tabs>
          <w:tab w:val="num" w:pos="5760"/>
        </w:tabs>
        <w:ind w:left="5760" w:hanging="360"/>
      </w:pPr>
      <w:rPr>
        <w:rFonts w:ascii="Arial" w:hAnsi="Arial" w:hint="default"/>
      </w:rPr>
    </w:lvl>
    <w:lvl w:ilvl="8" w:tplc="03648E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5702A2"/>
    <w:multiLevelType w:val="hybridMultilevel"/>
    <w:tmpl w:val="83C6E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E7FC0"/>
    <w:multiLevelType w:val="multilevel"/>
    <w:tmpl w:val="8988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A31D7"/>
    <w:multiLevelType w:val="multilevel"/>
    <w:tmpl w:val="E10040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177695"/>
    <w:multiLevelType w:val="multilevel"/>
    <w:tmpl w:val="E9342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8D6029"/>
    <w:multiLevelType w:val="hybridMultilevel"/>
    <w:tmpl w:val="AC943DCA"/>
    <w:lvl w:ilvl="0" w:tplc="ED9ABD5C">
      <w:start w:val="1"/>
      <w:numFmt w:val="lowerLetter"/>
      <w:lvlText w:val="%1)"/>
      <w:lvlJc w:val="left"/>
      <w:pPr>
        <w:ind w:left="1020" w:hanging="360"/>
      </w:pPr>
    </w:lvl>
    <w:lvl w:ilvl="1" w:tplc="07BAE122">
      <w:start w:val="1"/>
      <w:numFmt w:val="lowerLetter"/>
      <w:lvlText w:val="%2)"/>
      <w:lvlJc w:val="left"/>
      <w:pPr>
        <w:ind w:left="1020" w:hanging="360"/>
      </w:pPr>
    </w:lvl>
    <w:lvl w:ilvl="2" w:tplc="6644C218">
      <w:start w:val="1"/>
      <w:numFmt w:val="lowerLetter"/>
      <w:lvlText w:val="%3)"/>
      <w:lvlJc w:val="left"/>
      <w:pPr>
        <w:ind w:left="1020" w:hanging="360"/>
      </w:pPr>
    </w:lvl>
    <w:lvl w:ilvl="3" w:tplc="C7C46570">
      <w:start w:val="1"/>
      <w:numFmt w:val="lowerLetter"/>
      <w:lvlText w:val="%4)"/>
      <w:lvlJc w:val="left"/>
      <w:pPr>
        <w:ind w:left="1020" w:hanging="360"/>
      </w:pPr>
    </w:lvl>
    <w:lvl w:ilvl="4" w:tplc="ECC6154E">
      <w:start w:val="1"/>
      <w:numFmt w:val="lowerLetter"/>
      <w:lvlText w:val="%5)"/>
      <w:lvlJc w:val="left"/>
      <w:pPr>
        <w:ind w:left="1020" w:hanging="360"/>
      </w:pPr>
    </w:lvl>
    <w:lvl w:ilvl="5" w:tplc="A8D443AC">
      <w:start w:val="1"/>
      <w:numFmt w:val="lowerLetter"/>
      <w:lvlText w:val="%6)"/>
      <w:lvlJc w:val="left"/>
      <w:pPr>
        <w:ind w:left="1020" w:hanging="360"/>
      </w:pPr>
    </w:lvl>
    <w:lvl w:ilvl="6" w:tplc="7A742108">
      <w:start w:val="1"/>
      <w:numFmt w:val="lowerLetter"/>
      <w:lvlText w:val="%7)"/>
      <w:lvlJc w:val="left"/>
      <w:pPr>
        <w:ind w:left="1020" w:hanging="360"/>
      </w:pPr>
    </w:lvl>
    <w:lvl w:ilvl="7" w:tplc="907A11BA">
      <w:start w:val="1"/>
      <w:numFmt w:val="lowerLetter"/>
      <w:lvlText w:val="%8)"/>
      <w:lvlJc w:val="left"/>
      <w:pPr>
        <w:ind w:left="1020" w:hanging="360"/>
      </w:pPr>
    </w:lvl>
    <w:lvl w:ilvl="8" w:tplc="5C9E98B8">
      <w:start w:val="1"/>
      <w:numFmt w:val="lowerLetter"/>
      <w:lvlText w:val="%9)"/>
      <w:lvlJc w:val="left"/>
      <w:pPr>
        <w:ind w:left="1020" w:hanging="360"/>
      </w:pPr>
    </w:lvl>
  </w:abstractNum>
  <w:abstractNum w:abstractNumId="14" w15:restartNumberingAfterBreak="0">
    <w:nsid w:val="22B24FA0"/>
    <w:multiLevelType w:val="hybridMultilevel"/>
    <w:tmpl w:val="FE7C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43585"/>
    <w:multiLevelType w:val="hybridMultilevel"/>
    <w:tmpl w:val="E2546984"/>
    <w:lvl w:ilvl="0" w:tplc="462A50EC">
      <w:start w:val="1"/>
      <w:numFmt w:val="bullet"/>
      <w:lvlText w:val="•"/>
      <w:lvlJc w:val="left"/>
      <w:pPr>
        <w:tabs>
          <w:tab w:val="num" w:pos="720"/>
        </w:tabs>
        <w:ind w:left="720" w:hanging="360"/>
      </w:pPr>
      <w:rPr>
        <w:rFonts w:ascii="Arial" w:hAnsi="Arial" w:hint="default"/>
      </w:rPr>
    </w:lvl>
    <w:lvl w:ilvl="1" w:tplc="E0D4D8A2" w:tentative="1">
      <w:start w:val="1"/>
      <w:numFmt w:val="bullet"/>
      <w:lvlText w:val="•"/>
      <w:lvlJc w:val="left"/>
      <w:pPr>
        <w:tabs>
          <w:tab w:val="num" w:pos="1440"/>
        </w:tabs>
        <w:ind w:left="1440" w:hanging="360"/>
      </w:pPr>
      <w:rPr>
        <w:rFonts w:ascii="Arial" w:hAnsi="Arial" w:hint="default"/>
      </w:rPr>
    </w:lvl>
    <w:lvl w:ilvl="2" w:tplc="76E49CD4" w:tentative="1">
      <w:start w:val="1"/>
      <w:numFmt w:val="bullet"/>
      <w:lvlText w:val="•"/>
      <w:lvlJc w:val="left"/>
      <w:pPr>
        <w:tabs>
          <w:tab w:val="num" w:pos="2160"/>
        </w:tabs>
        <w:ind w:left="2160" w:hanging="360"/>
      </w:pPr>
      <w:rPr>
        <w:rFonts w:ascii="Arial" w:hAnsi="Arial" w:hint="default"/>
      </w:rPr>
    </w:lvl>
    <w:lvl w:ilvl="3" w:tplc="06C2AE16" w:tentative="1">
      <w:start w:val="1"/>
      <w:numFmt w:val="bullet"/>
      <w:lvlText w:val="•"/>
      <w:lvlJc w:val="left"/>
      <w:pPr>
        <w:tabs>
          <w:tab w:val="num" w:pos="2880"/>
        </w:tabs>
        <w:ind w:left="2880" w:hanging="360"/>
      </w:pPr>
      <w:rPr>
        <w:rFonts w:ascii="Arial" w:hAnsi="Arial" w:hint="default"/>
      </w:rPr>
    </w:lvl>
    <w:lvl w:ilvl="4" w:tplc="200015AC" w:tentative="1">
      <w:start w:val="1"/>
      <w:numFmt w:val="bullet"/>
      <w:lvlText w:val="•"/>
      <w:lvlJc w:val="left"/>
      <w:pPr>
        <w:tabs>
          <w:tab w:val="num" w:pos="3600"/>
        </w:tabs>
        <w:ind w:left="3600" w:hanging="360"/>
      </w:pPr>
      <w:rPr>
        <w:rFonts w:ascii="Arial" w:hAnsi="Arial" w:hint="default"/>
      </w:rPr>
    </w:lvl>
    <w:lvl w:ilvl="5" w:tplc="DC7E6598" w:tentative="1">
      <w:start w:val="1"/>
      <w:numFmt w:val="bullet"/>
      <w:lvlText w:val="•"/>
      <w:lvlJc w:val="left"/>
      <w:pPr>
        <w:tabs>
          <w:tab w:val="num" w:pos="4320"/>
        </w:tabs>
        <w:ind w:left="4320" w:hanging="360"/>
      </w:pPr>
      <w:rPr>
        <w:rFonts w:ascii="Arial" w:hAnsi="Arial" w:hint="default"/>
      </w:rPr>
    </w:lvl>
    <w:lvl w:ilvl="6" w:tplc="EDA0CAD6" w:tentative="1">
      <w:start w:val="1"/>
      <w:numFmt w:val="bullet"/>
      <w:lvlText w:val="•"/>
      <w:lvlJc w:val="left"/>
      <w:pPr>
        <w:tabs>
          <w:tab w:val="num" w:pos="5040"/>
        </w:tabs>
        <w:ind w:left="5040" w:hanging="360"/>
      </w:pPr>
      <w:rPr>
        <w:rFonts w:ascii="Arial" w:hAnsi="Arial" w:hint="default"/>
      </w:rPr>
    </w:lvl>
    <w:lvl w:ilvl="7" w:tplc="2CCE4CBC" w:tentative="1">
      <w:start w:val="1"/>
      <w:numFmt w:val="bullet"/>
      <w:lvlText w:val="•"/>
      <w:lvlJc w:val="left"/>
      <w:pPr>
        <w:tabs>
          <w:tab w:val="num" w:pos="5760"/>
        </w:tabs>
        <w:ind w:left="5760" w:hanging="360"/>
      </w:pPr>
      <w:rPr>
        <w:rFonts w:ascii="Arial" w:hAnsi="Arial" w:hint="default"/>
      </w:rPr>
    </w:lvl>
    <w:lvl w:ilvl="8" w:tplc="4412BB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6AC540A"/>
    <w:multiLevelType w:val="hybridMultilevel"/>
    <w:tmpl w:val="91E0BA52"/>
    <w:lvl w:ilvl="0" w:tplc="C4C06B86">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E9549A"/>
    <w:multiLevelType w:val="hybridMultilevel"/>
    <w:tmpl w:val="CF6C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5B03C6"/>
    <w:multiLevelType w:val="hybridMultilevel"/>
    <w:tmpl w:val="F3FE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BB7760"/>
    <w:multiLevelType w:val="hybridMultilevel"/>
    <w:tmpl w:val="B994E888"/>
    <w:lvl w:ilvl="0" w:tplc="45C026D4">
      <w:start w:val="1"/>
      <w:numFmt w:val="decimal"/>
      <w:lvlText w:val="%1."/>
      <w:lvlJc w:val="left"/>
      <w:pPr>
        <w:tabs>
          <w:tab w:val="num" w:pos="720"/>
        </w:tabs>
        <w:ind w:left="720" w:hanging="360"/>
      </w:pPr>
    </w:lvl>
    <w:lvl w:ilvl="1" w:tplc="F3906F46" w:tentative="1">
      <w:start w:val="1"/>
      <w:numFmt w:val="decimal"/>
      <w:lvlText w:val="%2."/>
      <w:lvlJc w:val="left"/>
      <w:pPr>
        <w:tabs>
          <w:tab w:val="num" w:pos="1440"/>
        </w:tabs>
        <w:ind w:left="1440" w:hanging="360"/>
      </w:pPr>
    </w:lvl>
    <w:lvl w:ilvl="2" w:tplc="69CAC890" w:tentative="1">
      <w:start w:val="1"/>
      <w:numFmt w:val="decimal"/>
      <w:lvlText w:val="%3."/>
      <w:lvlJc w:val="left"/>
      <w:pPr>
        <w:tabs>
          <w:tab w:val="num" w:pos="2160"/>
        </w:tabs>
        <w:ind w:left="2160" w:hanging="360"/>
      </w:pPr>
    </w:lvl>
    <w:lvl w:ilvl="3" w:tplc="F41C8FC8" w:tentative="1">
      <w:start w:val="1"/>
      <w:numFmt w:val="decimal"/>
      <w:lvlText w:val="%4."/>
      <w:lvlJc w:val="left"/>
      <w:pPr>
        <w:tabs>
          <w:tab w:val="num" w:pos="2880"/>
        </w:tabs>
        <w:ind w:left="2880" w:hanging="360"/>
      </w:pPr>
    </w:lvl>
    <w:lvl w:ilvl="4" w:tplc="67489140" w:tentative="1">
      <w:start w:val="1"/>
      <w:numFmt w:val="decimal"/>
      <w:lvlText w:val="%5."/>
      <w:lvlJc w:val="left"/>
      <w:pPr>
        <w:tabs>
          <w:tab w:val="num" w:pos="3600"/>
        </w:tabs>
        <w:ind w:left="3600" w:hanging="360"/>
      </w:pPr>
    </w:lvl>
    <w:lvl w:ilvl="5" w:tplc="D0B694C2" w:tentative="1">
      <w:start w:val="1"/>
      <w:numFmt w:val="decimal"/>
      <w:lvlText w:val="%6."/>
      <w:lvlJc w:val="left"/>
      <w:pPr>
        <w:tabs>
          <w:tab w:val="num" w:pos="4320"/>
        </w:tabs>
        <w:ind w:left="4320" w:hanging="360"/>
      </w:pPr>
    </w:lvl>
    <w:lvl w:ilvl="6" w:tplc="63F647FE" w:tentative="1">
      <w:start w:val="1"/>
      <w:numFmt w:val="decimal"/>
      <w:lvlText w:val="%7."/>
      <w:lvlJc w:val="left"/>
      <w:pPr>
        <w:tabs>
          <w:tab w:val="num" w:pos="5040"/>
        </w:tabs>
        <w:ind w:left="5040" w:hanging="360"/>
      </w:pPr>
    </w:lvl>
    <w:lvl w:ilvl="7" w:tplc="3586C25C" w:tentative="1">
      <w:start w:val="1"/>
      <w:numFmt w:val="decimal"/>
      <w:lvlText w:val="%8."/>
      <w:lvlJc w:val="left"/>
      <w:pPr>
        <w:tabs>
          <w:tab w:val="num" w:pos="5760"/>
        </w:tabs>
        <w:ind w:left="5760" w:hanging="360"/>
      </w:pPr>
    </w:lvl>
    <w:lvl w:ilvl="8" w:tplc="E91EB412" w:tentative="1">
      <w:start w:val="1"/>
      <w:numFmt w:val="decimal"/>
      <w:lvlText w:val="%9."/>
      <w:lvlJc w:val="left"/>
      <w:pPr>
        <w:tabs>
          <w:tab w:val="num" w:pos="6480"/>
        </w:tabs>
        <w:ind w:left="6480" w:hanging="360"/>
      </w:pPr>
    </w:lvl>
  </w:abstractNum>
  <w:abstractNum w:abstractNumId="21" w15:restartNumberingAfterBreak="0">
    <w:nsid w:val="34B83051"/>
    <w:multiLevelType w:val="hybridMultilevel"/>
    <w:tmpl w:val="80E2C460"/>
    <w:lvl w:ilvl="0" w:tplc="4D9A84CE">
      <w:start w:val="1"/>
      <w:numFmt w:val="bullet"/>
      <w:lvlText w:val="•"/>
      <w:lvlJc w:val="left"/>
      <w:pPr>
        <w:tabs>
          <w:tab w:val="num" w:pos="720"/>
        </w:tabs>
        <w:ind w:left="720" w:hanging="360"/>
      </w:pPr>
      <w:rPr>
        <w:rFonts w:ascii="Arial" w:hAnsi="Arial" w:hint="default"/>
      </w:rPr>
    </w:lvl>
    <w:lvl w:ilvl="1" w:tplc="5D12CFC2" w:tentative="1">
      <w:start w:val="1"/>
      <w:numFmt w:val="bullet"/>
      <w:lvlText w:val="•"/>
      <w:lvlJc w:val="left"/>
      <w:pPr>
        <w:tabs>
          <w:tab w:val="num" w:pos="1440"/>
        </w:tabs>
        <w:ind w:left="1440" w:hanging="360"/>
      </w:pPr>
      <w:rPr>
        <w:rFonts w:ascii="Arial" w:hAnsi="Arial" w:hint="default"/>
      </w:rPr>
    </w:lvl>
    <w:lvl w:ilvl="2" w:tplc="D7009B74" w:tentative="1">
      <w:start w:val="1"/>
      <w:numFmt w:val="bullet"/>
      <w:lvlText w:val="•"/>
      <w:lvlJc w:val="left"/>
      <w:pPr>
        <w:tabs>
          <w:tab w:val="num" w:pos="2160"/>
        </w:tabs>
        <w:ind w:left="2160" w:hanging="360"/>
      </w:pPr>
      <w:rPr>
        <w:rFonts w:ascii="Arial" w:hAnsi="Arial" w:hint="default"/>
      </w:rPr>
    </w:lvl>
    <w:lvl w:ilvl="3" w:tplc="6174F716" w:tentative="1">
      <w:start w:val="1"/>
      <w:numFmt w:val="bullet"/>
      <w:lvlText w:val="•"/>
      <w:lvlJc w:val="left"/>
      <w:pPr>
        <w:tabs>
          <w:tab w:val="num" w:pos="2880"/>
        </w:tabs>
        <w:ind w:left="2880" w:hanging="360"/>
      </w:pPr>
      <w:rPr>
        <w:rFonts w:ascii="Arial" w:hAnsi="Arial" w:hint="default"/>
      </w:rPr>
    </w:lvl>
    <w:lvl w:ilvl="4" w:tplc="91FE585A" w:tentative="1">
      <w:start w:val="1"/>
      <w:numFmt w:val="bullet"/>
      <w:lvlText w:val="•"/>
      <w:lvlJc w:val="left"/>
      <w:pPr>
        <w:tabs>
          <w:tab w:val="num" w:pos="3600"/>
        </w:tabs>
        <w:ind w:left="3600" w:hanging="360"/>
      </w:pPr>
      <w:rPr>
        <w:rFonts w:ascii="Arial" w:hAnsi="Arial" w:hint="default"/>
      </w:rPr>
    </w:lvl>
    <w:lvl w:ilvl="5" w:tplc="E08850D8" w:tentative="1">
      <w:start w:val="1"/>
      <w:numFmt w:val="bullet"/>
      <w:lvlText w:val="•"/>
      <w:lvlJc w:val="left"/>
      <w:pPr>
        <w:tabs>
          <w:tab w:val="num" w:pos="4320"/>
        </w:tabs>
        <w:ind w:left="4320" w:hanging="360"/>
      </w:pPr>
      <w:rPr>
        <w:rFonts w:ascii="Arial" w:hAnsi="Arial" w:hint="default"/>
      </w:rPr>
    </w:lvl>
    <w:lvl w:ilvl="6" w:tplc="F79A50E8" w:tentative="1">
      <w:start w:val="1"/>
      <w:numFmt w:val="bullet"/>
      <w:lvlText w:val="•"/>
      <w:lvlJc w:val="left"/>
      <w:pPr>
        <w:tabs>
          <w:tab w:val="num" w:pos="5040"/>
        </w:tabs>
        <w:ind w:left="5040" w:hanging="360"/>
      </w:pPr>
      <w:rPr>
        <w:rFonts w:ascii="Arial" w:hAnsi="Arial" w:hint="default"/>
      </w:rPr>
    </w:lvl>
    <w:lvl w:ilvl="7" w:tplc="32E6F74A" w:tentative="1">
      <w:start w:val="1"/>
      <w:numFmt w:val="bullet"/>
      <w:lvlText w:val="•"/>
      <w:lvlJc w:val="left"/>
      <w:pPr>
        <w:tabs>
          <w:tab w:val="num" w:pos="5760"/>
        </w:tabs>
        <w:ind w:left="5760" w:hanging="360"/>
      </w:pPr>
      <w:rPr>
        <w:rFonts w:ascii="Arial" w:hAnsi="Arial" w:hint="default"/>
      </w:rPr>
    </w:lvl>
    <w:lvl w:ilvl="8" w:tplc="98EE85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C460819"/>
    <w:multiLevelType w:val="hybridMultilevel"/>
    <w:tmpl w:val="16C4AB00"/>
    <w:lvl w:ilvl="0" w:tplc="AB0C9796">
      <w:start w:val="1"/>
      <w:numFmt w:val="bullet"/>
      <w:lvlText w:val="•"/>
      <w:lvlJc w:val="left"/>
      <w:pPr>
        <w:tabs>
          <w:tab w:val="num" w:pos="360"/>
        </w:tabs>
        <w:ind w:left="360" w:hanging="360"/>
      </w:pPr>
      <w:rPr>
        <w:rFonts w:ascii="Arial" w:hAnsi="Arial" w:hint="default"/>
      </w:rPr>
    </w:lvl>
    <w:lvl w:ilvl="1" w:tplc="C4C06B86">
      <w:numFmt w:val="bullet"/>
      <w:lvlText w:val=""/>
      <w:lvlJc w:val="left"/>
      <w:pPr>
        <w:tabs>
          <w:tab w:val="num" w:pos="1080"/>
        </w:tabs>
        <w:ind w:left="1080" w:hanging="360"/>
      </w:pPr>
      <w:rPr>
        <w:rFonts w:ascii="Wingdings 2" w:hAnsi="Wingdings 2" w:hint="default"/>
      </w:rPr>
    </w:lvl>
    <w:lvl w:ilvl="2" w:tplc="C69CD0C4">
      <w:numFmt w:val="bullet"/>
      <w:lvlText w:val="-"/>
      <w:lvlJc w:val="left"/>
      <w:pPr>
        <w:ind w:left="1800" w:hanging="360"/>
      </w:pPr>
      <w:rPr>
        <w:rFonts w:ascii="Inter" w:eastAsiaTheme="minorEastAsia" w:hAnsi="Inter" w:cs="Arial" w:hint="default"/>
      </w:rPr>
    </w:lvl>
    <w:lvl w:ilvl="3" w:tplc="0554C200" w:tentative="1">
      <w:start w:val="1"/>
      <w:numFmt w:val="bullet"/>
      <w:lvlText w:val="•"/>
      <w:lvlJc w:val="left"/>
      <w:pPr>
        <w:tabs>
          <w:tab w:val="num" w:pos="2520"/>
        </w:tabs>
        <w:ind w:left="2520" w:hanging="360"/>
      </w:pPr>
      <w:rPr>
        <w:rFonts w:ascii="Arial" w:hAnsi="Arial" w:hint="default"/>
      </w:rPr>
    </w:lvl>
    <w:lvl w:ilvl="4" w:tplc="0B62FF7C" w:tentative="1">
      <w:start w:val="1"/>
      <w:numFmt w:val="bullet"/>
      <w:lvlText w:val="•"/>
      <w:lvlJc w:val="left"/>
      <w:pPr>
        <w:tabs>
          <w:tab w:val="num" w:pos="3240"/>
        </w:tabs>
        <w:ind w:left="3240" w:hanging="360"/>
      </w:pPr>
      <w:rPr>
        <w:rFonts w:ascii="Arial" w:hAnsi="Arial" w:hint="default"/>
      </w:rPr>
    </w:lvl>
    <w:lvl w:ilvl="5" w:tplc="036EFC48" w:tentative="1">
      <w:start w:val="1"/>
      <w:numFmt w:val="bullet"/>
      <w:lvlText w:val="•"/>
      <w:lvlJc w:val="left"/>
      <w:pPr>
        <w:tabs>
          <w:tab w:val="num" w:pos="3960"/>
        </w:tabs>
        <w:ind w:left="3960" w:hanging="360"/>
      </w:pPr>
      <w:rPr>
        <w:rFonts w:ascii="Arial" w:hAnsi="Arial" w:hint="default"/>
      </w:rPr>
    </w:lvl>
    <w:lvl w:ilvl="6" w:tplc="F7120A08" w:tentative="1">
      <w:start w:val="1"/>
      <w:numFmt w:val="bullet"/>
      <w:lvlText w:val="•"/>
      <w:lvlJc w:val="left"/>
      <w:pPr>
        <w:tabs>
          <w:tab w:val="num" w:pos="4680"/>
        </w:tabs>
        <w:ind w:left="4680" w:hanging="360"/>
      </w:pPr>
      <w:rPr>
        <w:rFonts w:ascii="Arial" w:hAnsi="Arial" w:hint="default"/>
      </w:rPr>
    </w:lvl>
    <w:lvl w:ilvl="7" w:tplc="552AB2EE" w:tentative="1">
      <w:start w:val="1"/>
      <w:numFmt w:val="bullet"/>
      <w:lvlText w:val="•"/>
      <w:lvlJc w:val="left"/>
      <w:pPr>
        <w:tabs>
          <w:tab w:val="num" w:pos="5400"/>
        </w:tabs>
        <w:ind w:left="5400" w:hanging="360"/>
      </w:pPr>
      <w:rPr>
        <w:rFonts w:ascii="Arial" w:hAnsi="Arial" w:hint="default"/>
      </w:rPr>
    </w:lvl>
    <w:lvl w:ilvl="8" w:tplc="E2FED7F4"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48C274FC"/>
    <w:multiLevelType w:val="hybridMultilevel"/>
    <w:tmpl w:val="687E3B12"/>
    <w:lvl w:ilvl="0" w:tplc="A71A28E4">
      <w:start w:val="1"/>
      <w:numFmt w:val="bullet"/>
      <w:lvlText w:val="•"/>
      <w:lvlJc w:val="left"/>
      <w:pPr>
        <w:tabs>
          <w:tab w:val="num" w:pos="720"/>
        </w:tabs>
        <w:ind w:left="720" w:hanging="360"/>
      </w:pPr>
      <w:rPr>
        <w:rFonts w:ascii="Arial" w:hAnsi="Arial" w:hint="default"/>
      </w:rPr>
    </w:lvl>
    <w:lvl w:ilvl="1" w:tplc="300E06D2" w:tentative="1">
      <w:start w:val="1"/>
      <w:numFmt w:val="bullet"/>
      <w:lvlText w:val="•"/>
      <w:lvlJc w:val="left"/>
      <w:pPr>
        <w:tabs>
          <w:tab w:val="num" w:pos="1440"/>
        </w:tabs>
        <w:ind w:left="1440" w:hanging="360"/>
      </w:pPr>
      <w:rPr>
        <w:rFonts w:ascii="Arial" w:hAnsi="Arial" w:hint="default"/>
      </w:rPr>
    </w:lvl>
    <w:lvl w:ilvl="2" w:tplc="22964E4E" w:tentative="1">
      <w:start w:val="1"/>
      <w:numFmt w:val="bullet"/>
      <w:lvlText w:val="•"/>
      <w:lvlJc w:val="left"/>
      <w:pPr>
        <w:tabs>
          <w:tab w:val="num" w:pos="2160"/>
        </w:tabs>
        <w:ind w:left="2160" w:hanging="360"/>
      </w:pPr>
      <w:rPr>
        <w:rFonts w:ascii="Arial" w:hAnsi="Arial" w:hint="default"/>
      </w:rPr>
    </w:lvl>
    <w:lvl w:ilvl="3" w:tplc="9468C43C" w:tentative="1">
      <w:start w:val="1"/>
      <w:numFmt w:val="bullet"/>
      <w:lvlText w:val="•"/>
      <w:lvlJc w:val="left"/>
      <w:pPr>
        <w:tabs>
          <w:tab w:val="num" w:pos="2880"/>
        </w:tabs>
        <w:ind w:left="2880" w:hanging="360"/>
      </w:pPr>
      <w:rPr>
        <w:rFonts w:ascii="Arial" w:hAnsi="Arial" w:hint="default"/>
      </w:rPr>
    </w:lvl>
    <w:lvl w:ilvl="4" w:tplc="E2DC9110" w:tentative="1">
      <w:start w:val="1"/>
      <w:numFmt w:val="bullet"/>
      <w:lvlText w:val="•"/>
      <w:lvlJc w:val="left"/>
      <w:pPr>
        <w:tabs>
          <w:tab w:val="num" w:pos="3600"/>
        </w:tabs>
        <w:ind w:left="3600" w:hanging="360"/>
      </w:pPr>
      <w:rPr>
        <w:rFonts w:ascii="Arial" w:hAnsi="Arial" w:hint="default"/>
      </w:rPr>
    </w:lvl>
    <w:lvl w:ilvl="5" w:tplc="A17A4B40" w:tentative="1">
      <w:start w:val="1"/>
      <w:numFmt w:val="bullet"/>
      <w:lvlText w:val="•"/>
      <w:lvlJc w:val="left"/>
      <w:pPr>
        <w:tabs>
          <w:tab w:val="num" w:pos="4320"/>
        </w:tabs>
        <w:ind w:left="4320" w:hanging="360"/>
      </w:pPr>
      <w:rPr>
        <w:rFonts w:ascii="Arial" w:hAnsi="Arial" w:hint="default"/>
      </w:rPr>
    </w:lvl>
    <w:lvl w:ilvl="6" w:tplc="67303076" w:tentative="1">
      <w:start w:val="1"/>
      <w:numFmt w:val="bullet"/>
      <w:lvlText w:val="•"/>
      <w:lvlJc w:val="left"/>
      <w:pPr>
        <w:tabs>
          <w:tab w:val="num" w:pos="5040"/>
        </w:tabs>
        <w:ind w:left="5040" w:hanging="360"/>
      </w:pPr>
      <w:rPr>
        <w:rFonts w:ascii="Arial" w:hAnsi="Arial" w:hint="default"/>
      </w:rPr>
    </w:lvl>
    <w:lvl w:ilvl="7" w:tplc="70026998" w:tentative="1">
      <w:start w:val="1"/>
      <w:numFmt w:val="bullet"/>
      <w:lvlText w:val="•"/>
      <w:lvlJc w:val="left"/>
      <w:pPr>
        <w:tabs>
          <w:tab w:val="num" w:pos="5760"/>
        </w:tabs>
        <w:ind w:left="5760" w:hanging="360"/>
      </w:pPr>
      <w:rPr>
        <w:rFonts w:ascii="Arial" w:hAnsi="Arial" w:hint="default"/>
      </w:rPr>
    </w:lvl>
    <w:lvl w:ilvl="8" w:tplc="45B0F1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2C0A65"/>
    <w:multiLevelType w:val="multilevel"/>
    <w:tmpl w:val="E10040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A4389B"/>
    <w:multiLevelType w:val="hybridMultilevel"/>
    <w:tmpl w:val="8996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DE4A90"/>
    <w:multiLevelType w:val="multilevel"/>
    <w:tmpl w:val="62F8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6055CE"/>
    <w:multiLevelType w:val="hybridMultilevel"/>
    <w:tmpl w:val="015A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9954AE"/>
    <w:multiLevelType w:val="hybridMultilevel"/>
    <w:tmpl w:val="B94E60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6350D4"/>
    <w:multiLevelType w:val="hybridMultilevel"/>
    <w:tmpl w:val="4728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5D47EC"/>
    <w:multiLevelType w:val="hybridMultilevel"/>
    <w:tmpl w:val="585C3000"/>
    <w:lvl w:ilvl="0" w:tplc="D25C9C08">
      <w:start w:val="16"/>
      <w:numFmt w:val="bullet"/>
      <w:lvlText w:val="﷒"/>
      <w:lvlJc w:val="left"/>
      <w:pPr>
        <w:ind w:left="7410" w:hanging="7050"/>
      </w:pPr>
      <w:rPr>
        <w:rFonts w:ascii="Lora SemiBold" w:eastAsiaTheme="majorEastAsia" w:hAnsi="Lora SemiBold"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113496"/>
    <w:multiLevelType w:val="multilevel"/>
    <w:tmpl w:val="61FEE3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0804788"/>
    <w:multiLevelType w:val="hybridMultilevel"/>
    <w:tmpl w:val="CA98C946"/>
    <w:lvl w:ilvl="0" w:tplc="335CC212">
      <w:start w:val="1"/>
      <w:numFmt w:val="bullet"/>
      <w:lvlText w:val="•"/>
      <w:lvlJc w:val="left"/>
      <w:pPr>
        <w:tabs>
          <w:tab w:val="num" w:pos="720"/>
        </w:tabs>
        <w:ind w:left="720" w:hanging="360"/>
      </w:pPr>
      <w:rPr>
        <w:rFonts w:ascii="Arial" w:hAnsi="Arial" w:hint="default"/>
      </w:rPr>
    </w:lvl>
    <w:lvl w:ilvl="1" w:tplc="BCC461BC" w:tentative="1">
      <w:start w:val="1"/>
      <w:numFmt w:val="bullet"/>
      <w:lvlText w:val="•"/>
      <w:lvlJc w:val="left"/>
      <w:pPr>
        <w:tabs>
          <w:tab w:val="num" w:pos="1440"/>
        </w:tabs>
        <w:ind w:left="1440" w:hanging="360"/>
      </w:pPr>
      <w:rPr>
        <w:rFonts w:ascii="Arial" w:hAnsi="Arial" w:hint="default"/>
      </w:rPr>
    </w:lvl>
    <w:lvl w:ilvl="2" w:tplc="BD727500" w:tentative="1">
      <w:start w:val="1"/>
      <w:numFmt w:val="bullet"/>
      <w:lvlText w:val="•"/>
      <w:lvlJc w:val="left"/>
      <w:pPr>
        <w:tabs>
          <w:tab w:val="num" w:pos="2160"/>
        </w:tabs>
        <w:ind w:left="2160" w:hanging="360"/>
      </w:pPr>
      <w:rPr>
        <w:rFonts w:ascii="Arial" w:hAnsi="Arial" w:hint="default"/>
      </w:rPr>
    </w:lvl>
    <w:lvl w:ilvl="3" w:tplc="073CCF7C" w:tentative="1">
      <w:start w:val="1"/>
      <w:numFmt w:val="bullet"/>
      <w:lvlText w:val="•"/>
      <w:lvlJc w:val="left"/>
      <w:pPr>
        <w:tabs>
          <w:tab w:val="num" w:pos="2880"/>
        </w:tabs>
        <w:ind w:left="2880" w:hanging="360"/>
      </w:pPr>
      <w:rPr>
        <w:rFonts w:ascii="Arial" w:hAnsi="Arial" w:hint="default"/>
      </w:rPr>
    </w:lvl>
    <w:lvl w:ilvl="4" w:tplc="477826EC" w:tentative="1">
      <w:start w:val="1"/>
      <w:numFmt w:val="bullet"/>
      <w:lvlText w:val="•"/>
      <w:lvlJc w:val="left"/>
      <w:pPr>
        <w:tabs>
          <w:tab w:val="num" w:pos="3600"/>
        </w:tabs>
        <w:ind w:left="3600" w:hanging="360"/>
      </w:pPr>
      <w:rPr>
        <w:rFonts w:ascii="Arial" w:hAnsi="Arial" w:hint="default"/>
      </w:rPr>
    </w:lvl>
    <w:lvl w:ilvl="5" w:tplc="70F021D4" w:tentative="1">
      <w:start w:val="1"/>
      <w:numFmt w:val="bullet"/>
      <w:lvlText w:val="•"/>
      <w:lvlJc w:val="left"/>
      <w:pPr>
        <w:tabs>
          <w:tab w:val="num" w:pos="4320"/>
        </w:tabs>
        <w:ind w:left="4320" w:hanging="360"/>
      </w:pPr>
      <w:rPr>
        <w:rFonts w:ascii="Arial" w:hAnsi="Arial" w:hint="default"/>
      </w:rPr>
    </w:lvl>
    <w:lvl w:ilvl="6" w:tplc="1C544696" w:tentative="1">
      <w:start w:val="1"/>
      <w:numFmt w:val="bullet"/>
      <w:lvlText w:val="•"/>
      <w:lvlJc w:val="left"/>
      <w:pPr>
        <w:tabs>
          <w:tab w:val="num" w:pos="5040"/>
        </w:tabs>
        <w:ind w:left="5040" w:hanging="360"/>
      </w:pPr>
      <w:rPr>
        <w:rFonts w:ascii="Arial" w:hAnsi="Arial" w:hint="default"/>
      </w:rPr>
    </w:lvl>
    <w:lvl w:ilvl="7" w:tplc="3B06BE4C" w:tentative="1">
      <w:start w:val="1"/>
      <w:numFmt w:val="bullet"/>
      <w:lvlText w:val="•"/>
      <w:lvlJc w:val="left"/>
      <w:pPr>
        <w:tabs>
          <w:tab w:val="num" w:pos="5760"/>
        </w:tabs>
        <w:ind w:left="5760" w:hanging="360"/>
      </w:pPr>
      <w:rPr>
        <w:rFonts w:ascii="Arial" w:hAnsi="Arial" w:hint="default"/>
      </w:rPr>
    </w:lvl>
    <w:lvl w:ilvl="8" w:tplc="DE7A8A2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1386A4E"/>
    <w:multiLevelType w:val="hybridMultilevel"/>
    <w:tmpl w:val="175682C0"/>
    <w:lvl w:ilvl="0" w:tplc="674ADF84">
      <w:start w:val="1"/>
      <w:numFmt w:val="bullet"/>
      <w:lvlText w:val="•"/>
      <w:lvlJc w:val="left"/>
      <w:pPr>
        <w:tabs>
          <w:tab w:val="num" w:pos="720"/>
        </w:tabs>
        <w:ind w:left="720" w:hanging="360"/>
      </w:pPr>
      <w:rPr>
        <w:rFonts w:ascii="Arial" w:hAnsi="Arial" w:hint="default"/>
      </w:rPr>
    </w:lvl>
    <w:lvl w:ilvl="1" w:tplc="4DC86900" w:tentative="1">
      <w:start w:val="1"/>
      <w:numFmt w:val="bullet"/>
      <w:lvlText w:val="•"/>
      <w:lvlJc w:val="left"/>
      <w:pPr>
        <w:tabs>
          <w:tab w:val="num" w:pos="1440"/>
        </w:tabs>
        <w:ind w:left="1440" w:hanging="360"/>
      </w:pPr>
      <w:rPr>
        <w:rFonts w:ascii="Arial" w:hAnsi="Arial" w:hint="default"/>
      </w:rPr>
    </w:lvl>
    <w:lvl w:ilvl="2" w:tplc="BC942D26" w:tentative="1">
      <w:start w:val="1"/>
      <w:numFmt w:val="bullet"/>
      <w:lvlText w:val="•"/>
      <w:lvlJc w:val="left"/>
      <w:pPr>
        <w:tabs>
          <w:tab w:val="num" w:pos="2160"/>
        </w:tabs>
        <w:ind w:left="2160" w:hanging="360"/>
      </w:pPr>
      <w:rPr>
        <w:rFonts w:ascii="Arial" w:hAnsi="Arial" w:hint="default"/>
      </w:rPr>
    </w:lvl>
    <w:lvl w:ilvl="3" w:tplc="9B1E65A0" w:tentative="1">
      <w:start w:val="1"/>
      <w:numFmt w:val="bullet"/>
      <w:lvlText w:val="•"/>
      <w:lvlJc w:val="left"/>
      <w:pPr>
        <w:tabs>
          <w:tab w:val="num" w:pos="2880"/>
        </w:tabs>
        <w:ind w:left="2880" w:hanging="360"/>
      </w:pPr>
      <w:rPr>
        <w:rFonts w:ascii="Arial" w:hAnsi="Arial" w:hint="default"/>
      </w:rPr>
    </w:lvl>
    <w:lvl w:ilvl="4" w:tplc="18C0F33C" w:tentative="1">
      <w:start w:val="1"/>
      <w:numFmt w:val="bullet"/>
      <w:lvlText w:val="•"/>
      <w:lvlJc w:val="left"/>
      <w:pPr>
        <w:tabs>
          <w:tab w:val="num" w:pos="3600"/>
        </w:tabs>
        <w:ind w:left="3600" w:hanging="360"/>
      </w:pPr>
      <w:rPr>
        <w:rFonts w:ascii="Arial" w:hAnsi="Arial" w:hint="default"/>
      </w:rPr>
    </w:lvl>
    <w:lvl w:ilvl="5" w:tplc="FA7E3604" w:tentative="1">
      <w:start w:val="1"/>
      <w:numFmt w:val="bullet"/>
      <w:lvlText w:val="•"/>
      <w:lvlJc w:val="left"/>
      <w:pPr>
        <w:tabs>
          <w:tab w:val="num" w:pos="4320"/>
        </w:tabs>
        <w:ind w:left="4320" w:hanging="360"/>
      </w:pPr>
      <w:rPr>
        <w:rFonts w:ascii="Arial" w:hAnsi="Arial" w:hint="default"/>
      </w:rPr>
    </w:lvl>
    <w:lvl w:ilvl="6" w:tplc="AC6A1316" w:tentative="1">
      <w:start w:val="1"/>
      <w:numFmt w:val="bullet"/>
      <w:lvlText w:val="•"/>
      <w:lvlJc w:val="left"/>
      <w:pPr>
        <w:tabs>
          <w:tab w:val="num" w:pos="5040"/>
        </w:tabs>
        <w:ind w:left="5040" w:hanging="360"/>
      </w:pPr>
      <w:rPr>
        <w:rFonts w:ascii="Arial" w:hAnsi="Arial" w:hint="default"/>
      </w:rPr>
    </w:lvl>
    <w:lvl w:ilvl="7" w:tplc="AEDA6658" w:tentative="1">
      <w:start w:val="1"/>
      <w:numFmt w:val="bullet"/>
      <w:lvlText w:val="•"/>
      <w:lvlJc w:val="left"/>
      <w:pPr>
        <w:tabs>
          <w:tab w:val="num" w:pos="5760"/>
        </w:tabs>
        <w:ind w:left="5760" w:hanging="360"/>
      </w:pPr>
      <w:rPr>
        <w:rFonts w:ascii="Arial" w:hAnsi="Arial" w:hint="default"/>
      </w:rPr>
    </w:lvl>
    <w:lvl w:ilvl="8" w:tplc="A7A8445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5A370B3"/>
    <w:multiLevelType w:val="hybridMultilevel"/>
    <w:tmpl w:val="CA82518C"/>
    <w:lvl w:ilvl="0" w:tplc="C2A2670A">
      <w:start w:val="1"/>
      <w:numFmt w:val="bullet"/>
      <w:lvlText w:val="•"/>
      <w:lvlJc w:val="left"/>
      <w:pPr>
        <w:tabs>
          <w:tab w:val="num" w:pos="720"/>
        </w:tabs>
        <w:ind w:left="720" w:hanging="360"/>
      </w:pPr>
      <w:rPr>
        <w:rFonts w:ascii="Arial" w:hAnsi="Arial" w:hint="default"/>
      </w:rPr>
    </w:lvl>
    <w:lvl w:ilvl="1" w:tplc="8BB4DCA6" w:tentative="1">
      <w:start w:val="1"/>
      <w:numFmt w:val="bullet"/>
      <w:lvlText w:val="•"/>
      <w:lvlJc w:val="left"/>
      <w:pPr>
        <w:tabs>
          <w:tab w:val="num" w:pos="1440"/>
        </w:tabs>
        <w:ind w:left="1440" w:hanging="360"/>
      </w:pPr>
      <w:rPr>
        <w:rFonts w:ascii="Arial" w:hAnsi="Arial" w:hint="default"/>
      </w:rPr>
    </w:lvl>
    <w:lvl w:ilvl="2" w:tplc="5874B65A" w:tentative="1">
      <w:start w:val="1"/>
      <w:numFmt w:val="bullet"/>
      <w:lvlText w:val="•"/>
      <w:lvlJc w:val="left"/>
      <w:pPr>
        <w:tabs>
          <w:tab w:val="num" w:pos="2160"/>
        </w:tabs>
        <w:ind w:left="2160" w:hanging="360"/>
      </w:pPr>
      <w:rPr>
        <w:rFonts w:ascii="Arial" w:hAnsi="Arial" w:hint="default"/>
      </w:rPr>
    </w:lvl>
    <w:lvl w:ilvl="3" w:tplc="3220537C" w:tentative="1">
      <w:start w:val="1"/>
      <w:numFmt w:val="bullet"/>
      <w:lvlText w:val="•"/>
      <w:lvlJc w:val="left"/>
      <w:pPr>
        <w:tabs>
          <w:tab w:val="num" w:pos="2880"/>
        </w:tabs>
        <w:ind w:left="2880" w:hanging="360"/>
      </w:pPr>
      <w:rPr>
        <w:rFonts w:ascii="Arial" w:hAnsi="Arial" w:hint="default"/>
      </w:rPr>
    </w:lvl>
    <w:lvl w:ilvl="4" w:tplc="105CFD04" w:tentative="1">
      <w:start w:val="1"/>
      <w:numFmt w:val="bullet"/>
      <w:lvlText w:val="•"/>
      <w:lvlJc w:val="left"/>
      <w:pPr>
        <w:tabs>
          <w:tab w:val="num" w:pos="3600"/>
        </w:tabs>
        <w:ind w:left="3600" w:hanging="360"/>
      </w:pPr>
      <w:rPr>
        <w:rFonts w:ascii="Arial" w:hAnsi="Arial" w:hint="default"/>
      </w:rPr>
    </w:lvl>
    <w:lvl w:ilvl="5" w:tplc="0862E844" w:tentative="1">
      <w:start w:val="1"/>
      <w:numFmt w:val="bullet"/>
      <w:lvlText w:val="•"/>
      <w:lvlJc w:val="left"/>
      <w:pPr>
        <w:tabs>
          <w:tab w:val="num" w:pos="4320"/>
        </w:tabs>
        <w:ind w:left="4320" w:hanging="360"/>
      </w:pPr>
      <w:rPr>
        <w:rFonts w:ascii="Arial" w:hAnsi="Arial" w:hint="default"/>
      </w:rPr>
    </w:lvl>
    <w:lvl w:ilvl="6" w:tplc="1BCCAC74" w:tentative="1">
      <w:start w:val="1"/>
      <w:numFmt w:val="bullet"/>
      <w:lvlText w:val="•"/>
      <w:lvlJc w:val="left"/>
      <w:pPr>
        <w:tabs>
          <w:tab w:val="num" w:pos="5040"/>
        </w:tabs>
        <w:ind w:left="5040" w:hanging="360"/>
      </w:pPr>
      <w:rPr>
        <w:rFonts w:ascii="Arial" w:hAnsi="Arial" w:hint="default"/>
      </w:rPr>
    </w:lvl>
    <w:lvl w:ilvl="7" w:tplc="59465B48" w:tentative="1">
      <w:start w:val="1"/>
      <w:numFmt w:val="bullet"/>
      <w:lvlText w:val="•"/>
      <w:lvlJc w:val="left"/>
      <w:pPr>
        <w:tabs>
          <w:tab w:val="num" w:pos="5760"/>
        </w:tabs>
        <w:ind w:left="5760" w:hanging="360"/>
      </w:pPr>
      <w:rPr>
        <w:rFonts w:ascii="Arial" w:hAnsi="Arial" w:hint="default"/>
      </w:rPr>
    </w:lvl>
    <w:lvl w:ilvl="8" w:tplc="34366E4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F22F59"/>
    <w:multiLevelType w:val="hybridMultilevel"/>
    <w:tmpl w:val="54C2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31C56"/>
    <w:multiLevelType w:val="hybridMultilevel"/>
    <w:tmpl w:val="9DA07010"/>
    <w:lvl w:ilvl="0" w:tplc="760895F6">
      <w:start w:val="1"/>
      <w:numFmt w:val="decimal"/>
      <w:lvlText w:val="%1."/>
      <w:lvlJc w:val="left"/>
      <w:pPr>
        <w:tabs>
          <w:tab w:val="num" w:pos="720"/>
        </w:tabs>
        <w:ind w:left="720" w:hanging="360"/>
      </w:pPr>
    </w:lvl>
    <w:lvl w:ilvl="1" w:tplc="940C3418" w:tentative="1">
      <w:start w:val="1"/>
      <w:numFmt w:val="decimal"/>
      <w:lvlText w:val="%2."/>
      <w:lvlJc w:val="left"/>
      <w:pPr>
        <w:tabs>
          <w:tab w:val="num" w:pos="1440"/>
        </w:tabs>
        <w:ind w:left="1440" w:hanging="360"/>
      </w:pPr>
    </w:lvl>
    <w:lvl w:ilvl="2" w:tplc="CB5AFB64" w:tentative="1">
      <w:start w:val="1"/>
      <w:numFmt w:val="decimal"/>
      <w:lvlText w:val="%3."/>
      <w:lvlJc w:val="left"/>
      <w:pPr>
        <w:tabs>
          <w:tab w:val="num" w:pos="2160"/>
        </w:tabs>
        <w:ind w:left="2160" w:hanging="360"/>
      </w:pPr>
    </w:lvl>
    <w:lvl w:ilvl="3" w:tplc="DF6A6282" w:tentative="1">
      <w:start w:val="1"/>
      <w:numFmt w:val="decimal"/>
      <w:lvlText w:val="%4."/>
      <w:lvlJc w:val="left"/>
      <w:pPr>
        <w:tabs>
          <w:tab w:val="num" w:pos="2880"/>
        </w:tabs>
        <w:ind w:left="2880" w:hanging="360"/>
      </w:pPr>
    </w:lvl>
    <w:lvl w:ilvl="4" w:tplc="A112C796" w:tentative="1">
      <w:start w:val="1"/>
      <w:numFmt w:val="decimal"/>
      <w:lvlText w:val="%5."/>
      <w:lvlJc w:val="left"/>
      <w:pPr>
        <w:tabs>
          <w:tab w:val="num" w:pos="3600"/>
        </w:tabs>
        <w:ind w:left="3600" w:hanging="360"/>
      </w:pPr>
    </w:lvl>
    <w:lvl w:ilvl="5" w:tplc="50D0BFB8" w:tentative="1">
      <w:start w:val="1"/>
      <w:numFmt w:val="decimal"/>
      <w:lvlText w:val="%6."/>
      <w:lvlJc w:val="left"/>
      <w:pPr>
        <w:tabs>
          <w:tab w:val="num" w:pos="4320"/>
        </w:tabs>
        <w:ind w:left="4320" w:hanging="360"/>
      </w:pPr>
    </w:lvl>
    <w:lvl w:ilvl="6" w:tplc="74D24008" w:tentative="1">
      <w:start w:val="1"/>
      <w:numFmt w:val="decimal"/>
      <w:lvlText w:val="%7."/>
      <w:lvlJc w:val="left"/>
      <w:pPr>
        <w:tabs>
          <w:tab w:val="num" w:pos="5040"/>
        </w:tabs>
        <w:ind w:left="5040" w:hanging="360"/>
      </w:pPr>
    </w:lvl>
    <w:lvl w:ilvl="7" w:tplc="FA7AD97E" w:tentative="1">
      <w:start w:val="1"/>
      <w:numFmt w:val="decimal"/>
      <w:lvlText w:val="%8."/>
      <w:lvlJc w:val="left"/>
      <w:pPr>
        <w:tabs>
          <w:tab w:val="num" w:pos="5760"/>
        </w:tabs>
        <w:ind w:left="5760" w:hanging="360"/>
      </w:pPr>
    </w:lvl>
    <w:lvl w:ilvl="8" w:tplc="67A218F0" w:tentative="1">
      <w:start w:val="1"/>
      <w:numFmt w:val="decimal"/>
      <w:lvlText w:val="%9."/>
      <w:lvlJc w:val="left"/>
      <w:pPr>
        <w:tabs>
          <w:tab w:val="num" w:pos="6480"/>
        </w:tabs>
        <w:ind w:left="6480" w:hanging="360"/>
      </w:pPr>
    </w:lvl>
  </w:abstractNum>
  <w:abstractNum w:abstractNumId="40" w15:restartNumberingAfterBreak="0">
    <w:nsid w:val="6BC24461"/>
    <w:multiLevelType w:val="hybridMultilevel"/>
    <w:tmpl w:val="DAAC9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A23E87"/>
    <w:multiLevelType w:val="hybridMultilevel"/>
    <w:tmpl w:val="260E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3" w15:restartNumberingAfterBreak="0">
    <w:nsid w:val="6EA917B2"/>
    <w:multiLevelType w:val="hybridMultilevel"/>
    <w:tmpl w:val="88861626"/>
    <w:lvl w:ilvl="0" w:tplc="FB5CA706">
      <w:start w:val="1"/>
      <w:numFmt w:val="bullet"/>
      <w:lvlText w:val="•"/>
      <w:lvlJc w:val="left"/>
      <w:pPr>
        <w:tabs>
          <w:tab w:val="num" w:pos="720"/>
        </w:tabs>
        <w:ind w:left="720" w:hanging="360"/>
      </w:pPr>
      <w:rPr>
        <w:rFonts w:ascii="Arial" w:hAnsi="Arial" w:hint="default"/>
      </w:rPr>
    </w:lvl>
    <w:lvl w:ilvl="1" w:tplc="061CC240" w:tentative="1">
      <w:start w:val="1"/>
      <w:numFmt w:val="bullet"/>
      <w:lvlText w:val="•"/>
      <w:lvlJc w:val="left"/>
      <w:pPr>
        <w:tabs>
          <w:tab w:val="num" w:pos="1440"/>
        </w:tabs>
        <w:ind w:left="1440" w:hanging="360"/>
      </w:pPr>
      <w:rPr>
        <w:rFonts w:ascii="Arial" w:hAnsi="Arial" w:hint="default"/>
      </w:rPr>
    </w:lvl>
    <w:lvl w:ilvl="2" w:tplc="A10AACE8" w:tentative="1">
      <w:start w:val="1"/>
      <w:numFmt w:val="bullet"/>
      <w:lvlText w:val="•"/>
      <w:lvlJc w:val="left"/>
      <w:pPr>
        <w:tabs>
          <w:tab w:val="num" w:pos="2160"/>
        </w:tabs>
        <w:ind w:left="2160" w:hanging="360"/>
      </w:pPr>
      <w:rPr>
        <w:rFonts w:ascii="Arial" w:hAnsi="Arial" w:hint="default"/>
      </w:rPr>
    </w:lvl>
    <w:lvl w:ilvl="3" w:tplc="D86E8D36" w:tentative="1">
      <w:start w:val="1"/>
      <w:numFmt w:val="bullet"/>
      <w:lvlText w:val="•"/>
      <w:lvlJc w:val="left"/>
      <w:pPr>
        <w:tabs>
          <w:tab w:val="num" w:pos="2880"/>
        </w:tabs>
        <w:ind w:left="2880" w:hanging="360"/>
      </w:pPr>
      <w:rPr>
        <w:rFonts w:ascii="Arial" w:hAnsi="Arial" w:hint="default"/>
      </w:rPr>
    </w:lvl>
    <w:lvl w:ilvl="4" w:tplc="C17EA2EA" w:tentative="1">
      <w:start w:val="1"/>
      <w:numFmt w:val="bullet"/>
      <w:lvlText w:val="•"/>
      <w:lvlJc w:val="left"/>
      <w:pPr>
        <w:tabs>
          <w:tab w:val="num" w:pos="3600"/>
        </w:tabs>
        <w:ind w:left="3600" w:hanging="360"/>
      </w:pPr>
      <w:rPr>
        <w:rFonts w:ascii="Arial" w:hAnsi="Arial" w:hint="default"/>
      </w:rPr>
    </w:lvl>
    <w:lvl w:ilvl="5" w:tplc="58B45500" w:tentative="1">
      <w:start w:val="1"/>
      <w:numFmt w:val="bullet"/>
      <w:lvlText w:val="•"/>
      <w:lvlJc w:val="left"/>
      <w:pPr>
        <w:tabs>
          <w:tab w:val="num" w:pos="4320"/>
        </w:tabs>
        <w:ind w:left="4320" w:hanging="360"/>
      </w:pPr>
      <w:rPr>
        <w:rFonts w:ascii="Arial" w:hAnsi="Arial" w:hint="default"/>
      </w:rPr>
    </w:lvl>
    <w:lvl w:ilvl="6" w:tplc="3648CD56" w:tentative="1">
      <w:start w:val="1"/>
      <w:numFmt w:val="bullet"/>
      <w:lvlText w:val="•"/>
      <w:lvlJc w:val="left"/>
      <w:pPr>
        <w:tabs>
          <w:tab w:val="num" w:pos="5040"/>
        </w:tabs>
        <w:ind w:left="5040" w:hanging="360"/>
      </w:pPr>
      <w:rPr>
        <w:rFonts w:ascii="Arial" w:hAnsi="Arial" w:hint="default"/>
      </w:rPr>
    </w:lvl>
    <w:lvl w:ilvl="7" w:tplc="D40A3940" w:tentative="1">
      <w:start w:val="1"/>
      <w:numFmt w:val="bullet"/>
      <w:lvlText w:val="•"/>
      <w:lvlJc w:val="left"/>
      <w:pPr>
        <w:tabs>
          <w:tab w:val="num" w:pos="5760"/>
        </w:tabs>
        <w:ind w:left="5760" w:hanging="360"/>
      </w:pPr>
      <w:rPr>
        <w:rFonts w:ascii="Arial" w:hAnsi="Arial" w:hint="default"/>
      </w:rPr>
    </w:lvl>
    <w:lvl w:ilvl="8" w:tplc="9D2C457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2614947"/>
    <w:multiLevelType w:val="hybridMultilevel"/>
    <w:tmpl w:val="BC602870"/>
    <w:lvl w:ilvl="0" w:tplc="2E34D0DA">
      <w:numFmt w:val="bullet"/>
      <w:lvlText w:val="-"/>
      <w:lvlJc w:val="left"/>
      <w:pPr>
        <w:ind w:left="720" w:hanging="360"/>
      </w:pPr>
      <w:rPr>
        <w:rFonts w:ascii="Inter" w:eastAsiaTheme="minorEastAsia" w:hAnsi="Inte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72916"/>
    <w:multiLevelType w:val="hybridMultilevel"/>
    <w:tmpl w:val="E4F2AF7A"/>
    <w:lvl w:ilvl="0" w:tplc="C4C06B86">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16702">
    <w:abstractNumId w:val="29"/>
  </w:num>
  <w:num w:numId="2" w16cid:durableId="1595244151">
    <w:abstractNumId w:val="37"/>
  </w:num>
  <w:num w:numId="3" w16cid:durableId="368646558">
    <w:abstractNumId w:val="15"/>
  </w:num>
  <w:num w:numId="4" w16cid:durableId="534393170">
    <w:abstractNumId w:val="36"/>
  </w:num>
  <w:num w:numId="5" w16cid:durableId="609512517">
    <w:abstractNumId w:val="42"/>
  </w:num>
  <w:num w:numId="6" w16cid:durableId="399059138">
    <w:abstractNumId w:val="32"/>
  </w:num>
  <w:num w:numId="7" w16cid:durableId="849023906">
    <w:abstractNumId w:val="28"/>
  </w:num>
  <w:num w:numId="8" w16cid:durableId="946040479">
    <w:abstractNumId w:val="33"/>
  </w:num>
  <w:num w:numId="9" w16cid:durableId="1278097203">
    <w:abstractNumId w:val="34"/>
  </w:num>
  <w:num w:numId="10" w16cid:durableId="1227301571">
    <w:abstractNumId w:val="43"/>
  </w:num>
  <w:num w:numId="11" w16cid:durableId="1732265747">
    <w:abstractNumId w:val="8"/>
  </w:num>
  <w:num w:numId="12" w16cid:durableId="1544488991">
    <w:abstractNumId w:val="23"/>
  </w:num>
  <w:num w:numId="13" w16cid:durableId="1822506129">
    <w:abstractNumId w:val="16"/>
  </w:num>
  <w:num w:numId="14" w16cid:durableId="104158674">
    <w:abstractNumId w:val="7"/>
  </w:num>
  <w:num w:numId="15" w16cid:durableId="582882476">
    <w:abstractNumId w:val="4"/>
  </w:num>
  <w:num w:numId="16" w16cid:durableId="1946111950">
    <w:abstractNumId w:val="32"/>
  </w:num>
  <w:num w:numId="17" w16cid:durableId="1588542446">
    <w:abstractNumId w:val="20"/>
  </w:num>
  <w:num w:numId="18" w16cid:durableId="63458139">
    <w:abstractNumId w:val="39"/>
  </w:num>
  <w:num w:numId="19" w16cid:durableId="1626620090">
    <w:abstractNumId w:val="26"/>
  </w:num>
  <w:num w:numId="20" w16cid:durableId="1477409466">
    <w:abstractNumId w:val="44"/>
  </w:num>
  <w:num w:numId="21" w16cid:durableId="1980451165">
    <w:abstractNumId w:val="32"/>
  </w:num>
  <w:num w:numId="22" w16cid:durableId="573319102">
    <w:abstractNumId w:val="41"/>
  </w:num>
  <w:num w:numId="23" w16cid:durableId="1990933771">
    <w:abstractNumId w:val="1"/>
  </w:num>
  <w:num w:numId="24" w16cid:durableId="56515731">
    <w:abstractNumId w:val="0"/>
  </w:num>
  <w:num w:numId="25" w16cid:durableId="129133571">
    <w:abstractNumId w:val="1"/>
  </w:num>
  <w:num w:numId="26" w16cid:durableId="1104228237">
    <w:abstractNumId w:val="1"/>
  </w:num>
  <w:num w:numId="27" w16cid:durableId="953942565">
    <w:abstractNumId w:val="1"/>
  </w:num>
  <w:num w:numId="28" w16cid:durableId="799423718">
    <w:abstractNumId w:val="1"/>
  </w:num>
  <w:num w:numId="29" w16cid:durableId="931551749">
    <w:abstractNumId w:val="13"/>
  </w:num>
  <w:num w:numId="30" w16cid:durableId="885069885">
    <w:abstractNumId w:val="3"/>
  </w:num>
  <w:num w:numId="31" w16cid:durableId="922908977">
    <w:abstractNumId w:val="32"/>
  </w:num>
  <w:num w:numId="32" w16cid:durableId="2143494042">
    <w:abstractNumId w:val="32"/>
  </w:num>
  <w:num w:numId="33" w16cid:durableId="310523823">
    <w:abstractNumId w:val="32"/>
  </w:num>
  <w:num w:numId="34" w16cid:durableId="1334919952">
    <w:abstractNumId w:val="32"/>
  </w:num>
  <w:num w:numId="35" w16cid:durableId="1094671181">
    <w:abstractNumId w:val="32"/>
  </w:num>
  <w:num w:numId="36" w16cid:durableId="423065226">
    <w:abstractNumId w:val="32"/>
  </w:num>
  <w:num w:numId="37" w16cid:durableId="796334544">
    <w:abstractNumId w:val="22"/>
  </w:num>
  <w:num w:numId="38" w16cid:durableId="1595355759">
    <w:abstractNumId w:val="32"/>
  </w:num>
  <w:num w:numId="39" w16cid:durableId="1836218137">
    <w:abstractNumId w:val="24"/>
  </w:num>
  <w:num w:numId="40" w16cid:durableId="1807309533">
    <w:abstractNumId w:val="17"/>
  </w:num>
  <w:num w:numId="41" w16cid:durableId="1325162658">
    <w:abstractNumId w:val="2"/>
  </w:num>
  <w:num w:numId="42" w16cid:durableId="1878735388">
    <w:abstractNumId w:val="45"/>
  </w:num>
  <w:num w:numId="43" w16cid:durableId="966467219">
    <w:abstractNumId w:val="9"/>
  </w:num>
  <w:num w:numId="44" w16cid:durableId="564805808">
    <w:abstractNumId w:val="35"/>
  </w:num>
  <w:num w:numId="45" w16cid:durableId="695693133">
    <w:abstractNumId w:val="6"/>
  </w:num>
  <w:num w:numId="46" w16cid:durableId="340395774">
    <w:abstractNumId w:val="21"/>
  </w:num>
  <w:num w:numId="47" w16cid:durableId="373772821">
    <w:abstractNumId w:val="18"/>
  </w:num>
  <w:num w:numId="48" w16cid:durableId="73741947">
    <w:abstractNumId w:val="25"/>
  </w:num>
  <w:num w:numId="49" w16cid:durableId="1209880479">
    <w:abstractNumId w:val="27"/>
  </w:num>
  <w:num w:numId="50" w16cid:durableId="1465847265">
    <w:abstractNumId w:val="14"/>
  </w:num>
  <w:num w:numId="51" w16cid:durableId="1296987793">
    <w:abstractNumId w:val="40"/>
  </w:num>
  <w:num w:numId="52" w16cid:durableId="274145130">
    <w:abstractNumId w:val="38"/>
  </w:num>
  <w:num w:numId="53" w16cid:durableId="1625690254">
    <w:abstractNumId w:val="12"/>
  </w:num>
  <w:num w:numId="54" w16cid:durableId="796875966">
    <w:abstractNumId w:val="11"/>
  </w:num>
  <w:num w:numId="55" w16cid:durableId="1998917543">
    <w:abstractNumId w:val="19"/>
  </w:num>
  <w:num w:numId="56" w16cid:durableId="558713960">
    <w:abstractNumId w:val="5"/>
  </w:num>
  <w:num w:numId="57" w16cid:durableId="187185873">
    <w:abstractNumId w:val="10"/>
  </w:num>
  <w:num w:numId="58" w16cid:durableId="2134866537">
    <w:abstractNumId w:val="30"/>
  </w:num>
  <w:num w:numId="59" w16cid:durableId="1647470784">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76"/>
    <w:rsid w:val="00000051"/>
    <w:rsid w:val="000002A5"/>
    <w:rsid w:val="00000380"/>
    <w:rsid w:val="00000DE2"/>
    <w:rsid w:val="00000E78"/>
    <w:rsid w:val="00000EDD"/>
    <w:rsid w:val="00001445"/>
    <w:rsid w:val="000018E4"/>
    <w:rsid w:val="00001B53"/>
    <w:rsid w:val="00001C89"/>
    <w:rsid w:val="00001CD5"/>
    <w:rsid w:val="000025B1"/>
    <w:rsid w:val="000025E9"/>
    <w:rsid w:val="0000269E"/>
    <w:rsid w:val="00002EC0"/>
    <w:rsid w:val="00003074"/>
    <w:rsid w:val="00003107"/>
    <w:rsid w:val="00003509"/>
    <w:rsid w:val="00003551"/>
    <w:rsid w:val="00003C22"/>
    <w:rsid w:val="00003CB0"/>
    <w:rsid w:val="00003D74"/>
    <w:rsid w:val="00003FF6"/>
    <w:rsid w:val="00004310"/>
    <w:rsid w:val="000046A8"/>
    <w:rsid w:val="0000474C"/>
    <w:rsid w:val="0000484C"/>
    <w:rsid w:val="00004C64"/>
    <w:rsid w:val="00004D42"/>
    <w:rsid w:val="00005042"/>
    <w:rsid w:val="00005350"/>
    <w:rsid w:val="000053AC"/>
    <w:rsid w:val="000053F8"/>
    <w:rsid w:val="00005BBE"/>
    <w:rsid w:val="00005BE9"/>
    <w:rsid w:val="00005EBF"/>
    <w:rsid w:val="00005ECB"/>
    <w:rsid w:val="00006609"/>
    <w:rsid w:val="00006BAB"/>
    <w:rsid w:val="00006CDF"/>
    <w:rsid w:val="000070EC"/>
    <w:rsid w:val="00007629"/>
    <w:rsid w:val="00007756"/>
    <w:rsid w:val="000077A4"/>
    <w:rsid w:val="0000783D"/>
    <w:rsid w:val="00007C97"/>
    <w:rsid w:val="00007E71"/>
    <w:rsid w:val="00010277"/>
    <w:rsid w:val="00010651"/>
    <w:rsid w:val="00010877"/>
    <w:rsid w:val="00010DC9"/>
    <w:rsid w:val="00010FA4"/>
    <w:rsid w:val="00010FC2"/>
    <w:rsid w:val="000114A3"/>
    <w:rsid w:val="00011B42"/>
    <w:rsid w:val="00011DF1"/>
    <w:rsid w:val="000120AE"/>
    <w:rsid w:val="0001223E"/>
    <w:rsid w:val="0001262F"/>
    <w:rsid w:val="00013274"/>
    <w:rsid w:val="00013787"/>
    <w:rsid w:val="000138CB"/>
    <w:rsid w:val="00013B08"/>
    <w:rsid w:val="00013FE1"/>
    <w:rsid w:val="00014196"/>
    <w:rsid w:val="000143F7"/>
    <w:rsid w:val="0001450D"/>
    <w:rsid w:val="000146BD"/>
    <w:rsid w:val="00014737"/>
    <w:rsid w:val="0001491D"/>
    <w:rsid w:val="0001496E"/>
    <w:rsid w:val="00014D79"/>
    <w:rsid w:val="000152E1"/>
    <w:rsid w:val="000154A8"/>
    <w:rsid w:val="000158CF"/>
    <w:rsid w:val="00015A4C"/>
    <w:rsid w:val="00015DB1"/>
    <w:rsid w:val="00015DE3"/>
    <w:rsid w:val="00016128"/>
    <w:rsid w:val="00016551"/>
    <w:rsid w:val="000166C2"/>
    <w:rsid w:val="000166E8"/>
    <w:rsid w:val="0001712F"/>
    <w:rsid w:val="000171B7"/>
    <w:rsid w:val="00017803"/>
    <w:rsid w:val="00017D38"/>
    <w:rsid w:val="0002037B"/>
    <w:rsid w:val="00020458"/>
    <w:rsid w:val="000204EF"/>
    <w:rsid w:val="00020511"/>
    <w:rsid w:val="000206B0"/>
    <w:rsid w:val="00020730"/>
    <w:rsid w:val="000207D0"/>
    <w:rsid w:val="000207DE"/>
    <w:rsid w:val="00020CF1"/>
    <w:rsid w:val="00020E16"/>
    <w:rsid w:val="00020E63"/>
    <w:rsid w:val="0002151F"/>
    <w:rsid w:val="00021604"/>
    <w:rsid w:val="00021C2E"/>
    <w:rsid w:val="00021F82"/>
    <w:rsid w:val="000226C7"/>
    <w:rsid w:val="000229AE"/>
    <w:rsid w:val="00022E14"/>
    <w:rsid w:val="0002340B"/>
    <w:rsid w:val="000238EB"/>
    <w:rsid w:val="00023A21"/>
    <w:rsid w:val="00023B63"/>
    <w:rsid w:val="00023D2E"/>
    <w:rsid w:val="00023E15"/>
    <w:rsid w:val="00024070"/>
    <w:rsid w:val="0002476E"/>
    <w:rsid w:val="00024879"/>
    <w:rsid w:val="00024C8D"/>
    <w:rsid w:val="00024D0A"/>
    <w:rsid w:val="00024DC3"/>
    <w:rsid w:val="00024ED3"/>
    <w:rsid w:val="00025EBE"/>
    <w:rsid w:val="000260C0"/>
    <w:rsid w:val="00026492"/>
    <w:rsid w:val="00026535"/>
    <w:rsid w:val="000266BD"/>
    <w:rsid w:val="000268C3"/>
    <w:rsid w:val="00026950"/>
    <w:rsid w:val="00026A47"/>
    <w:rsid w:val="00026AF1"/>
    <w:rsid w:val="00026B06"/>
    <w:rsid w:val="00026E6B"/>
    <w:rsid w:val="00026E9F"/>
    <w:rsid w:val="000270B6"/>
    <w:rsid w:val="00030550"/>
    <w:rsid w:val="00030571"/>
    <w:rsid w:val="000307DC"/>
    <w:rsid w:val="0003098D"/>
    <w:rsid w:val="00030A72"/>
    <w:rsid w:val="00030D5D"/>
    <w:rsid w:val="00031258"/>
    <w:rsid w:val="000312DF"/>
    <w:rsid w:val="000315F0"/>
    <w:rsid w:val="000316DB"/>
    <w:rsid w:val="00031757"/>
    <w:rsid w:val="00031DF6"/>
    <w:rsid w:val="000324DC"/>
    <w:rsid w:val="0003260D"/>
    <w:rsid w:val="00032B4F"/>
    <w:rsid w:val="00033050"/>
    <w:rsid w:val="000333D4"/>
    <w:rsid w:val="00033480"/>
    <w:rsid w:val="00033481"/>
    <w:rsid w:val="00033785"/>
    <w:rsid w:val="00033AAA"/>
    <w:rsid w:val="00033D05"/>
    <w:rsid w:val="000345B3"/>
    <w:rsid w:val="00034B43"/>
    <w:rsid w:val="0003534E"/>
    <w:rsid w:val="00035A53"/>
    <w:rsid w:val="00035B65"/>
    <w:rsid w:val="00035D6C"/>
    <w:rsid w:val="000362C1"/>
    <w:rsid w:val="0003663D"/>
    <w:rsid w:val="00036B85"/>
    <w:rsid w:val="00036D49"/>
    <w:rsid w:val="000377B3"/>
    <w:rsid w:val="00040236"/>
    <w:rsid w:val="00040366"/>
    <w:rsid w:val="000403D7"/>
    <w:rsid w:val="00040714"/>
    <w:rsid w:val="000411BD"/>
    <w:rsid w:val="000412E4"/>
    <w:rsid w:val="0004136C"/>
    <w:rsid w:val="00041421"/>
    <w:rsid w:val="0004173C"/>
    <w:rsid w:val="00041F19"/>
    <w:rsid w:val="0004202D"/>
    <w:rsid w:val="00042269"/>
    <w:rsid w:val="000422DE"/>
    <w:rsid w:val="000424C9"/>
    <w:rsid w:val="00042644"/>
    <w:rsid w:val="00042D42"/>
    <w:rsid w:val="00042DB3"/>
    <w:rsid w:val="00042DBB"/>
    <w:rsid w:val="000430B6"/>
    <w:rsid w:val="000430B9"/>
    <w:rsid w:val="000437DF"/>
    <w:rsid w:val="00043BF9"/>
    <w:rsid w:val="00043EAD"/>
    <w:rsid w:val="00043FA4"/>
    <w:rsid w:val="0004417D"/>
    <w:rsid w:val="000448B3"/>
    <w:rsid w:val="00044942"/>
    <w:rsid w:val="00044A60"/>
    <w:rsid w:val="00044C6B"/>
    <w:rsid w:val="00044E29"/>
    <w:rsid w:val="00045024"/>
    <w:rsid w:val="00045486"/>
    <w:rsid w:val="00045555"/>
    <w:rsid w:val="00046926"/>
    <w:rsid w:val="00046A1C"/>
    <w:rsid w:val="00046A38"/>
    <w:rsid w:val="00046C76"/>
    <w:rsid w:val="00046C8F"/>
    <w:rsid w:val="00046D62"/>
    <w:rsid w:val="00047027"/>
    <w:rsid w:val="000474E5"/>
    <w:rsid w:val="0004781E"/>
    <w:rsid w:val="00050098"/>
    <w:rsid w:val="00050177"/>
    <w:rsid w:val="000502D8"/>
    <w:rsid w:val="00050361"/>
    <w:rsid w:val="00050368"/>
    <w:rsid w:val="000506FC"/>
    <w:rsid w:val="00050CFB"/>
    <w:rsid w:val="00050D31"/>
    <w:rsid w:val="0005168F"/>
    <w:rsid w:val="00051AB4"/>
    <w:rsid w:val="00052A52"/>
    <w:rsid w:val="00052BC1"/>
    <w:rsid w:val="00053214"/>
    <w:rsid w:val="0005329B"/>
    <w:rsid w:val="00053543"/>
    <w:rsid w:val="0005376A"/>
    <w:rsid w:val="00053CA7"/>
    <w:rsid w:val="00053DAA"/>
    <w:rsid w:val="000545CD"/>
    <w:rsid w:val="000548A1"/>
    <w:rsid w:val="00054AC5"/>
    <w:rsid w:val="00054E2A"/>
    <w:rsid w:val="00055250"/>
    <w:rsid w:val="00055727"/>
    <w:rsid w:val="000558D1"/>
    <w:rsid w:val="00055CC9"/>
    <w:rsid w:val="00055EDA"/>
    <w:rsid w:val="000560B8"/>
    <w:rsid w:val="00056122"/>
    <w:rsid w:val="00056331"/>
    <w:rsid w:val="000568F8"/>
    <w:rsid w:val="00056B68"/>
    <w:rsid w:val="00057266"/>
    <w:rsid w:val="0005730E"/>
    <w:rsid w:val="000575AA"/>
    <w:rsid w:val="0005770A"/>
    <w:rsid w:val="000578B1"/>
    <w:rsid w:val="00057BAC"/>
    <w:rsid w:val="00057C12"/>
    <w:rsid w:val="0006101C"/>
    <w:rsid w:val="0006107A"/>
    <w:rsid w:val="00061155"/>
    <w:rsid w:val="0006116B"/>
    <w:rsid w:val="00061643"/>
    <w:rsid w:val="00061A21"/>
    <w:rsid w:val="00061CF8"/>
    <w:rsid w:val="00061E84"/>
    <w:rsid w:val="00061F85"/>
    <w:rsid w:val="000625F1"/>
    <w:rsid w:val="000629A0"/>
    <w:rsid w:val="0006334B"/>
    <w:rsid w:val="000639D8"/>
    <w:rsid w:val="00063C7B"/>
    <w:rsid w:val="00063FB4"/>
    <w:rsid w:val="0006429C"/>
    <w:rsid w:val="000645BC"/>
    <w:rsid w:val="000645DA"/>
    <w:rsid w:val="00064675"/>
    <w:rsid w:val="00064CC4"/>
    <w:rsid w:val="000653E2"/>
    <w:rsid w:val="0006577E"/>
    <w:rsid w:val="00065CCC"/>
    <w:rsid w:val="00065D02"/>
    <w:rsid w:val="00065D5E"/>
    <w:rsid w:val="00066204"/>
    <w:rsid w:val="0006635C"/>
    <w:rsid w:val="00067186"/>
    <w:rsid w:val="00067476"/>
    <w:rsid w:val="00067770"/>
    <w:rsid w:val="000677EF"/>
    <w:rsid w:val="00067B26"/>
    <w:rsid w:val="00067F38"/>
    <w:rsid w:val="00070065"/>
    <w:rsid w:val="000707C9"/>
    <w:rsid w:val="00070868"/>
    <w:rsid w:val="00070C74"/>
    <w:rsid w:val="00070D5C"/>
    <w:rsid w:val="00070E50"/>
    <w:rsid w:val="000710D9"/>
    <w:rsid w:val="00071363"/>
    <w:rsid w:val="000716E2"/>
    <w:rsid w:val="00071707"/>
    <w:rsid w:val="00071756"/>
    <w:rsid w:val="00071EDD"/>
    <w:rsid w:val="000724A7"/>
    <w:rsid w:val="0007261E"/>
    <w:rsid w:val="0007263F"/>
    <w:rsid w:val="00072955"/>
    <w:rsid w:val="00072B13"/>
    <w:rsid w:val="00072E5D"/>
    <w:rsid w:val="00073151"/>
    <w:rsid w:val="00073309"/>
    <w:rsid w:val="00073338"/>
    <w:rsid w:val="0007362C"/>
    <w:rsid w:val="00073A14"/>
    <w:rsid w:val="00073A17"/>
    <w:rsid w:val="00073E05"/>
    <w:rsid w:val="00073F4A"/>
    <w:rsid w:val="00074A42"/>
    <w:rsid w:val="00074B67"/>
    <w:rsid w:val="00074C49"/>
    <w:rsid w:val="000752CB"/>
    <w:rsid w:val="00075B99"/>
    <w:rsid w:val="00075EC3"/>
    <w:rsid w:val="00076055"/>
    <w:rsid w:val="00076C31"/>
    <w:rsid w:val="00077267"/>
    <w:rsid w:val="00077A88"/>
    <w:rsid w:val="00077EF1"/>
    <w:rsid w:val="00077F53"/>
    <w:rsid w:val="000802B8"/>
    <w:rsid w:val="00080385"/>
    <w:rsid w:val="00080FED"/>
    <w:rsid w:val="0008184B"/>
    <w:rsid w:val="00081E3A"/>
    <w:rsid w:val="00082104"/>
    <w:rsid w:val="00082512"/>
    <w:rsid w:val="00082A34"/>
    <w:rsid w:val="00082BDD"/>
    <w:rsid w:val="00082C82"/>
    <w:rsid w:val="00083290"/>
    <w:rsid w:val="0008352D"/>
    <w:rsid w:val="00083620"/>
    <w:rsid w:val="000836CA"/>
    <w:rsid w:val="000836CE"/>
    <w:rsid w:val="0008381D"/>
    <w:rsid w:val="00083A35"/>
    <w:rsid w:val="00083F4F"/>
    <w:rsid w:val="00083FF2"/>
    <w:rsid w:val="000842CA"/>
    <w:rsid w:val="00084D6F"/>
    <w:rsid w:val="00084F13"/>
    <w:rsid w:val="00085607"/>
    <w:rsid w:val="0008577C"/>
    <w:rsid w:val="00085B6A"/>
    <w:rsid w:val="00085C29"/>
    <w:rsid w:val="00086102"/>
    <w:rsid w:val="000865D8"/>
    <w:rsid w:val="000866B4"/>
    <w:rsid w:val="000867B7"/>
    <w:rsid w:val="0008694B"/>
    <w:rsid w:val="00086C90"/>
    <w:rsid w:val="00087253"/>
    <w:rsid w:val="0008780F"/>
    <w:rsid w:val="00087B16"/>
    <w:rsid w:val="00087B43"/>
    <w:rsid w:val="00087D6B"/>
    <w:rsid w:val="00087E43"/>
    <w:rsid w:val="00087E45"/>
    <w:rsid w:val="00087F09"/>
    <w:rsid w:val="0009018D"/>
    <w:rsid w:val="000901A9"/>
    <w:rsid w:val="000907C9"/>
    <w:rsid w:val="00090AC0"/>
    <w:rsid w:val="00090C41"/>
    <w:rsid w:val="00090CDB"/>
    <w:rsid w:val="000911AD"/>
    <w:rsid w:val="00091298"/>
    <w:rsid w:val="000912AA"/>
    <w:rsid w:val="00091690"/>
    <w:rsid w:val="0009177E"/>
    <w:rsid w:val="000917D6"/>
    <w:rsid w:val="00091836"/>
    <w:rsid w:val="00091EA1"/>
    <w:rsid w:val="00091EE8"/>
    <w:rsid w:val="000921B9"/>
    <w:rsid w:val="000929BB"/>
    <w:rsid w:val="00092B4C"/>
    <w:rsid w:val="00093029"/>
    <w:rsid w:val="0009333D"/>
    <w:rsid w:val="00093A33"/>
    <w:rsid w:val="00093C2D"/>
    <w:rsid w:val="00093C97"/>
    <w:rsid w:val="00094494"/>
    <w:rsid w:val="000945A7"/>
    <w:rsid w:val="000946AC"/>
    <w:rsid w:val="000947EA"/>
    <w:rsid w:val="00094A11"/>
    <w:rsid w:val="00094B8C"/>
    <w:rsid w:val="00095022"/>
    <w:rsid w:val="00095285"/>
    <w:rsid w:val="00095635"/>
    <w:rsid w:val="0009600C"/>
    <w:rsid w:val="000961C0"/>
    <w:rsid w:val="0009628E"/>
    <w:rsid w:val="00096411"/>
    <w:rsid w:val="00096472"/>
    <w:rsid w:val="0009652A"/>
    <w:rsid w:val="00096F70"/>
    <w:rsid w:val="00097339"/>
    <w:rsid w:val="0009765F"/>
    <w:rsid w:val="00097BBD"/>
    <w:rsid w:val="00097C57"/>
    <w:rsid w:val="000A0596"/>
    <w:rsid w:val="000A0D02"/>
    <w:rsid w:val="000A0D30"/>
    <w:rsid w:val="000A0E50"/>
    <w:rsid w:val="000A103D"/>
    <w:rsid w:val="000A104F"/>
    <w:rsid w:val="000A12E6"/>
    <w:rsid w:val="000A1594"/>
    <w:rsid w:val="000A18B9"/>
    <w:rsid w:val="000A1944"/>
    <w:rsid w:val="000A1C63"/>
    <w:rsid w:val="000A2117"/>
    <w:rsid w:val="000A2CC2"/>
    <w:rsid w:val="000A2DB1"/>
    <w:rsid w:val="000A2FF9"/>
    <w:rsid w:val="000A4148"/>
    <w:rsid w:val="000A43E9"/>
    <w:rsid w:val="000A4467"/>
    <w:rsid w:val="000A44A0"/>
    <w:rsid w:val="000A4A0A"/>
    <w:rsid w:val="000A4FEE"/>
    <w:rsid w:val="000A5160"/>
    <w:rsid w:val="000A5E94"/>
    <w:rsid w:val="000A61A8"/>
    <w:rsid w:val="000A66F9"/>
    <w:rsid w:val="000A6892"/>
    <w:rsid w:val="000A6FE2"/>
    <w:rsid w:val="000A70F3"/>
    <w:rsid w:val="000A7458"/>
    <w:rsid w:val="000A7569"/>
    <w:rsid w:val="000A75DD"/>
    <w:rsid w:val="000A7DC5"/>
    <w:rsid w:val="000B007E"/>
    <w:rsid w:val="000B0B81"/>
    <w:rsid w:val="000B1064"/>
    <w:rsid w:val="000B1066"/>
    <w:rsid w:val="000B10F1"/>
    <w:rsid w:val="000B17E3"/>
    <w:rsid w:val="000B187B"/>
    <w:rsid w:val="000B1B4B"/>
    <w:rsid w:val="000B1DF7"/>
    <w:rsid w:val="000B2259"/>
    <w:rsid w:val="000B2349"/>
    <w:rsid w:val="000B246C"/>
    <w:rsid w:val="000B257F"/>
    <w:rsid w:val="000B266C"/>
    <w:rsid w:val="000B2873"/>
    <w:rsid w:val="000B2875"/>
    <w:rsid w:val="000B2A10"/>
    <w:rsid w:val="000B2FED"/>
    <w:rsid w:val="000B3F33"/>
    <w:rsid w:val="000B3F58"/>
    <w:rsid w:val="000B4284"/>
    <w:rsid w:val="000B47A6"/>
    <w:rsid w:val="000B4FEC"/>
    <w:rsid w:val="000B5194"/>
    <w:rsid w:val="000B529C"/>
    <w:rsid w:val="000B535C"/>
    <w:rsid w:val="000B539C"/>
    <w:rsid w:val="000B543F"/>
    <w:rsid w:val="000B5939"/>
    <w:rsid w:val="000B5AAA"/>
    <w:rsid w:val="000B5F25"/>
    <w:rsid w:val="000B64AF"/>
    <w:rsid w:val="000B671A"/>
    <w:rsid w:val="000B68BB"/>
    <w:rsid w:val="000B7368"/>
    <w:rsid w:val="000B73D8"/>
    <w:rsid w:val="000B7A3D"/>
    <w:rsid w:val="000B7E1A"/>
    <w:rsid w:val="000B7F0E"/>
    <w:rsid w:val="000C05C1"/>
    <w:rsid w:val="000C0710"/>
    <w:rsid w:val="000C1236"/>
    <w:rsid w:val="000C1515"/>
    <w:rsid w:val="000C15A5"/>
    <w:rsid w:val="000C17CA"/>
    <w:rsid w:val="000C181C"/>
    <w:rsid w:val="000C1FF2"/>
    <w:rsid w:val="000C2109"/>
    <w:rsid w:val="000C2506"/>
    <w:rsid w:val="000C283C"/>
    <w:rsid w:val="000C30DD"/>
    <w:rsid w:val="000C314F"/>
    <w:rsid w:val="000C3345"/>
    <w:rsid w:val="000C370B"/>
    <w:rsid w:val="000C38BE"/>
    <w:rsid w:val="000C3964"/>
    <w:rsid w:val="000C396F"/>
    <w:rsid w:val="000C3C8B"/>
    <w:rsid w:val="000C3CCE"/>
    <w:rsid w:val="000C3E24"/>
    <w:rsid w:val="000C3E61"/>
    <w:rsid w:val="000C4B23"/>
    <w:rsid w:val="000C4CDE"/>
    <w:rsid w:val="000C58B8"/>
    <w:rsid w:val="000C5C0F"/>
    <w:rsid w:val="000C612E"/>
    <w:rsid w:val="000C62A1"/>
    <w:rsid w:val="000C65C4"/>
    <w:rsid w:val="000C672A"/>
    <w:rsid w:val="000C6977"/>
    <w:rsid w:val="000C70A3"/>
    <w:rsid w:val="000C783F"/>
    <w:rsid w:val="000C79BB"/>
    <w:rsid w:val="000C7DF4"/>
    <w:rsid w:val="000D00CA"/>
    <w:rsid w:val="000D04ED"/>
    <w:rsid w:val="000D0611"/>
    <w:rsid w:val="000D1349"/>
    <w:rsid w:val="000D14DB"/>
    <w:rsid w:val="000D1E67"/>
    <w:rsid w:val="000D216D"/>
    <w:rsid w:val="000D25AB"/>
    <w:rsid w:val="000D28F7"/>
    <w:rsid w:val="000D29CD"/>
    <w:rsid w:val="000D2C6F"/>
    <w:rsid w:val="000D2FB1"/>
    <w:rsid w:val="000D36FA"/>
    <w:rsid w:val="000D39E9"/>
    <w:rsid w:val="000D3B0E"/>
    <w:rsid w:val="000D3D17"/>
    <w:rsid w:val="000D409D"/>
    <w:rsid w:val="000D414F"/>
    <w:rsid w:val="000D468F"/>
    <w:rsid w:val="000D4A51"/>
    <w:rsid w:val="000D4CE9"/>
    <w:rsid w:val="000D5097"/>
    <w:rsid w:val="000D5205"/>
    <w:rsid w:val="000D5285"/>
    <w:rsid w:val="000D5925"/>
    <w:rsid w:val="000D5DE2"/>
    <w:rsid w:val="000D5EDE"/>
    <w:rsid w:val="000D5F28"/>
    <w:rsid w:val="000D5F50"/>
    <w:rsid w:val="000D633C"/>
    <w:rsid w:val="000D637C"/>
    <w:rsid w:val="000D6455"/>
    <w:rsid w:val="000D65B1"/>
    <w:rsid w:val="000D742E"/>
    <w:rsid w:val="000D7600"/>
    <w:rsid w:val="000D775B"/>
    <w:rsid w:val="000D775E"/>
    <w:rsid w:val="000D79A7"/>
    <w:rsid w:val="000D7FD6"/>
    <w:rsid w:val="000E02BA"/>
    <w:rsid w:val="000E0BE7"/>
    <w:rsid w:val="000E1282"/>
    <w:rsid w:val="000E132B"/>
    <w:rsid w:val="000E17A2"/>
    <w:rsid w:val="000E1821"/>
    <w:rsid w:val="000E1CB1"/>
    <w:rsid w:val="000E1FB5"/>
    <w:rsid w:val="000E2408"/>
    <w:rsid w:val="000E244C"/>
    <w:rsid w:val="000E24B2"/>
    <w:rsid w:val="000E26D4"/>
    <w:rsid w:val="000E2A0A"/>
    <w:rsid w:val="000E2DAD"/>
    <w:rsid w:val="000E3CAD"/>
    <w:rsid w:val="000E3E41"/>
    <w:rsid w:val="000E3EC6"/>
    <w:rsid w:val="000E422A"/>
    <w:rsid w:val="000E4974"/>
    <w:rsid w:val="000E4AA5"/>
    <w:rsid w:val="000E50B5"/>
    <w:rsid w:val="000E570C"/>
    <w:rsid w:val="000E5F5E"/>
    <w:rsid w:val="000E6034"/>
    <w:rsid w:val="000E60AA"/>
    <w:rsid w:val="000E66B0"/>
    <w:rsid w:val="000E6912"/>
    <w:rsid w:val="000E6B0B"/>
    <w:rsid w:val="000E6BB7"/>
    <w:rsid w:val="000E6D00"/>
    <w:rsid w:val="000E6DB1"/>
    <w:rsid w:val="000E7533"/>
    <w:rsid w:val="000E7749"/>
    <w:rsid w:val="000E7792"/>
    <w:rsid w:val="000E78F9"/>
    <w:rsid w:val="000E7951"/>
    <w:rsid w:val="000E7CCF"/>
    <w:rsid w:val="000E7EBB"/>
    <w:rsid w:val="000F0087"/>
    <w:rsid w:val="000F0415"/>
    <w:rsid w:val="000F05C7"/>
    <w:rsid w:val="000F091F"/>
    <w:rsid w:val="000F0AB6"/>
    <w:rsid w:val="000F0F72"/>
    <w:rsid w:val="000F1254"/>
    <w:rsid w:val="000F1297"/>
    <w:rsid w:val="000F157C"/>
    <w:rsid w:val="000F1608"/>
    <w:rsid w:val="000F1AD3"/>
    <w:rsid w:val="000F23A4"/>
    <w:rsid w:val="000F28CC"/>
    <w:rsid w:val="000F2BDF"/>
    <w:rsid w:val="000F2E32"/>
    <w:rsid w:val="000F2FB6"/>
    <w:rsid w:val="000F36C5"/>
    <w:rsid w:val="000F370C"/>
    <w:rsid w:val="000F3A28"/>
    <w:rsid w:val="000F3A4C"/>
    <w:rsid w:val="000F3A82"/>
    <w:rsid w:val="000F3F64"/>
    <w:rsid w:val="000F438D"/>
    <w:rsid w:val="000F493B"/>
    <w:rsid w:val="000F4C5D"/>
    <w:rsid w:val="000F4C62"/>
    <w:rsid w:val="000F4F8E"/>
    <w:rsid w:val="000F59A2"/>
    <w:rsid w:val="000F5A15"/>
    <w:rsid w:val="000F5C10"/>
    <w:rsid w:val="000F63CA"/>
    <w:rsid w:val="000F6B18"/>
    <w:rsid w:val="000F736F"/>
    <w:rsid w:val="000F77C0"/>
    <w:rsid w:val="000F7CCA"/>
    <w:rsid w:val="0010063F"/>
    <w:rsid w:val="0010070A"/>
    <w:rsid w:val="00100F64"/>
    <w:rsid w:val="00101160"/>
    <w:rsid w:val="00101255"/>
    <w:rsid w:val="0010141B"/>
    <w:rsid w:val="001019BE"/>
    <w:rsid w:val="00101DFE"/>
    <w:rsid w:val="001028C1"/>
    <w:rsid w:val="00102F31"/>
    <w:rsid w:val="00103276"/>
    <w:rsid w:val="001034FF"/>
    <w:rsid w:val="00103818"/>
    <w:rsid w:val="00103B4D"/>
    <w:rsid w:val="00103D65"/>
    <w:rsid w:val="001042C6"/>
    <w:rsid w:val="00104A50"/>
    <w:rsid w:val="0010528B"/>
    <w:rsid w:val="00105511"/>
    <w:rsid w:val="00105518"/>
    <w:rsid w:val="00105554"/>
    <w:rsid w:val="00105590"/>
    <w:rsid w:val="00105869"/>
    <w:rsid w:val="00105AA0"/>
    <w:rsid w:val="00105C95"/>
    <w:rsid w:val="00105D24"/>
    <w:rsid w:val="00106240"/>
    <w:rsid w:val="00106380"/>
    <w:rsid w:val="00106AFA"/>
    <w:rsid w:val="00107441"/>
    <w:rsid w:val="001079D4"/>
    <w:rsid w:val="00107B13"/>
    <w:rsid w:val="00110148"/>
    <w:rsid w:val="00110201"/>
    <w:rsid w:val="0011031B"/>
    <w:rsid w:val="001105EE"/>
    <w:rsid w:val="0011074C"/>
    <w:rsid w:val="00110D3F"/>
    <w:rsid w:val="0011118F"/>
    <w:rsid w:val="001112B7"/>
    <w:rsid w:val="001116FD"/>
    <w:rsid w:val="001123F0"/>
    <w:rsid w:val="0011260D"/>
    <w:rsid w:val="001132F5"/>
    <w:rsid w:val="001133A5"/>
    <w:rsid w:val="00113406"/>
    <w:rsid w:val="001134E7"/>
    <w:rsid w:val="0011404F"/>
    <w:rsid w:val="00114162"/>
    <w:rsid w:val="00114216"/>
    <w:rsid w:val="00114B59"/>
    <w:rsid w:val="00114F58"/>
    <w:rsid w:val="00115191"/>
    <w:rsid w:val="001152D4"/>
    <w:rsid w:val="00115361"/>
    <w:rsid w:val="001155E3"/>
    <w:rsid w:val="00115ABC"/>
    <w:rsid w:val="00115B41"/>
    <w:rsid w:val="00116DDE"/>
    <w:rsid w:val="00117193"/>
    <w:rsid w:val="00117538"/>
    <w:rsid w:val="00117618"/>
    <w:rsid w:val="00117750"/>
    <w:rsid w:val="0011780A"/>
    <w:rsid w:val="00117C42"/>
    <w:rsid w:val="00120113"/>
    <w:rsid w:val="001203D4"/>
    <w:rsid w:val="001206D2"/>
    <w:rsid w:val="00120D5D"/>
    <w:rsid w:val="00121261"/>
    <w:rsid w:val="001215B5"/>
    <w:rsid w:val="00121DA2"/>
    <w:rsid w:val="0012257D"/>
    <w:rsid w:val="001226CC"/>
    <w:rsid w:val="001227CC"/>
    <w:rsid w:val="0012316B"/>
    <w:rsid w:val="00123185"/>
    <w:rsid w:val="00123847"/>
    <w:rsid w:val="00123F61"/>
    <w:rsid w:val="0012455E"/>
    <w:rsid w:val="001247D3"/>
    <w:rsid w:val="001249CD"/>
    <w:rsid w:val="0012580F"/>
    <w:rsid w:val="00125C20"/>
    <w:rsid w:val="00125C59"/>
    <w:rsid w:val="00125C67"/>
    <w:rsid w:val="00125DF5"/>
    <w:rsid w:val="00125ECF"/>
    <w:rsid w:val="00126431"/>
    <w:rsid w:val="00127425"/>
    <w:rsid w:val="00127638"/>
    <w:rsid w:val="00127A0B"/>
    <w:rsid w:val="00127B76"/>
    <w:rsid w:val="001300CC"/>
    <w:rsid w:val="001301BF"/>
    <w:rsid w:val="001309CE"/>
    <w:rsid w:val="00130A66"/>
    <w:rsid w:val="00130F2D"/>
    <w:rsid w:val="00131CBF"/>
    <w:rsid w:val="00131DB7"/>
    <w:rsid w:val="0013207D"/>
    <w:rsid w:val="0013238B"/>
    <w:rsid w:val="001324EE"/>
    <w:rsid w:val="001331E9"/>
    <w:rsid w:val="00133311"/>
    <w:rsid w:val="001336FF"/>
    <w:rsid w:val="001337F1"/>
    <w:rsid w:val="00133843"/>
    <w:rsid w:val="001338B4"/>
    <w:rsid w:val="0013392C"/>
    <w:rsid w:val="00133C5C"/>
    <w:rsid w:val="00133DA4"/>
    <w:rsid w:val="001340F5"/>
    <w:rsid w:val="00134152"/>
    <w:rsid w:val="00134393"/>
    <w:rsid w:val="00134D52"/>
    <w:rsid w:val="00134FDB"/>
    <w:rsid w:val="001355B5"/>
    <w:rsid w:val="00135652"/>
    <w:rsid w:val="00135ACD"/>
    <w:rsid w:val="00135BDC"/>
    <w:rsid w:val="00135E51"/>
    <w:rsid w:val="00135F97"/>
    <w:rsid w:val="00136100"/>
    <w:rsid w:val="00136206"/>
    <w:rsid w:val="001364E5"/>
    <w:rsid w:val="001366E7"/>
    <w:rsid w:val="00136A1D"/>
    <w:rsid w:val="00136A95"/>
    <w:rsid w:val="00136C39"/>
    <w:rsid w:val="00136CAE"/>
    <w:rsid w:val="0013793F"/>
    <w:rsid w:val="00137C79"/>
    <w:rsid w:val="00137CAB"/>
    <w:rsid w:val="00137EB7"/>
    <w:rsid w:val="00137F1D"/>
    <w:rsid w:val="0014004F"/>
    <w:rsid w:val="0014025B"/>
    <w:rsid w:val="00140294"/>
    <w:rsid w:val="00140336"/>
    <w:rsid w:val="0014043F"/>
    <w:rsid w:val="00140554"/>
    <w:rsid w:val="00140AE3"/>
    <w:rsid w:val="00141248"/>
    <w:rsid w:val="00141397"/>
    <w:rsid w:val="001419C3"/>
    <w:rsid w:val="00141ADB"/>
    <w:rsid w:val="00141DDB"/>
    <w:rsid w:val="00141F69"/>
    <w:rsid w:val="00142098"/>
    <w:rsid w:val="0014209A"/>
    <w:rsid w:val="0014282D"/>
    <w:rsid w:val="00142A42"/>
    <w:rsid w:val="00142FFA"/>
    <w:rsid w:val="0014375E"/>
    <w:rsid w:val="0014378C"/>
    <w:rsid w:val="001449A9"/>
    <w:rsid w:val="00144B6A"/>
    <w:rsid w:val="00144BB1"/>
    <w:rsid w:val="00145005"/>
    <w:rsid w:val="0014541D"/>
    <w:rsid w:val="00146358"/>
    <w:rsid w:val="00146646"/>
    <w:rsid w:val="001466EB"/>
    <w:rsid w:val="001467F4"/>
    <w:rsid w:val="001473FB"/>
    <w:rsid w:val="001474DB"/>
    <w:rsid w:val="001501E0"/>
    <w:rsid w:val="00150320"/>
    <w:rsid w:val="001504EA"/>
    <w:rsid w:val="00150554"/>
    <w:rsid w:val="001505FD"/>
    <w:rsid w:val="00150B41"/>
    <w:rsid w:val="0015113D"/>
    <w:rsid w:val="0015136B"/>
    <w:rsid w:val="0015171C"/>
    <w:rsid w:val="00151BC8"/>
    <w:rsid w:val="00151D73"/>
    <w:rsid w:val="00151FE5"/>
    <w:rsid w:val="0015222D"/>
    <w:rsid w:val="001531DD"/>
    <w:rsid w:val="001541F7"/>
    <w:rsid w:val="00154360"/>
    <w:rsid w:val="001543BE"/>
    <w:rsid w:val="001543E5"/>
    <w:rsid w:val="00154A4F"/>
    <w:rsid w:val="00154CF3"/>
    <w:rsid w:val="00155838"/>
    <w:rsid w:val="00155E5E"/>
    <w:rsid w:val="00156032"/>
    <w:rsid w:val="00156739"/>
    <w:rsid w:val="001568A3"/>
    <w:rsid w:val="00156ACA"/>
    <w:rsid w:val="00156AD2"/>
    <w:rsid w:val="00157068"/>
    <w:rsid w:val="0015767C"/>
    <w:rsid w:val="001579E7"/>
    <w:rsid w:val="00157BBE"/>
    <w:rsid w:val="00157C58"/>
    <w:rsid w:val="00157DAB"/>
    <w:rsid w:val="00157DD0"/>
    <w:rsid w:val="00160025"/>
    <w:rsid w:val="00160C41"/>
    <w:rsid w:val="00160E20"/>
    <w:rsid w:val="0016123A"/>
    <w:rsid w:val="001614EB"/>
    <w:rsid w:val="0016162F"/>
    <w:rsid w:val="0016171A"/>
    <w:rsid w:val="00161CC2"/>
    <w:rsid w:val="0016234F"/>
    <w:rsid w:val="001628B6"/>
    <w:rsid w:val="001628C3"/>
    <w:rsid w:val="00162B02"/>
    <w:rsid w:val="00162C1C"/>
    <w:rsid w:val="00162EA1"/>
    <w:rsid w:val="00163488"/>
    <w:rsid w:val="0016387F"/>
    <w:rsid w:val="00163B0E"/>
    <w:rsid w:val="00163F20"/>
    <w:rsid w:val="00163F92"/>
    <w:rsid w:val="001641A9"/>
    <w:rsid w:val="00164F00"/>
    <w:rsid w:val="001650CE"/>
    <w:rsid w:val="001651D3"/>
    <w:rsid w:val="00165272"/>
    <w:rsid w:val="001654D7"/>
    <w:rsid w:val="00165DA4"/>
    <w:rsid w:val="0016632B"/>
    <w:rsid w:val="001665CA"/>
    <w:rsid w:val="001666C2"/>
    <w:rsid w:val="001667A7"/>
    <w:rsid w:val="001669A7"/>
    <w:rsid w:val="00166A21"/>
    <w:rsid w:val="00166A52"/>
    <w:rsid w:val="00166D1B"/>
    <w:rsid w:val="00166D7A"/>
    <w:rsid w:val="00166DCF"/>
    <w:rsid w:val="001675F8"/>
    <w:rsid w:val="001677D7"/>
    <w:rsid w:val="00167F6A"/>
    <w:rsid w:val="00170056"/>
    <w:rsid w:val="00170368"/>
    <w:rsid w:val="001703C2"/>
    <w:rsid w:val="00170413"/>
    <w:rsid w:val="00170422"/>
    <w:rsid w:val="001709B5"/>
    <w:rsid w:val="00170CD6"/>
    <w:rsid w:val="00171191"/>
    <w:rsid w:val="001711F3"/>
    <w:rsid w:val="00171301"/>
    <w:rsid w:val="0017169E"/>
    <w:rsid w:val="00171C6A"/>
    <w:rsid w:val="00171D38"/>
    <w:rsid w:val="00172491"/>
    <w:rsid w:val="001724B1"/>
    <w:rsid w:val="001726B9"/>
    <w:rsid w:val="00172829"/>
    <w:rsid w:val="0017290F"/>
    <w:rsid w:val="00173102"/>
    <w:rsid w:val="00173159"/>
    <w:rsid w:val="001731D5"/>
    <w:rsid w:val="00173441"/>
    <w:rsid w:val="001736D9"/>
    <w:rsid w:val="00173A0F"/>
    <w:rsid w:val="001744DA"/>
    <w:rsid w:val="001747DC"/>
    <w:rsid w:val="0017499F"/>
    <w:rsid w:val="00174CE3"/>
    <w:rsid w:val="0017571A"/>
    <w:rsid w:val="001759D4"/>
    <w:rsid w:val="00175AB8"/>
    <w:rsid w:val="00176407"/>
    <w:rsid w:val="0017686B"/>
    <w:rsid w:val="001768D8"/>
    <w:rsid w:val="00177052"/>
    <w:rsid w:val="0017730C"/>
    <w:rsid w:val="00177927"/>
    <w:rsid w:val="00177FA7"/>
    <w:rsid w:val="0018068A"/>
    <w:rsid w:val="001806BC"/>
    <w:rsid w:val="00180805"/>
    <w:rsid w:val="00180BC5"/>
    <w:rsid w:val="00180C6C"/>
    <w:rsid w:val="00180C9D"/>
    <w:rsid w:val="00180DC6"/>
    <w:rsid w:val="00181450"/>
    <w:rsid w:val="001814C3"/>
    <w:rsid w:val="00181A11"/>
    <w:rsid w:val="00181B08"/>
    <w:rsid w:val="00181C6E"/>
    <w:rsid w:val="0018221C"/>
    <w:rsid w:val="001828DA"/>
    <w:rsid w:val="00182B5B"/>
    <w:rsid w:val="00182E7F"/>
    <w:rsid w:val="00182EFE"/>
    <w:rsid w:val="001831B1"/>
    <w:rsid w:val="001833C3"/>
    <w:rsid w:val="00183490"/>
    <w:rsid w:val="001835A0"/>
    <w:rsid w:val="00183700"/>
    <w:rsid w:val="00183818"/>
    <w:rsid w:val="00184364"/>
    <w:rsid w:val="001845AC"/>
    <w:rsid w:val="001848BC"/>
    <w:rsid w:val="00184A51"/>
    <w:rsid w:val="00184A9B"/>
    <w:rsid w:val="001854CE"/>
    <w:rsid w:val="00185515"/>
    <w:rsid w:val="0018566F"/>
    <w:rsid w:val="00185C41"/>
    <w:rsid w:val="0018624F"/>
    <w:rsid w:val="00186394"/>
    <w:rsid w:val="00186516"/>
    <w:rsid w:val="0018663C"/>
    <w:rsid w:val="00186769"/>
    <w:rsid w:val="00186B40"/>
    <w:rsid w:val="00186D3D"/>
    <w:rsid w:val="00186D4E"/>
    <w:rsid w:val="00186E29"/>
    <w:rsid w:val="0018705B"/>
    <w:rsid w:val="00187266"/>
    <w:rsid w:val="00187302"/>
    <w:rsid w:val="0018778A"/>
    <w:rsid w:val="0018783E"/>
    <w:rsid w:val="00187C76"/>
    <w:rsid w:val="00187D7C"/>
    <w:rsid w:val="001901CE"/>
    <w:rsid w:val="0019046C"/>
    <w:rsid w:val="001907D6"/>
    <w:rsid w:val="00190C2A"/>
    <w:rsid w:val="00190E31"/>
    <w:rsid w:val="00190FDE"/>
    <w:rsid w:val="0019162B"/>
    <w:rsid w:val="00191819"/>
    <w:rsid w:val="00192428"/>
    <w:rsid w:val="001927BF"/>
    <w:rsid w:val="00192AB5"/>
    <w:rsid w:val="00192FB7"/>
    <w:rsid w:val="001933D6"/>
    <w:rsid w:val="00193481"/>
    <w:rsid w:val="00193664"/>
    <w:rsid w:val="001936CA"/>
    <w:rsid w:val="00193937"/>
    <w:rsid w:val="00193D71"/>
    <w:rsid w:val="001940B7"/>
    <w:rsid w:val="001941C4"/>
    <w:rsid w:val="00194259"/>
    <w:rsid w:val="00194609"/>
    <w:rsid w:val="0019464A"/>
    <w:rsid w:val="001946EE"/>
    <w:rsid w:val="00194B2C"/>
    <w:rsid w:val="00194E83"/>
    <w:rsid w:val="0019512E"/>
    <w:rsid w:val="0019531D"/>
    <w:rsid w:val="00195F3B"/>
    <w:rsid w:val="0019621A"/>
    <w:rsid w:val="00196501"/>
    <w:rsid w:val="0019671F"/>
    <w:rsid w:val="00196DF0"/>
    <w:rsid w:val="00197225"/>
    <w:rsid w:val="001977B7"/>
    <w:rsid w:val="0019785C"/>
    <w:rsid w:val="001978F6"/>
    <w:rsid w:val="00197CAC"/>
    <w:rsid w:val="00197CB4"/>
    <w:rsid w:val="00197ECB"/>
    <w:rsid w:val="001A03D9"/>
    <w:rsid w:val="001A081F"/>
    <w:rsid w:val="001A0B8C"/>
    <w:rsid w:val="001A0FB3"/>
    <w:rsid w:val="001A122C"/>
    <w:rsid w:val="001A1591"/>
    <w:rsid w:val="001A16DC"/>
    <w:rsid w:val="001A1BC4"/>
    <w:rsid w:val="001A1C0B"/>
    <w:rsid w:val="001A1DB9"/>
    <w:rsid w:val="001A1EA3"/>
    <w:rsid w:val="001A1F5D"/>
    <w:rsid w:val="001A2000"/>
    <w:rsid w:val="001A21AF"/>
    <w:rsid w:val="001A240F"/>
    <w:rsid w:val="001A24B1"/>
    <w:rsid w:val="001A25A9"/>
    <w:rsid w:val="001A2BBB"/>
    <w:rsid w:val="001A2F99"/>
    <w:rsid w:val="001A31E8"/>
    <w:rsid w:val="001A34E4"/>
    <w:rsid w:val="001A3525"/>
    <w:rsid w:val="001A3731"/>
    <w:rsid w:val="001A37BF"/>
    <w:rsid w:val="001A439F"/>
    <w:rsid w:val="001A44AD"/>
    <w:rsid w:val="001A4ACF"/>
    <w:rsid w:val="001A4BA6"/>
    <w:rsid w:val="001A4F7E"/>
    <w:rsid w:val="001A53F0"/>
    <w:rsid w:val="001A5A11"/>
    <w:rsid w:val="001A5CD7"/>
    <w:rsid w:val="001A5DA5"/>
    <w:rsid w:val="001A5EF4"/>
    <w:rsid w:val="001A653B"/>
    <w:rsid w:val="001A6635"/>
    <w:rsid w:val="001A669F"/>
    <w:rsid w:val="001A6CAC"/>
    <w:rsid w:val="001A6E04"/>
    <w:rsid w:val="001A6F16"/>
    <w:rsid w:val="001A7078"/>
    <w:rsid w:val="001A7795"/>
    <w:rsid w:val="001A790A"/>
    <w:rsid w:val="001A7A21"/>
    <w:rsid w:val="001B04C2"/>
    <w:rsid w:val="001B09C7"/>
    <w:rsid w:val="001B0B18"/>
    <w:rsid w:val="001B0BBF"/>
    <w:rsid w:val="001B0D2F"/>
    <w:rsid w:val="001B0EE9"/>
    <w:rsid w:val="001B0F4F"/>
    <w:rsid w:val="001B10EA"/>
    <w:rsid w:val="001B10EB"/>
    <w:rsid w:val="001B1E2C"/>
    <w:rsid w:val="001B1E4B"/>
    <w:rsid w:val="001B22B7"/>
    <w:rsid w:val="001B2998"/>
    <w:rsid w:val="001B29BC"/>
    <w:rsid w:val="001B29FE"/>
    <w:rsid w:val="001B2B95"/>
    <w:rsid w:val="001B2F21"/>
    <w:rsid w:val="001B30F0"/>
    <w:rsid w:val="001B34A7"/>
    <w:rsid w:val="001B367C"/>
    <w:rsid w:val="001B446B"/>
    <w:rsid w:val="001B44D8"/>
    <w:rsid w:val="001B4618"/>
    <w:rsid w:val="001B4694"/>
    <w:rsid w:val="001B4838"/>
    <w:rsid w:val="001B58D9"/>
    <w:rsid w:val="001B59E6"/>
    <w:rsid w:val="001B5BA6"/>
    <w:rsid w:val="001B5CBD"/>
    <w:rsid w:val="001B5EC9"/>
    <w:rsid w:val="001B6145"/>
    <w:rsid w:val="001B619E"/>
    <w:rsid w:val="001B65B3"/>
    <w:rsid w:val="001B6983"/>
    <w:rsid w:val="001B6F85"/>
    <w:rsid w:val="001B7043"/>
    <w:rsid w:val="001B7542"/>
    <w:rsid w:val="001B7747"/>
    <w:rsid w:val="001B7787"/>
    <w:rsid w:val="001B79B7"/>
    <w:rsid w:val="001B79D3"/>
    <w:rsid w:val="001B7A44"/>
    <w:rsid w:val="001B7AA1"/>
    <w:rsid w:val="001B7D8B"/>
    <w:rsid w:val="001C0073"/>
    <w:rsid w:val="001C044A"/>
    <w:rsid w:val="001C08F3"/>
    <w:rsid w:val="001C0CA7"/>
    <w:rsid w:val="001C12D4"/>
    <w:rsid w:val="001C132B"/>
    <w:rsid w:val="001C1E24"/>
    <w:rsid w:val="001C1E32"/>
    <w:rsid w:val="001C1E38"/>
    <w:rsid w:val="001C217C"/>
    <w:rsid w:val="001C225B"/>
    <w:rsid w:val="001C2823"/>
    <w:rsid w:val="001C2C95"/>
    <w:rsid w:val="001C2CA0"/>
    <w:rsid w:val="001C2EE6"/>
    <w:rsid w:val="001C3471"/>
    <w:rsid w:val="001C375B"/>
    <w:rsid w:val="001C3B70"/>
    <w:rsid w:val="001C3CF3"/>
    <w:rsid w:val="001C3F03"/>
    <w:rsid w:val="001C42B7"/>
    <w:rsid w:val="001C48EC"/>
    <w:rsid w:val="001C4A79"/>
    <w:rsid w:val="001C552A"/>
    <w:rsid w:val="001C564F"/>
    <w:rsid w:val="001C6B5D"/>
    <w:rsid w:val="001C6E03"/>
    <w:rsid w:val="001C6F85"/>
    <w:rsid w:val="001C7019"/>
    <w:rsid w:val="001C70E4"/>
    <w:rsid w:val="001C739E"/>
    <w:rsid w:val="001C7509"/>
    <w:rsid w:val="001C76CE"/>
    <w:rsid w:val="001C798D"/>
    <w:rsid w:val="001C7A87"/>
    <w:rsid w:val="001C7FE8"/>
    <w:rsid w:val="001C7FF6"/>
    <w:rsid w:val="001D0354"/>
    <w:rsid w:val="001D0710"/>
    <w:rsid w:val="001D0797"/>
    <w:rsid w:val="001D0A5F"/>
    <w:rsid w:val="001D0F5A"/>
    <w:rsid w:val="001D1107"/>
    <w:rsid w:val="001D1197"/>
    <w:rsid w:val="001D11FC"/>
    <w:rsid w:val="001D15FE"/>
    <w:rsid w:val="001D1733"/>
    <w:rsid w:val="001D173D"/>
    <w:rsid w:val="001D1897"/>
    <w:rsid w:val="001D1945"/>
    <w:rsid w:val="001D1D25"/>
    <w:rsid w:val="001D200C"/>
    <w:rsid w:val="001D243B"/>
    <w:rsid w:val="001D2636"/>
    <w:rsid w:val="001D2DC5"/>
    <w:rsid w:val="001D3877"/>
    <w:rsid w:val="001D39A2"/>
    <w:rsid w:val="001D3D8D"/>
    <w:rsid w:val="001D529C"/>
    <w:rsid w:val="001D59C1"/>
    <w:rsid w:val="001D5A33"/>
    <w:rsid w:val="001D5A6E"/>
    <w:rsid w:val="001D62B7"/>
    <w:rsid w:val="001D64A9"/>
    <w:rsid w:val="001D6587"/>
    <w:rsid w:val="001D681A"/>
    <w:rsid w:val="001D69D1"/>
    <w:rsid w:val="001D6DF0"/>
    <w:rsid w:val="001D7C16"/>
    <w:rsid w:val="001D7D71"/>
    <w:rsid w:val="001D7E28"/>
    <w:rsid w:val="001D7EF5"/>
    <w:rsid w:val="001D7F4A"/>
    <w:rsid w:val="001D7FE1"/>
    <w:rsid w:val="001E0033"/>
    <w:rsid w:val="001E030A"/>
    <w:rsid w:val="001E088B"/>
    <w:rsid w:val="001E0C85"/>
    <w:rsid w:val="001E0D6F"/>
    <w:rsid w:val="001E1116"/>
    <w:rsid w:val="001E132F"/>
    <w:rsid w:val="001E1DC9"/>
    <w:rsid w:val="001E2074"/>
    <w:rsid w:val="001E2986"/>
    <w:rsid w:val="001E2A3A"/>
    <w:rsid w:val="001E2BA7"/>
    <w:rsid w:val="001E2FA4"/>
    <w:rsid w:val="001E3C42"/>
    <w:rsid w:val="001E442E"/>
    <w:rsid w:val="001E47FB"/>
    <w:rsid w:val="001E49A1"/>
    <w:rsid w:val="001E4E70"/>
    <w:rsid w:val="001E531B"/>
    <w:rsid w:val="001E55BF"/>
    <w:rsid w:val="001E55D3"/>
    <w:rsid w:val="001E57FF"/>
    <w:rsid w:val="001E5834"/>
    <w:rsid w:val="001E5D0A"/>
    <w:rsid w:val="001E60D6"/>
    <w:rsid w:val="001E66D1"/>
    <w:rsid w:val="001E6D47"/>
    <w:rsid w:val="001E6F42"/>
    <w:rsid w:val="001E7588"/>
    <w:rsid w:val="001E7903"/>
    <w:rsid w:val="001E7D06"/>
    <w:rsid w:val="001E7F12"/>
    <w:rsid w:val="001F0174"/>
    <w:rsid w:val="001F0F8E"/>
    <w:rsid w:val="001F0FC7"/>
    <w:rsid w:val="001F1629"/>
    <w:rsid w:val="001F1864"/>
    <w:rsid w:val="001F1B2F"/>
    <w:rsid w:val="001F2290"/>
    <w:rsid w:val="001F25B7"/>
    <w:rsid w:val="001F26B4"/>
    <w:rsid w:val="001F2EBB"/>
    <w:rsid w:val="001F33FE"/>
    <w:rsid w:val="001F38F8"/>
    <w:rsid w:val="001F43FA"/>
    <w:rsid w:val="001F4866"/>
    <w:rsid w:val="001F4BAE"/>
    <w:rsid w:val="001F4BF4"/>
    <w:rsid w:val="001F4CFF"/>
    <w:rsid w:val="001F4D62"/>
    <w:rsid w:val="001F4FE0"/>
    <w:rsid w:val="001F5016"/>
    <w:rsid w:val="001F53DC"/>
    <w:rsid w:val="001F5836"/>
    <w:rsid w:val="001F5972"/>
    <w:rsid w:val="001F5F70"/>
    <w:rsid w:val="001F5F90"/>
    <w:rsid w:val="001F60E0"/>
    <w:rsid w:val="001F6543"/>
    <w:rsid w:val="001F69CB"/>
    <w:rsid w:val="001F6AC4"/>
    <w:rsid w:val="001F6C68"/>
    <w:rsid w:val="001F6F96"/>
    <w:rsid w:val="001F705F"/>
    <w:rsid w:val="001F70D1"/>
    <w:rsid w:val="001F757E"/>
    <w:rsid w:val="001F79F1"/>
    <w:rsid w:val="001F7A5A"/>
    <w:rsid w:val="00200006"/>
    <w:rsid w:val="0020015B"/>
    <w:rsid w:val="002001AD"/>
    <w:rsid w:val="0020028F"/>
    <w:rsid w:val="0020048E"/>
    <w:rsid w:val="00201165"/>
    <w:rsid w:val="002018D6"/>
    <w:rsid w:val="00201FD5"/>
    <w:rsid w:val="00202903"/>
    <w:rsid w:val="00202C35"/>
    <w:rsid w:val="00202E6E"/>
    <w:rsid w:val="00203471"/>
    <w:rsid w:val="00203512"/>
    <w:rsid w:val="00203929"/>
    <w:rsid w:val="00203B6C"/>
    <w:rsid w:val="00203C75"/>
    <w:rsid w:val="00204072"/>
    <w:rsid w:val="00204113"/>
    <w:rsid w:val="0020435C"/>
    <w:rsid w:val="002043A7"/>
    <w:rsid w:val="0020502C"/>
    <w:rsid w:val="00205444"/>
    <w:rsid w:val="00205928"/>
    <w:rsid w:val="00205BFC"/>
    <w:rsid w:val="00205F24"/>
    <w:rsid w:val="002060A9"/>
    <w:rsid w:val="002060CA"/>
    <w:rsid w:val="0020647F"/>
    <w:rsid w:val="002070F4"/>
    <w:rsid w:val="002071EA"/>
    <w:rsid w:val="00207394"/>
    <w:rsid w:val="002075EE"/>
    <w:rsid w:val="00207D1F"/>
    <w:rsid w:val="00207F86"/>
    <w:rsid w:val="002100E0"/>
    <w:rsid w:val="00210402"/>
    <w:rsid w:val="00210462"/>
    <w:rsid w:val="0021055E"/>
    <w:rsid w:val="00210560"/>
    <w:rsid w:val="00210727"/>
    <w:rsid w:val="00210757"/>
    <w:rsid w:val="00210F15"/>
    <w:rsid w:val="002112C4"/>
    <w:rsid w:val="002113B5"/>
    <w:rsid w:val="00211671"/>
    <w:rsid w:val="002123FA"/>
    <w:rsid w:val="002124D5"/>
    <w:rsid w:val="00212830"/>
    <w:rsid w:val="00212AF3"/>
    <w:rsid w:val="00212C71"/>
    <w:rsid w:val="00213064"/>
    <w:rsid w:val="002130FD"/>
    <w:rsid w:val="00213852"/>
    <w:rsid w:val="00213D29"/>
    <w:rsid w:val="00213EF4"/>
    <w:rsid w:val="0021400F"/>
    <w:rsid w:val="00214062"/>
    <w:rsid w:val="00214204"/>
    <w:rsid w:val="002142F1"/>
    <w:rsid w:val="00214823"/>
    <w:rsid w:val="00214880"/>
    <w:rsid w:val="002148CB"/>
    <w:rsid w:val="002157CC"/>
    <w:rsid w:val="002158F8"/>
    <w:rsid w:val="00215D67"/>
    <w:rsid w:val="00215F0D"/>
    <w:rsid w:val="00216283"/>
    <w:rsid w:val="0021652F"/>
    <w:rsid w:val="00216894"/>
    <w:rsid w:val="00216AE0"/>
    <w:rsid w:val="00216D0B"/>
    <w:rsid w:val="00217035"/>
    <w:rsid w:val="0021719F"/>
    <w:rsid w:val="002172AD"/>
    <w:rsid w:val="00217310"/>
    <w:rsid w:val="00217440"/>
    <w:rsid w:val="002174C3"/>
    <w:rsid w:val="00217573"/>
    <w:rsid w:val="00217964"/>
    <w:rsid w:val="0021798F"/>
    <w:rsid w:val="00217DB3"/>
    <w:rsid w:val="00217E36"/>
    <w:rsid w:val="002201E1"/>
    <w:rsid w:val="00220344"/>
    <w:rsid w:val="002204F7"/>
    <w:rsid w:val="002207C9"/>
    <w:rsid w:val="002208DA"/>
    <w:rsid w:val="00220EEB"/>
    <w:rsid w:val="00220FBB"/>
    <w:rsid w:val="00221244"/>
    <w:rsid w:val="00221960"/>
    <w:rsid w:val="002223A1"/>
    <w:rsid w:val="002223F3"/>
    <w:rsid w:val="00222784"/>
    <w:rsid w:val="00222AF7"/>
    <w:rsid w:val="002236BB"/>
    <w:rsid w:val="002239E1"/>
    <w:rsid w:val="00224018"/>
    <w:rsid w:val="00224994"/>
    <w:rsid w:val="00224C0E"/>
    <w:rsid w:val="002253AB"/>
    <w:rsid w:val="00225B99"/>
    <w:rsid w:val="00225F02"/>
    <w:rsid w:val="0022609A"/>
    <w:rsid w:val="0022609C"/>
    <w:rsid w:val="00226550"/>
    <w:rsid w:val="0022675B"/>
    <w:rsid w:val="00226A92"/>
    <w:rsid w:val="00226C63"/>
    <w:rsid w:val="00226DF5"/>
    <w:rsid w:val="0022754D"/>
    <w:rsid w:val="0022770C"/>
    <w:rsid w:val="00227838"/>
    <w:rsid w:val="002278F1"/>
    <w:rsid w:val="00227FD9"/>
    <w:rsid w:val="002300C1"/>
    <w:rsid w:val="002303D4"/>
    <w:rsid w:val="00230480"/>
    <w:rsid w:val="00230679"/>
    <w:rsid w:val="0023146C"/>
    <w:rsid w:val="00231D07"/>
    <w:rsid w:val="002320FD"/>
    <w:rsid w:val="00232425"/>
    <w:rsid w:val="00232440"/>
    <w:rsid w:val="00232DDA"/>
    <w:rsid w:val="00234157"/>
    <w:rsid w:val="00234637"/>
    <w:rsid w:val="00234F24"/>
    <w:rsid w:val="002362E0"/>
    <w:rsid w:val="002362EA"/>
    <w:rsid w:val="00236397"/>
    <w:rsid w:val="00236655"/>
    <w:rsid w:val="002366A8"/>
    <w:rsid w:val="00236C59"/>
    <w:rsid w:val="00237231"/>
    <w:rsid w:val="002377F8"/>
    <w:rsid w:val="002378F5"/>
    <w:rsid w:val="00237CC0"/>
    <w:rsid w:val="00240552"/>
    <w:rsid w:val="00240630"/>
    <w:rsid w:val="002408EA"/>
    <w:rsid w:val="00240E03"/>
    <w:rsid w:val="0024189F"/>
    <w:rsid w:val="00241D78"/>
    <w:rsid w:val="002423F9"/>
    <w:rsid w:val="00242461"/>
    <w:rsid w:val="002427B1"/>
    <w:rsid w:val="00242810"/>
    <w:rsid w:val="00242A52"/>
    <w:rsid w:val="00242FFD"/>
    <w:rsid w:val="0024324D"/>
    <w:rsid w:val="002432AB"/>
    <w:rsid w:val="0024383D"/>
    <w:rsid w:val="00243C02"/>
    <w:rsid w:val="00243D97"/>
    <w:rsid w:val="002440B3"/>
    <w:rsid w:val="00244256"/>
    <w:rsid w:val="00244386"/>
    <w:rsid w:val="00244587"/>
    <w:rsid w:val="002448C5"/>
    <w:rsid w:val="00244937"/>
    <w:rsid w:val="00244E79"/>
    <w:rsid w:val="00244F4B"/>
    <w:rsid w:val="00245027"/>
    <w:rsid w:val="002450FE"/>
    <w:rsid w:val="00245141"/>
    <w:rsid w:val="00245156"/>
    <w:rsid w:val="00245336"/>
    <w:rsid w:val="00245C82"/>
    <w:rsid w:val="00245D46"/>
    <w:rsid w:val="00246098"/>
    <w:rsid w:val="0024655A"/>
    <w:rsid w:val="00246590"/>
    <w:rsid w:val="002466F0"/>
    <w:rsid w:val="00246DF9"/>
    <w:rsid w:val="00246E7A"/>
    <w:rsid w:val="002471C7"/>
    <w:rsid w:val="0025013B"/>
    <w:rsid w:val="00250816"/>
    <w:rsid w:val="00250A18"/>
    <w:rsid w:val="0025100D"/>
    <w:rsid w:val="0025126B"/>
    <w:rsid w:val="00251372"/>
    <w:rsid w:val="00251535"/>
    <w:rsid w:val="002519E4"/>
    <w:rsid w:val="002519FD"/>
    <w:rsid w:val="00251D95"/>
    <w:rsid w:val="00251F43"/>
    <w:rsid w:val="00252055"/>
    <w:rsid w:val="00252688"/>
    <w:rsid w:val="0025276F"/>
    <w:rsid w:val="00252D6F"/>
    <w:rsid w:val="00253056"/>
    <w:rsid w:val="002535F7"/>
    <w:rsid w:val="00253928"/>
    <w:rsid w:val="00254121"/>
    <w:rsid w:val="0025457F"/>
    <w:rsid w:val="002548B2"/>
    <w:rsid w:val="00254978"/>
    <w:rsid w:val="00254A96"/>
    <w:rsid w:val="0025512E"/>
    <w:rsid w:val="00255250"/>
    <w:rsid w:val="00255310"/>
    <w:rsid w:val="002555BD"/>
    <w:rsid w:val="00255BAD"/>
    <w:rsid w:val="00255D80"/>
    <w:rsid w:val="0025603E"/>
    <w:rsid w:val="00256243"/>
    <w:rsid w:val="002566B6"/>
    <w:rsid w:val="00256B1A"/>
    <w:rsid w:val="00256D32"/>
    <w:rsid w:val="00256E1F"/>
    <w:rsid w:val="00256F36"/>
    <w:rsid w:val="002574E3"/>
    <w:rsid w:val="00257520"/>
    <w:rsid w:val="0025752C"/>
    <w:rsid w:val="002577D1"/>
    <w:rsid w:val="00260134"/>
    <w:rsid w:val="00260303"/>
    <w:rsid w:val="002605D6"/>
    <w:rsid w:val="00260C6E"/>
    <w:rsid w:val="0026162C"/>
    <w:rsid w:val="002617B3"/>
    <w:rsid w:val="002617F0"/>
    <w:rsid w:val="0026187E"/>
    <w:rsid w:val="00261A47"/>
    <w:rsid w:val="00261C2A"/>
    <w:rsid w:val="00261F0A"/>
    <w:rsid w:val="0026264E"/>
    <w:rsid w:val="00262675"/>
    <w:rsid w:val="00263097"/>
    <w:rsid w:val="002633BF"/>
    <w:rsid w:val="002633D5"/>
    <w:rsid w:val="00263527"/>
    <w:rsid w:val="002641BC"/>
    <w:rsid w:val="00264265"/>
    <w:rsid w:val="00264487"/>
    <w:rsid w:val="002646E4"/>
    <w:rsid w:val="00264776"/>
    <w:rsid w:val="00264A6A"/>
    <w:rsid w:val="00264A6D"/>
    <w:rsid w:val="00264CAE"/>
    <w:rsid w:val="0026573D"/>
    <w:rsid w:val="00265757"/>
    <w:rsid w:val="00265A89"/>
    <w:rsid w:val="00266105"/>
    <w:rsid w:val="00266501"/>
    <w:rsid w:val="002665CB"/>
    <w:rsid w:val="00266BE6"/>
    <w:rsid w:val="00266C45"/>
    <w:rsid w:val="00266C95"/>
    <w:rsid w:val="00266EDB"/>
    <w:rsid w:val="00267782"/>
    <w:rsid w:val="00267B56"/>
    <w:rsid w:val="00267DEA"/>
    <w:rsid w:val="0027052A"/>
    <w:rsid w:val="00270CF7"/>
    <w:rsid w:val="00271018"/>
    <w:rsid w:val="002710FF"/>
    <w:rsid w:val="002712E3"/>
    <w:rsid w:val="00271641"/>
    <w:rsid w:val="002717B6"/>
    <w:rsid w:val="002717E8"/>
    <w:rsid w:val="00271840"/>
    <w:rsid w:val="00271BBD"/>
    <w:rsid w:val="00271F21"/>
    <w:rsid w:val="0027244A"/>
    <w:rsid w:val="0027272E"/>
    <w:rsid w:val="00272730"/>
    <w:rsid w:val="00272DE9"/>
    <w:rsid w:val="00272F86"/>
    <w:rsid w:val="00273086"/>
    <w:rsid w:val="0027358C"/>
    <w:rsid w:val="00274C38"/>
    <w:rsid w:val="00275093"/>
    <w:rsid w:val="0027511D"/>
    <w:rsid w:val="00275221"/>
    <w:rsid w:val="002752AE"/>
    <w:rsid w:val="0027555F"/>
    <w:rsid w:val="002755CA"/>
    <w:rsid w:val="002756D9"/>
    <w:rsid w:val="00276052"/>
    <w:rsid w:val="0027606E"/>
    <w:rsid w:val="00276219"/>
    <w:rsid w:val="002765BC"/>
    <w:rsid w:val="00276625"/>
    <w:rsid w:val="00276BD1"/>
    <w:rsid w:val="00276DD6"/>
    <w:rsid w:val="002771E3"/>
    <w:rsid w:val="002776FA"/>
    <w:rsid w:val="00277718"/>
    <w:rsid w:val="00277897"/>
    <w:rsid w:val="00277E53"/>
    <w:rsid w:val="00277EA3"/>
    <w:rsid w:val="00277F9A"/>
    <w:rsid w:val="00280014"/>
    <w:rsid w:val="00280158"/>
    <w:rsid w:val="00280E1A"/>
    <w:rsid w:val="002813A6"/>
    <w:rsid w:val="002813E7"/>
    <w:rsid w:val="002816B0"/>
    <w:rsid w:val="002819D7"/>
    <w:rsid w:val="00281C3C"/>
    <w:rsid w:val="00281DC9"/>
    <w:rsid w:val="0028222D"/>
    <w:rsid w:val="002822C3"/>
    <w:rsid w:val="00282340"/>
    <w:rsid w:val="0028266E"/>
    <w:rsid w:val="00282671"/>
    <w:rsid w:val="0028279E"/>
    <w:rsid w:val="002829CD"/>
    <w:rsid w:val="00282AAB"/>
    <w:rsid w:val="00282B66"/>
    <w:rsid w:val="00282BE6"/>
    <w:rsid w:val="00282D57"/>
    <w:rsid w:val="00283085"/>
    <w:rsid w:val="0028357F"/>
    <w:rsid w:val="00283584"/>
    <w:rsid w:val="0028390A"/>
    <w:rsid w:val="00283A1E"/>
    <w:rsid w:val="00284184"/>
    <w:rsid w:val="0028432A"/>
    <w:rsid w:val="002844B2"/>
    <w:rsid w:val="0028452D"/>
    <w:rsid w:val="00284607"/>
    <w:rsid w:val="00284614"/>
    <w:rsid w:val="0028480C"/>
    <w:rsid w:val="00284B60"/>
    <w:rsid w:val="00284F25"/>
    <w:rsid w:val="002852BB"/>
    <w:rsid w:val="002855FD"/>
    <w:rsid w:val="00285D57"/>
    <w:rsid w:val="00285F6A"/>
    <w:rsid w:val="00286125"/>
    <w:rsid w:val="002865C2"/>
    <w:rsid w:val="00286709"/>
    <w:rsid w:val="0028697F"/>
    <w:rsid w:val="00286C27"/>
    <w:rsid w:val="00286E66"/>
    <w:rsid w:val="00286F73"/>
    <w:rsid w:val="002871DD"/>
    <w:rsid w:val="0028767C"/>
    <w:rsid w:val="00287BB8"/>
    <w:rsid w:val="00287C2B"/>
    <w:rsid w:val="00287E51"/>
    <w:rsid w:val="00287F7A"/>
    <w:rsid w:val="0029080E"/>
    <w:rsid w:val="00290F4D"/>
    <w:rsid w:val="00290F6F"/>
    <w:rsid w:val="00290FED"/>
    <w:rsid w:val="00291250"/>
    <w:rsid w:val="002912B6"/>
    <w:rsid w:val="00291EF2"/>
    <w:rsid w:val="0029253F"/>
    <w:rsid w:val="002927F7"/>
    <w:rsid w:val="00292B03"/>
    <w:rsid w:val="00292BC3"/>
    <w:rsid w:val="00292E65"/>
    <w:rsid w:val="0029372A"/>
    <w:rsid w:val="002938CD"/>
    <w:rsid w:val="00293B56"/>
    <w:rsid w:val="00294465"/>
    <w:rsid w:val="00294742"/>
    <w:rsid w:val="002949C5"/>
    <w:rsid w:val="00294DF4"/>
    <w:rsid w:val="00294E0F"/>
    <w:rsid w:val="00294FE2"/>
    <w:rsid w:val="00295447"/>
    <w:rsid w:val="00295527"/>
    <w:rsid w:val="002958AA"/>
    <w:rsid w:val="00295B3E"/>
    <w:rsid w:val="00295F3A"/>
    <w:rsid w:val="0029635B"/>
    <w:rsid w:val="00296532"/>
    <w:rsid w:val="00296669"/>
    <w:rsid w:val="00296ACC"/>
    <w:rsid w:val="00296BC9"/>
    <w:rsid w:val="00296CF1"/>
    <w:rsid w:val="00296E30"/>
    <w:rsid w:val="00296F20"/>
    <w:rsid w:val="00297360"/>
    <w:rsid w:val="002973E9"/>
    <w:rsid w:val="0029766A"/>
    <w:rsid w:val="00297752"/>
    <w:rsid w:val="002978A0"/>
    <w:rsid w:val="00297CF2"/>
    <w:rsid w:val="00297DC0"/>
    <w:rsid w:val="00297E17"/>
    <w:rsid w:val="002A012D"/>
    <w:rsid w:val="002A04F5"/>
    <w:rsid w:val="002A0534"/>
    <w:rsid w:val="002A0725"/>
    <w:rsid w:val="002A0832"/>
    <w:rsid w:val="002A11FA"/>
    <w:rsid w:val="002A1863"/>
    <w:rsid w:val="002A1B42"/>
    <w:rsid w:val="002A1C2E"/>
    <w:rsid w:val="002A1F03"/>
    <w:rsid w:val="002A1F8C"/>
    <w:rsid w:val="002A2584"/>
    <w:rsid w:val="002A26E3"/>
    <w:rsid w:val="002A275A"/>
    <w:rsid w:val="002A2F61"/>
    <w:rsid w:val="002A303D"/>
    <w:rsid w:val="002A30BC"/>
    <w:rsid w:val="002A3411"/>
    <w:rsid w:val="002A38A1"/>
    <w:rsid w:val="002A3972"/>
    <w:rsid w:val="002A3DA3"/>
    <w:rsid w:val="002A3DB4"/>
    <w:rsid w:val="002A3EC2"/>
    <w:rsid w:val="002A3FBF"/>
    <w:rsid w:val="002A406A"/>
    <w:rsid w:val="002A4546"/>
    <w:rsid w:val="002A45C4"/>
    <w:rsid w:val="002A46DA"/>
    <w:rsid w:val="002A4902"/>
    <w:rsid w:val="002A4A0B"/>
    <w:rsid w:val="002A4B0C"/>
    <w:rsid w:val="002A4CCC"/>
    <w:rsid w:val="002A4F2A"/>
    <w:rsid w:val="002A52CB"/>
    <w:rsid w:val="002A52F8"/>
    <w:rsid w:val="002A5497"/>
    <w:rsid w:val="002A57B4"/>
    <w:rsid w:val="002A5844"/>
    <w:rsid w:val="002A5991"/>
    <w:rsid w:val="002A59E9"/>
    <w:rsid w:val="002A62AD"/>
    <w:rsid w:val="002A6819"/>
    <w:rsid w:val="002A6976"/>
    <w:rsid w:val="002A6B9F"/>
    <w:rsid w:val="002A6C92"/>
    <w:rsid w:val="002A7298"/>
    <w:rsid w:val="002A7462"/>
    <w:rsid w:val="002A7542"/>
    <w:rsid w:val="002A77F6"/>
    <w:rsid w:val="002A7828"/>
    <w:rsid w:val="002B034E"/>
    <w:rsid w:val="002B0455"/>
    <w:rsid w:val="002B052C"/>
    <w:rsid w:val="002B0549"/>
    <w:rsid w:val="002B0D25"/>
    <w:rsid w:val="002B1021"/>
    <w:rsid w:val="002B1206"/>
    <w:rsid w:val="002B1A26"/>
    <w:rsid w:val="002B1BC3"/>
    <w:rsid w:val="002B1E36"/>
    <w:rsid w:val="002B1E5F"/>
    <w:rsid w:val="002B1FA1"/>
    <w:rsid w:val="002B2A1A"/>
    <w:rsid w:val="002B2BCE"/>
    <w:rsid w:val="002B30BD"/>
    <w:rsid w:val="002B32CB"/>
    <w:rsid w:val="002B3354"/>
    <w:rsid w:val="002B33AC"/>
    <w:rsid w:val="002B34D1"/>
    <w:rsid w:val="002B359C"/>
    <w:rsid w:val="002B3DE1"/>
    <w:rsid w:val="002B3FA7"/>
    <w:rsid w:val="002B4039"/>
    <w:rsid w:val="002B41DF"/>
    <w:rsid w:val="002B470E"/>
    <w:rsid w:val="002B49F8"/>
    <w:rsid w:val="002B4FDC"/>
    <w:rsid w:val="002B54F7"/>
    <w:rsid w:val="002B564B"/>
    <w:rsid w:val="002B58B5"/>
    <w:rsid w:val="002B590F"/>
    <w:rsid w:val="002B5BA9"/>
    <w:rsid w:val="002B5C5F"/>
    <w:rsid w:val="002B5E24"/>
    <w:rsid w:val="002B6093"/>
    <w:rsid w:val="002B617E"/>
    <w:rsid w:val="002B61A3"/>
    <w:rsid w:val="002B61F7"/>
    <w:rsid w:val="002B64AA"/>
    <w:rsid w:val="002B6505"/>
    <w:rsid w:val="002B6585"/>
    <w:rsid w:val="002B6E37"/>
    <w:rsid w:val="002B6F5B"/>
    <w:rsid w:val="002B6FAA"/>
    <w:rsid w:val="002B71E9"/>
    <w:rsid w:val="002B71F3"/>
    <w:rsid w:val="002B7735"/>
    <w:rsid w:val="002B7A65"/>
    <w:rsid w:val="002B7B6A"/>
    <w:rsid w:val="002B7C26"/>
    <w:rsid w:val="002B7CCD"/>
    <w:rsid w:val="002C02D0"/>
    <w:rsid w:val="002C05ED"/>
    <w:rsid w:val="002C0B3B"/>
    <w:rsid w:val="002C163A"/>
    <w:rsid w:val="002C17B2"/>
    <w:rsid w:val="002C194C"/>
    <w:rsid w:val="002C1A7E"/>
    <w:rsid w:val="002C1A7F"/>
    <w:rsid w:val="002C2264"/>
    <w:rsid w:val="002C233D"/>
    <w:rsid w:val="002C248B"/>
    <w:rsid w:val="002C2558"/>
    <w:rsid w:val="002C2570"/>
    <w:rsid w:val="002C25A8"/>
    <w:rsid w:val="002C2740"/>
    <w:rsid w:val="002C27DA"/>
    <w:rsid w:val="002C2839"/>
    <w:rsid w:val="002C28C9"/>
    <w:rsid w:val="002C2B8A"/>
    <w:rsid w:val="002C3116"/>
    <w:rsid w:val="002C3503"/>
    <w:rsid w:val="002C3536"/>
    <w:rsid w:val="002C37E5"/>
    <w:rsid w:val="002C39CE"/>
    <w:rsid w:val="002C3A65"/>
    <w:rsid w:val="002C3AA7"/>
    <w:rsid w:val="002C4244"/>
    <w:rsid w:val="002C43F4"/>
    <w:rsid w:val="002C498F"/>
    <w:rsid w:val="002C4C1E"/>
    <w:rsid w:val="002C4D7D"/>
    <w:rsid w:val="002C4EFA"/>
    <w:rsid w:val="002C54C8"/>
    <w:rsid w:val="002C560D"/>
    <w:rsid w:val="002C5D4D"/>
    <w:rsid w:val="002C6731"/>
    <w:rsid w:val="002C6AC0"/>
    <w:rsid w:val="002C6AEA"/>
    <w:rsid w:val="002C6AF5"/>
    <w:rsid w:val="002C7427"/>
    <w:rsid w:val="002C7670"/>
    <w:rsid w:val="002C7BD1"/>
    <w:rsid w:val="002D0186"/>
    <w:rsid w:val="002D0205"/>
    <w:rsid w:val="002D0352"/>
    <w:rsid w:val="002D05B2"/>
    <w:rsid w:val="002D089E"/>
    <w:rsid w:val="002D092B"/>
    <w:rsid w:val="002D0C5E"/>
    <w:rsid w:val="002D0F3C"/>
    <w:rsid w:val="002D108C"/>
    <w:rsid w:val="002D13BC"/>
    <w:rsid w:val="002D148A"/>
    <w:rsid w:val="002D1729"/>
    <w:rsid w:val="002D17F8"/>
    <w:rsid w:val="002D1C0A"/>
    <w:rsid w:val="002D1F05"/>
    <w:rsid w:val="002D1F31"/>
    <w:rsid w:val="002D1F4B"/>
    <w:rsid w:val="002D1F73"/>
    <w:rsid w:val="002D279D"/>
    <w:rsid w:val="002D2D27"/>
    <w:rsid w:val="002D2F18"/>
    <w:rsid w:val="002D306F"/>
    <w:rsid w:val="002D3376"/>
    <w:rsid w:val="002D37BC"/>
    <w:rsid w:val="002D3936"/>
    <w:rsid w:val="002D3958"/>
    <w:rsid w:val="002D3B51"/>
    <w:rsid w:val="002D3BFC"/>
    <w:rsid w:val="002D3C6B"/>
    <w:rsid w:val="002D3E00"/>
    <w:rsid w:val="002D3E77"/>
    <w:rsid w:val="002D411B"/>
    <w:rsid w:val="002D4592"/>
    <w:rsid w:val="002D48BA"/>
    <w:rsid w:val="002D4E20"/>
    <w:rsid w:val="002D5468"/>
    <w:rsid w:val="002D5737"/>
    <w:rsid w:val="002D5A11"/>
    <w:rsid w:val="002D5B40"/>
    <w:rsid w:val="002D6142"/>
    <w:rsid w:val="002D6298"/>
    <w:rsid w:val="002D62BC"/>
    <w:rsid w:val="002D6D49"/>
    <w:rsid w:val="002D7170"/>
    <w:rsid w:val="002D7575"/>
    <w:rsid w:val="002D7E8B"/>
    <w:rsid w:val="002D7F52"/>
    <w:rsid w:val="002E0F5B"/>
    <w:rsid w:val="002E12E2"/>
    <w:rsid w:val="002E131A"/>
    <w:rsid w:val="002E15C6"/>
    <w:rsid w:val="002E1624"/>
    <w:rsid w:val="002E1E2F"/>
    <w:rsid w:val="002E2126"/>
    <w:rsid w:val="002E2299"/>
    <w:rsid w:val="002E23FE"/>
    <w:rsid w:val="002E24EA"/>
    <w:rsid w:val="002E2777"/>
    <w:rsid w:val="002E27E3"/>
    <w:rsid w:val="002E2AA9"/>
    <w:rsid w:val="002E2D3A"/>
    <w:rsid w:val="002E349C"/>
    <w:rsid w:val="002E3542"/>
    <w:rsid w:val="002E36EB"/>
    <w:rsid w:val="002E3705"/>
    <w:rsid w:val="002E3945"/>
    <w:rsid w:val="002E4030"/>
    <w:rsid w:val="002E444D"/>
    <w:rsid w:val="002E44AD"/>
    <w:rsid w:val="002E4612"/>
    <w:rsid w:val="002E4E03"/>
    <w:rsid w:val="002E4F41"/>
    <w:rsid w:val="002E510F"/>
    <w:rsid w:val="002E5249"/>
    <w:rsid w:val="002E54BB"/>
    <w:rsid w:val="002E56AB"/>
    <w:rsid w:val="002E58D0"/>
    <w:rsid w:val="002E5CE9"/>
    <w:rsid w:val="002E6091"/>
    <w:rsid w:val="002E6685"/>
    <w:rsid w:val="002E68D4"/>
    <w:rsid w:val="002E70B8"/>
    <w:rsid w:val="002E7539"/>
    <w:rsid w:val="002E765B"/>
    <w:rsid w:val="002E7721"/>
    <w:rsid w:val="002E778C"/>
    <w:rsid w:val="002E781F"/>
    <w:rsid w:val="002E7A8C"/>
    <w:rsid w:val="002E7E57"/>
    <w:rsid w:val="002F0057"/>
    <w:rsid w:val="002F02B9"/>
    <w:rsid w:val="002F0604"/>
    <w:rsid w:val="002F0720"/>
    <w:rsid w:val="002F0847"/>
    <w:rsid w:val="002F0F7F"/>
    <w:rsid w:val="002F13BB"/>
    <w:rsid w:val="002F142D"/>
    <w:rsid w:val="002F1840"/>
    <w:rsid w:val="002F184E"/>
    <w:rsid w:val="002F18A5"/>
    <w:rsid w:val="002F1968"/>
    <w:rsid w:val="002F1D50"/>
    <w:rsid w:val="002F28E8"/>
    <w:rsid w:val="002F2A3F"/>
    <w:rsid w:val="002F2E9A"/>
    <w:rsid w:val="002F3219"/>
    <w:rsid w:val="002F35B9"/>
    <w:rsid w:val="002F3775"/>
    <w:rsid w:val="002F3990"/>
    <w:rsid w:val="002F3E00"/>
    <w:rsid w:val="002F446A"/>
    <w:rsid w:val="002F446C"/>
    <w:rsid w:val="002F47F7"/>
    <w:rsid w:val="002F49C4"/>
    <w:rsid w:val="002F51B6"/>
    <w:rsid w:val="002F52DF"/>
    <w:rsid w:val="002F5D60"/>
    <w:rsid w:val="002F6450"/>
    <w:rsid w:val="002F65A9"/>
    <w:rsid w:val="002F6E14"/>
    <w:rsid w:val="002F6EA4"/>
    <w:rsid w:val="002F75CA"/>
    <w:rsid w:val="002F77E1"/>
    <w:rsid w:val="002F7DE4"/>
    <w:rsid w:val="002F7E0F"/>
    <w:rsid w:val="002F7EBF"/>
    <w:rsid w:val="00300031"/>
    <w:rsid w:val="00300058"/>
    <w:rsid w:val="00300071"/>
    <w:rsid w:val="003000E1"/>
    <w:rsid w:val="003003B8"/>
    <w:rsid w:val="003006A4"/>
    <w:rsid w:val="0030086A"/>
    <w:rsid w:val="00300AE2"/>
    <w:rsid w:val="00300E46"/>
    <w:rsid w:val="00301237"/>
    <w:rsid w:val="003012A7"/>
    <w:rsid w:val="003012C4"/>
    <w:rsid w:val="00301FCE"/>
    <w:rsid w:val="0030213D"/>
    <w:rsid w:val="0030250D"/>
    <w:rsid w:val="0030253B"/>
    <w:rsid w:val="0030295E"/>
    <w:rsid w:val="003029C8"/>
    <w:rsid w:val="00302A8F"/>
    <w:rsid w:val="003030AC"/>
    <w:rsid w:val="003037A6"/>
    <w:rsid w:val="00303AAF"/>
    <w:rsid w:val="00303B03"/>
    <w:rsid w:val="00303DBD"/>
    <w:rsid w:val="00303EBD"/>
    <w:rsid w:val="00304708"/>
    <w:rsid w:val="003049F7"/>
    <w:rsid w:val="00304A2F"/>
    <w:rsid w:val="00305263"/>
    <w:rsid w:val="00305972"/>
    <w:rsid w:val="00305D6D"/>
    <w:rsid w:val="0030652E"/>
    <w:rsid w:val="00306AC2"/>
    <w:rsid w:val="00306C0C"/>
    <w:rsid w:val="00307296"/>
    <w:rsid w:val="0030763A"/>
    <w:rsid w:val="0030767C"/>
    <w:rsid w:val="0030784A"/>
    <w:rsid w:val="00310645"/>
    <w:rsid w:val="003108BD"/>
    <w:rsid w:val="003109D3"/>
    <w:rsid w:val="0031131A"/>
    <w:rsid w:val="00311A3B"/>
    <w:rsid w:val="00311B30"/>
    <w:rsid w:val="00311BE4"/>
    <w:rsid w:val="00311BF2"/>
    <w:rsid w:val="00311ED0"/>
    <w:rsid w:val="00311FE9"/>
    <w:rsid w:val="00312E4B"/>
    <w:rsid w:val="00312EAD"/>
    <w:rsid w:val="0031308D"/>
    <w:rsid w:val="0031334E"/>
    <w:rsid w:val="00313592"/>
    <w:rsid w:val="00313BC2"/>
    <w:rsid w:val="00314A68"/>
    <w:rsid w:val="00314A7C"/>
    <w:rsid w:val="00315226"/>
    <w:rsid w:val="00315326"/>
    <w:rsid w:val="003155CB"/>
    <w:rsid w:val="00315837"/>
    <w:rsid w:val="0031611E"/>
    <w:rsid w:val="0031649C"/>
    <w:rsid w:val="00316719"/>
    <w:rsid w:val="00316DB3"/>
    <w:rsid w:val="00316DC7"/>
    <w:rsid w:val="00317298"/>
    <w:rsid w:val="003172C5"/>
    <w:rsid w:val="003179CC"/>
    <w:rsid w:val="00317EE4"/>
    <w:rsid w:val="00317EEF"/>
    <w:rsid w:val="00320065"/>
    <w:rsid w:val="003200CB"/>
    <w:rsid w:val="00320808"/>
    <w:rsid w:val="003209EC"/>
    <w:rsid w:val="00320A5A"/>
    <w:rsid w:val="00320ACB"/>
    <w:rsid w:val="00320B70"/>
    <w:rsid w:val="00320EB3"/>
    <w:rsid w:val="003219A4"/>
    <w:rsid w:val="00321AB9"/>
    <w:rsid w:val="00321BCC"/>
    <w:rsid w:val="00321CF0"/>
    <w:rsid w:val="00321E00"/>
    <w:rsid w:val="00321F48"/>
    <w:rsid w:val="0032237B"/>
    <w:rsid w:val="00322941"/>
    <w:rsid w:val="00322C34"/>
    <w:rsid w:val="00322D01"/>
    <w:rsid w:val="00322E66"/>
    <w:rsid w:val="00323D6F"/>
    <w:rsid w:val="003246B8"/>
    <w:rsid w:val="00324706"/>
    <w:rsid w:val="0032494C"/>
    <w:rsid w:val="00324F1E"/>
    <w:rsid w:val="003251E3"/>
    <w:rsid w:val="00325AF8"/>
    <w:rsid w:val="00325B39"/>
    <w:rsid w:val="00325F17"/>
    <w:rsid w:val="00325FB4"/>
    <w:rsid w:val="00326073"/>
    <w:rsid w:val="00326203"/>
    <w:rsid w:val="0032620D"/>
    <w:rsid w:val="0032659C"/>
    <w:rsid w:val="00326633"/>
    <w:rsid w:val="0032687D"/>
    <w:rsid w:val="0032688C"/>
    <w:rsid w:val="003269C3"/>
    <w:rsid w:val="00326A61"/>
    <w:rsid w:val="00326C6B"/>
    <w:rsid w:val="00326F5C"/>
    <w:rsid w:val="003271CB"/>
    <w:rsid w:val="0032753D"/>
    <w:rsid w:val="00327561"/>
    <w:rsid w:val="0032787A"/>
    <w:rsid w:val="00327FD4"/>
    <w:rsid w:val="00330322"/>
    <w:rsid w:val="00330CC7"/>
    <w:rsid w:val="00330D90"/>
    <w:rsid w:val="00330DE1"/>
    <w:rsid w:val="0033118E"/>
    <w:rsid w:val="00331667"/>
    <w:rsid w:val="0033186D"/>
    <w:rsid w:val="00331D7C"/>
    <w:rsid w:val="003325D2"/>
    <w:rsid w:val="00332AED"/>
    <w:rsid w:val="003331D1"/>
    <w:rsid w:val="003332AF"/>
    <w:rsid w:val="003332F2"/>
    <w:rsid w:val="003333DF"/>
    <w:rsid w:val="00333474"/>
    <w:rsid w:val="003335D3"/>
    <w:rsid w:val="00333B7E"/>
    <w:rsid w:val="00334079"/>
    <w:rsid w:val="0033407B"/>
    <w:rsid w:val="003343CD"/>
    <w:rsid w:val="00334586"/>
    <w:rsid w:val="00334938"/>
    <w:rsid w:val="00334F4E"/>
    <w:rsid w:val="00335190"/>
    <w:rsid w:val="003352E0"/>
    <w:rsid w:val="0033538E"/>
    <w:rsid w:val="00335985"/>
    <w:rsid w:val="00335BD9"/>
    <w:rsid w:val="0033611E"/>
    <w:rsid w:val="00336D68"/>
    <w:rsid w:val="00336DAB"/>
    <w:rsid w:val="00336DE9"/>
    <w:rsid w:val="00336E40"/>
    <w:rsid w:val="0033757D"/>
    <w:rsid w:val="003375D9"/>
    <w:rsid w:val="00337622"/>
    <w:rsid w:val="00337BC3"/>
    <w:rsid w:val="00337CEE"/>
    <w:rsid w:val="00337D7D"/>
    <w:rsid w:val="00337FBF"/>
    <w:rsid w:val="00340105"/>
    <w:rsid w:val="003405C8"/>
    <w:rsid w:val="00340C5E"/>
    <w:rsid w:val="00340CD7"/>
    <w:rsid w:val="0034109D"/>
    <w:rsid w:val="00341297"/>
    <w:rsid w:val="003413CB"/>
    <w:rsid w:val="00341498"/>
    <w:rsid w:val="0034173E"/>
    <w:rsid w:val="0034174D"/>
    <w:rsid w:val="003417FF"/>
    <w:rsid w:val="0034229E"/>
    <w:rsid w:val="0034258E"/>
    <w:rsid w:val="00342F2A"/>
    <w:rsid w:val="00343072"/>
    <w:rsid w:val="00343288"/>
    <w:rsid w:val="00343917"/>
    <w:rsid w:val="00343AF8"/>
    <w:rsid w:val="0034419B"/>
    <w:rsid w:val="003441E1"/>
    <w:rsid w:val="003442C7"/>
    <w:rsid w:val="0034446F"/>
    <w:rsid w:val="003445B2"/>
    <w:rsid w:val="0034464A"/>
    <w:rsid w:val="00344983"/>
    <w:rsid w:val="00344C7C"/>
    <w:rsid w:val="00344D13"/>
    <w:rsid w:val="003450A6"/>
    <w:rsid w:val="00345546"/>
    <w:rsid w:val="00345783"/>
    <w:rsid w:val="00345DCC"/>
    <w:rsid w:val="003463CF"/>
    <w:rsid w:val="0034692A"/>
    <w:rsid w:val="00346CB2"/>
    <w:rsid w:val="00346D5E"/>
    <w:rsid w:val="003470A7"/>
    <w:rsid w:val="00350938"/>
    <w:rsid w:val="00350D3A"/>
    <w:rsid w:val="00350DFD"/>
    <w:rsid w:val="00351046"/>
    <w:rsid w:val="0035114A"/>
    <w:rsid w:val="003511C7"/>
    <w:rsid w:val="00351535"/>
    <w:rsid w:val="00351585"/>
    <w:rsid w:val="00351AA4"/>
    <w:rsid w:val="003520DB"/>
    <w:rsid w:val="003522F5"/>
    <w:rsid w:val="003524A0"/>
    <w:rsid w:val="003525BF"/>
    <w:rsid w:val="0035276D"/>
    <w:rsid w:val="00352928"/>
    <w:rsid w:val="00352C53"/>
    <w:rsid w:val="00352FBC"/>
    <w:rsid w:val="00353080"/>
    <w:rsid w:val="00353086"/>
    <w:rsid w:val="00353093"/>
    <w:rsid w:val="003536B5"/>
    <w:rsid w:val="003536CB"/>
    <w:rsid w:val="00353D0E"/>
    <w:rsid w:val="003540DF"/>
    <w:rsid w:val="003546BC"/>
    <w:rsid w:val="00354B96"/>
    <w:rsid w:val="00355261"/>
    <w:rsid w:val="003555B3"/>
    <w:rsid w:val="00355688"/>
    <w:rsid w:val="00355CA7"/>
    <w:rsid w:val="00355E24"/>
    <w:rsid w:val="00355F79"/>
    <w:rsid w:val="00356097"/>
    <w:rsid w:val="003560D4"/>
    <w:rsid w:val="00356383"/>
    <w:rsid w:val="00356389"/>
    <w:rsid w:val="00356E16"/>
    <w:rsid w:val="0035729A"/>
    <w:rsid w:val="00357337"/>
    <w:rsid w:val="0035750B"/>
    <w:rsid w:val="00357549"/>
    <w:rsid w:val="0035787E"/>
    <w:rsid w:val="00360014"/>
    <w:rsid w:val="0036001F"/>
    <w:rsid w:val="003606EB"/>
    <w:rsid w:val="00360AEF"/>
    <w:rsid w:val="00360CF6"/>
    <w:rsid w:val="00361246"/>
    <w:rsid w:val="003615FF"/>
    <w:rsid w:val="0036184C"/>
    <w:rsid w:val="00361873"/>
    <w:rsid w:val="00361908"/>
    <w:rsid w:val="00361A01"/>
    <w:rsid w:val="00361A22"/>
    <w:rsid w:val="00361DB3"/>
    <w:rsid w:val="00361F00"/>
    <w:rsid w:val="00362945"/>
    <w:rsid w:val="00362EFB"/>
    <w:rsid w:val="00362F26"/>
    <w:rsid w:val="00363F5C"/>
    <w:rsid w:val="0036403B"/>
    <w:rsid w:val="003640AD"/>
    <w:rsid w:val="0036419E"/>
    <w:rsid w:val="003641A6"/>
    <w:rsid w:val="0036428A"/>
    <w:rsid w:val="003645AB"/>
    <w:rsid w:val="003648C5"/>
    <w:rsid w:val="00364942"/>
    <w:rsid w:val="00364B25"/>
    <w:rsid w:val="00364B56"/>
    <w:rsid w:val="00364CB5"/>
    <w:rsid w:val="00364E76"/>
    <w:rsid w:val="00365238"/>
    <w:rsid w:val="003652C1"/>
    <w:rsid w:val="0036566B"/>
    <w:rsid w:val="00365833"/>
    <w:rsid w:val="00365D24"/>
    <w:rsid w:val="0036660F"/>
    <w:rsid w:val="00366928"/>
    <w:rsid w:val="00366CBA"/>
    <w:rsid w:val="00366CE9"/>
    <w:rsid w:val="0036739B"/>
    <w:rsid w:val="00367B41"/>
    <w:rsid w:val="0037021E"/>
    <w:rsid w:val="0037091C"/>
    <w:rsid w:val="00370F11"/>
    <w:rsid w:val="00371093"/>
    <w:rsid w:val="003710B3"/>
    <w:rsid w:val="003717D0"/>
    <w:rsid w:val="0037181A"/>
    <w:rsid w:val="00371EAA"/>
    <w:rsid w:val="00371EB5"/>
    <w:rsid w:val="003722A4"/>
    <w:rsid w:val="003722FA"/>
    <w:rsid w:val="003723E2"/>
    <w:rsid w:val="0037242A"/>
    <w:rsid w:val="0037243D"/>
    <w:rsid w:val="003727D8"/>
    <w:rsid w:val="00372F10"/>
    <w:rsid w:val="00373314"/>
    <w:rsid w:val="00373391"/>
    <w:rsid w:val="0037356F"/>
    <w:rsid w:val="0037376F"/>
    <w:rsid w:val="00373DEF"/>
    <w:rsid w:val="003744A3"/>
    <w:rsid w:val="0037456D"/>
    <w:rsid w:val="00374CDA"/>
    <w:rsid w:val="00374ECB"/>
    <w:rsid w:val="003754DA"/>
    <w:rsid w:val="0037598F"/>
    <w:rsid w:val="00375C3C"/>
    <w:rsid w:val="00375DA7"/>
    <w:rsid w:val="0037608F"/>
    <w:rsid w:val="003769BA"/>
    <w:rsid w:val="00376A96"/>
    <w:rsid w:val="003771C4"/>
    <w:rsid w:val="00377823"/>
    <w:rsid w:val="00380449"/>
    <w:rsid w:val="0038096B"/>
    <w:rsid w:val="003809CA"/>
    <w:rsid w:val="00380B50"/>
    <w:rsid w:val="00380B5E"/>
    <w:rsid w:val="00380E7D"/>
    <w:rsid w:val="00381042"/>
    <w:rsid w:val="00381066"/>
    <w:rsid w:val="00381112"/>
    <w:rsid w:val="00381193"/>
    <w:rsid w:val="00381CD7"/>
    <w:rsid w:val="00381EE0"/>
    <w:rsid w:val="00382120"/>
    <w:rsid w:val="0038216B"/>
    <w:rsid w:val="0038227B"/>
    <w:rsid w:val="00382E85"/>
    <w:rsid w:val="00382FDB"/>
    <w:rsid w:val="003830C6"/>
    <w:rsid w:val="00383141"/>
    <w:rsid w:val="00383224"/>
    <w:rsid w:val="00383391"/>
    <w:rsid w:val="003833E4"/>
    <w:rsid w:val="003837B4"/>
    <w:rsid w:val="00383D26"/>
    <w:rsid w:val="00383D3A"/>
    <w:rsid w:val="00383DA3"/>
    <w:rsid w:val="00384341"/>
    <w:rsid w:val="00384433"/>
    <w:rsid w:val="00384550"/>
    <w:rsid w:val="00384710"/>
    <w:rsid w:val="0038483E"/>
    <w:rsid w:val="00384967"/>
    <w:rsid w:val="00384B13"/>
    <w:rsid w:val="00384CC3"/>
    <w:rsid w:val="00384FAE"/>
    <w:rsid w:val="00385026"/>
    <w:rsid w:val="0038531B"/>
    <w:rsid w:val="0038576F"/>
    <w:rsid w:val="00385FA6"/>
    <w:rsid w:val="00386515"/>
    <w:rsid w:val="00386563"/>
    <w:rsid w:val="00386818"/>
    <w:rsid w:val="00386C48"/>
    <w:rsid w:val="00386C9F"/>
    <w:rsid w:val="003871A9"/>
    <w:rsid w:val="003878FA"/>
    <w:rsid w:val="00387CC9"/>
    <w:rsid w:val="00387F87"/>
    <w:rsid w:val="00390886"/>
    <w:rsid w:val="00390B14"/>
    <w:rsid w:val="00390E29"/>
    <w:rsid w:val="00391733"/>
    <w:rsid w:val="00391A8A"/>
    <w:rsid w:val="00391C8A"/>
    <w:rsid w:val="00391D00"/>
    <w:rsid w:val="00391DDA"/>
    <w:rsid w:val="00391E3C"/>
    <w:rsid w:val="0039204A"/>
    <w:rsid w:val="0039244C"/>
    <w:rsid w:val="003924DD"/>
    <w:rsid w:val="00392BB3"/>
    <w:rsid w:val="00392F13"/>
    <w:rsid w:val="0039301D"/>
    <w:rsid w:val="0039328A"/>
    <w:rsid w:val="0039343D"/>
    <w:rsid w:val="00393775"/>
    <w:rsid w:val="00393793"/>
    <w:rsid w:val="0039390F"/>
    <w:rsid w:val="003939EF"/>
    <w:rsid w:val="00393F46"/>
    <w:rsid w:val="00394BEC"/>
    <w:rsid w:val="00394CC2"/>
    <w:rsid w:val="00394EA6"/>
    <w:rsid w:val="00394F6D"/>
    <w:rsid w:val="0039537B"/>
    <w:rsid w:val="00395705"/>
    <w:rsid w:val="0039588F"/>
    <w:rsid w:val="0039621B"/>
    <w:rsid w:val="00396A76"/>
    <w:rsid w:val="00397558"/>
    <w:rsid w:val="003975E7"/>
    <w:rsid w:val="00397620"/>
    <w:rsid w:val="00397799"/>
    <w:rsid w:val="0039799B"/>
    <w:rsid w:val="00397E99"/>
    <w:rsid w:val="00397F4A"/>
    <w:rsid w:val="003A0714"/>
    <w:rsid w:val="003A079C"/>
    <w:rsid w:val="003A0D2F"/>
    <w:rsid w:val="003A0F69"/>
    <w:rsid w:val="003A10D2"/>
    <w:rsid w:val="003A1CEA"/>
    <w:rsid w:val="003A2003"/>
    <w:rsid w:val="003A213D"/>
    <w:rsid w:val="003A23FF"/>
    <w:rsid w:val="003A246D"/>
    <w:rsid w:val="003A2A6F"/>
    <w:rsid w:val="003A2FA6"/>
    <w:rsid w:val="003A3242"/>
    <w:rsid w:val="003A33FA"/>
    <w:rsid w:val="003A34E1"/>
    <w:rsid w:val="003A3B09"/>
    <w:rsid w:val="003A3B92"/>
    <w:rsid w:val="003A3BA1"/>
    <w:rsid w:val="003A3CA3"/>
    <w:rsid w:val="003A3DB1"/>
    <w:rsid w:val="003A3E13"/>
    <w:rsid w:val="003A417E"/>
    <w:rsid w:val="003A44A4"/>
    <w:rsid w:val="003A4824"/>
    <w:rsid w:val="003A4888"/>
    <w:rsid w:val="003A4EF4"/>
    <w:rsid w:val="003A4F65"/>
    <w:rsid w:val="003A512B"/>
    <w:rsid w:val="003A551C"/>
    <w:rsid w:val="003A568F"/>
    <w:rsid w:val="003A5881"/>
    <w:rsid w:val="003A591E"/>
    <w:rsid w:val="003A59BA"/>
    <w:rsid w:val="003A618B"/>
    <w:rsid w:val="003A63C7"/>
    <w:rsid w:val="003A68D5"/>
    <w:rsid w:val="003A6ACA"/>
    <w:rsid w:val="003A6E4F"/>
    <w:rsid w:val="003A7122"/>
    <w:rsid w:val="003A754E"/>
    <w:rsid w:val="003A758B"/>
    <w:rsid w:val="003A76D6"/>
    <w:rsid w:val="003A7DE9"/>
    <w:rsid w:val="003B0058"/>
    <w:rsid w:val="003B06CA"/>
    <w:rsid w:val="003B0CDE"/>
    <w:rsid w:val="003B0DB2"/>
    <w:rsid w:val="003B1469"/>
    <w:rsid w:val="003B179B"/>
    <w:rsid w:val="003B19CC"/>
    <w:rsid w:val="003B1B6D"/>
    <w:rsid w:val="003B2187"/>
    <w:rsid w:val="003B270C"/>
    <w:rsid w:val="003B2D3F"/>
    <w:rsid w:val="003B2D7F"/>
    <w:rsid w:val="003B2E16"/>
    <w:rsid w:val="003B34AD"/>
    <w:rsid w:val="003B3570"/>
    <w:rsid w:val="003B4111"/>
    <w:rsid w:val="003B41DF"/>
    <w:rsid w:val="003B4282"/>
    <w:rsid w:val="003B45C6"/>
    <w:rsid w:val="003B46D0"/>
    <w:rsid w:val="003B4ED7"/>
    <w:rsid w:val="003B528E"/>
    <w:rsid w:val="003B52C4"/>
    <w:rsid w:val="003B5356"/>
    <w:rsid w:val="003B5F04"/>
    <w:rsid w:val="003B606F"/>
    <w:rsid w:val="003B64BF"/>
    <w:rsid w:val="003B6526"/>
    <w:rsid w:val="003B6D4C"/>
    <w:rsid w:val="003B7073"/>
    <w:rsid w:val="003B730A"/>
    <w:rsid w:val="003B74FA"/>
    <w:rsid w:val="003B7C72"/>
    <w:rsid w:val="003B7F4A"/>
    <w:rsid w:val="003C0AE3"/>
    <w:rsid w:val="003C1000"/>
    <w:rsid w:val="003C1335"/>
    <w:rsid w:val="003C1998"/>
    <w:rsid w:val="003C1E49"/>
    <w:rsid w:val="003C21E5"/>
    <w:rsid w:val="003C24ED"/>
    <w:rsid w:val="003C2531"/>
    <w:rsid w:val="003C2690"/>
    <w:rsid w:val="003C2754"/>
    <w:rsid w:val="003C27B7"/>
    <w:rsid w:val="003C2A44"/>
    <w:rsid w:val="003C2A56"/>
    <w:rsid w:val="003C2B8E"/>
    <w:rsid w:val="003C2C24"/>
    <w:rsid w:val="003C2E12"/>
    <w:rsid w:val="003C32F4"/>
    <w:rsid w:val="003C37BB"/>
    <w:rsid w:val="003C3818"/>
    <w:rsid w:val="003C3888"/>
    <w:rsid w:val="003C4046"/>
    <w:rsid w:val="003C414B"/>
    <w:rsid w:val="003C430C"/>
    <w:rsid w:val="003C447B"/>
    <w:rsid w:val="003C4A95"/>
    <w:rsid w:val="003C4CC6"/>
    <w:rsid w:val="003C4E00"/>
    <w:rsid w:val="003C5CB3"/>
    <w:rsid w:val="003C5E85"/>
    <w:rsid w:val="003C62F8"/>
    <w:rsid w:val="003C6931"/>
    <w:rsid w:val="003C69FB"/>
    <w:rsid w:val="003C6A46"/>
    <w:rsid w:val="003C6D47"/>
    <w:rsid w:val="003C7AAF"/>
    <w:rsid w:val="003C7B93"/>
    <w:rsid w:val="003C7BAB"/>
    <w:rsid w:val="003C7C04"/>
    <w:rsid w:val="003D02FF"/>
    <w:rsid w:val="003D03FC"/>
    <w:rsid w:val="003D04C0"/>
    <w:rsid w:val="003D0659"/>
    <w:rsid w:val="003D0702"/>
    <w:rsid w:val="003D0804"/>
    <w:rsid w:val="003D0868"/>
    <w:rsid w:val="003D0908"/>
    <w:rsid w:val="003D0991"/>
    <w:rsid w:val="003D0E9D"/>
    <w:rsid w:val="003D1105"/>
    <w:rsid w:val="003D126F"/>
    <w:rsid w:val="003D17B1"/>
    <w:rsid w:val="003D1CC0"/>
    <w:rsid w:val="003D1CCD"/>
    <w:rsid w:val="003D221B"/>
    <w:rsid w:val="003D2382"/>
    <w:rsid w:val="003D277A"/>
    <w:rsid w:val="003D2AFD"/>
    <w:rsid w:val="003D2BD9"/>
    <w:rsid w:val="003D2D5C"/>
    <w:rsid w:val="003D3010"/>
    <w:rsid w:val="003D356F"/>
    <w:rsid w:val="003D3A68"/>
    <w:rsid w:val="003D3AFA"/>
    <w:rsid w:val="003D3CCD"/>
    <w:rsid w:val="003D4CC1"/>
    <w:rsid w:val="003D4EF4"/>
    <w:rsid w:val="003D5182"/>
    <w:rsid w:val="003D5807"/>
    <w:rsid w:val="003D5C5F"/>
    <w:rsid w:val="003D5E3C"/>
    <w:rsid w:val="003D5F0C"/>
    <w:rsid w:val="003D5F1C"/>
    <w:rsid w:val="003D6216"/>
    <w:rsid w:val="003D685F"/>
    <w:rsid w:val="003D6C74"/>
    <w:rsid w:val="003D6F6A"/>
    <w:rsid w:val="003D7556"/>
    <w:rsid w:val="003D79F0"/>
    <w:rsid w:val="003D7B8E"/>
    <w:rsid w:val="003D7D53"/>
    <w:rsid w:val="003D7F0B"/>
    <w:rsid w:val="003E02C5"/>
    <w:rsid w:val="003E054D"/>
    <w:rsid w:val="003E0576"/>
    <w:rsid w:val="003E0873"/>
    <w:rsid w:val="003E097D"/>
    <w:rsid w:val="003E1FC2"/>
    <w:rsid w:val="003E2086"/>
    <w:rsid w:val="003E246F"/>
    <w:rsid w:val="003E267D"/>
    <w:rsid w:val="003E26B6"/>
    <w:rsid w:val="003E2774"/>
    <w:rsid w:val="003E2D95"/>
    <w:rsid w:val="003E2F6F"/>
    <w:rsid w:val="003E3110"/>
    <w:rsid w:val="003E3573"/>
    <w:rsid w:val="003E3C7E"/>
    <w:rsid w:val="003E42AB"/>
    <w:rsid w:val="003E4B6B"/>
    <w:rsid w:val="003E4DF2"/>
    <w:rsid w:val="003E5319"/>
    <w:rsid w:val="003E572C"/>
    <w:rsid w:val="003E579A"/>
    <w:rsid w:val="003E59AC"/>
    <w:rsid w:val="003E5C24"/>
    <w:rsid w:val="003E5D8F"/>
    <w:rsid w:val="003E5DB3"/>
    <w:rsid w:val="003E5F45"/>
    <w:rsid w:val="003E5FAD"/>
    <w:rsid w:val="003E5FFB"/>
    <w:rsid w:val="003E6168"/>
    <w:rsid w:val="003E61A7"/>
    <w:rsid w:val="003E6605"/>
    <w:rsid w:val="003E6650"/>
    <w:rsid w:val="003E68BA"/>
    <w:rsid w:val="003E6932"/>
    <w:rsid w:val="003E6B01"/>
    <w:rsid w:val="003E77CF"/>
    <w:rsid w:val="003F047E"/>
    <w:rsid w:val="003F0A04"/>
    <w:rsid w:val="003F0E51"/>
    <w:rsid w:val="003F0E69"/>
    <w:rsid w:val="003F11C9"/>
    <w:rsid w:val="003F1243"/>
    <w:rsid w:val="003F1550"/>
    <w:rsid w:val="003F173E"/>
    <w:rsid w:val="003F1B70"/>
    <w:rsid w:val="003F1BA6"/>
    <w:rsid w:val="003F1C1C"/>
    <w:rsid w:val="003F1D44"/>
    <w:rsid w:val="003F1EAE"/>
    <w:rsid w:val="003F1F9C"/>
    <w:rsid w:val="003F2174"/>
    <w:rsid w:val="003F239C"/>
    <w:rsid w:val="003F2544"/>
    <w:rsid w:val="003F27B0"/>
    <w:rsid w:val="003F28DC"/>
    <w:rsid w:val="003F2E16"/>
    <w:rsid w:val="003F2EFF"/>
    <w:rsid w:val="003F44D5"/>
    <w:rsid w:val="003F4779"/>
    <w:rsid w:val="003F47B9"/>
    <w:rsid w:val="003F4A10"/>
    <w:rsid w:val="003F4A13"/>
    <w:rsid w:val="003F5F02"/>
    <w:rsid w:val="003F6295"/>
    <w:rsid w:val="003F62D2"/>
    <w:rsid w:val="003F6529"/>
    <w:rsid w:val="003F660F"/>
    <w:rsid w:val="003F6D06"/>
    <w:rsid w:val="003F6DEB"/>
    <w:rsid w:val="003F7000"/>
    <w:rsid w:val="003F7051"/>
    <w:rsid w:val="003F723D"/>
    <w:rsid w:val="003F7333"/>
    <w:rsid w:val="003F784C"/>
    <w:rsid w:val="004005B3"/>
    <w:rsid w:val="00400653"/>
    <w:rsid w:val="00400A37"/>
    <w:rsid w:val="00400A7B"/>
    <w:rsid w:val="004017E7"/>
    <w:rsid w:val="00401E9D"/>
    <w:rsid w:val="00401F65"/>
    <w:rsid w:val="004020D4"/>
    <w:rsid w:val="00402241"/>
    <w:rsid w:val="00402341"/>
    <w:rsid w:val="00402531"/>
    <w:rsid w:val="0040262A"/>
    <w:rsid w:val="00402685"/>
    <w:rsid w:val="00402A72"/>
    <w:rsid w:val="00402B21"/>
    <w:rsid w:val="00402B3B"/>
    <w:rsid w:val="00402DAC"/>
    <w:rsid w:val="00402DE7"/>
    <w:rsid w:val="00403108"/>
    <w:rsid w:val="0040393A"/>
    <w:rsid w:val="00403ADF"/>
    <w:rsid w:val="00403C45"/>
    <w:rsid w:val="004043CF"/>
    <w:rsid w:val="004044DE"/>
    <w:rsid w:val="004045A1"/>
    <w:rsid w:val="0040460C"/>
    <w:rsid w:val="00404703"/>
    <w:rsid w:val="0040472E"/>
    <w:rsid w:val="00404782"/>
    <w:rsid w:val="00404BB9"/>
    <w:rsid w:val="00404C1B"/>
    <w:rsid w:val="00404D8B"/>
    <w:rsid w:val="004050CB"/>
    <w:rsid w:val="004057C2"/>
    <w:rsid w:val="00405F58"/>
    <w:rsid w:val="004061DB"/>
    <w:rsid w:val="0040665F"/>
    <w:rsid w:val="004070E1"/>
    <w:rsid w:val="00407276"/>
    <w:rsid w:val="004075B6"/>
    <w:rsid w:val="0040787B"/>
    <w:rsid w:val="00407A4F"/>
    <w:rsid w:val="00407D42"/>
    <w:rsid w:val="00410077"/>
    <w:rsid w:val="00410388"/>
    <w:rsid w:val="00410548"/>
    <w:rsid w:val="00410857"/>
    <w:rsid w:val="004108D8"/>
    <w:rsid w:val="0041096E"/>
    <w:rsid w:val="00410ADA"/>
    <w:rsid w:val="004115B2"/>
    <w:rsid w:val="00411849"/>
    <w:rsid w:val="00411A39"/>
    <w:rsid w:val="00411C73"/>
    <w:rsid w:val="00411FCB"/>
    <w:rsid w:val="00412465"/>
    <w:rsid w:val="00412723"/>
    <w:rsid w:val="0041273A"/>
    <w:rsid w:val="00412EF6"/>
    <w:rsid w:val="004134C4"/>
    <w:rsid w:val="00413670"/>
    <w:rsid w:val="0041410B"/>
    <w:rsid w:val="00414998"/>
    <w:rsid w:val="00414AAB"/>
    <w:rsid w:val="00414B6E"/>
    <w:rsid w:val="00414C5D"/>
    <w:rsid w:val="00414E2D"/>
    <w:rsid w:val="00415FF8"/>
    <w:rsid w:val="004161BB"/>
    <w:rsid w:val="004163F2"/>
    <w:rsid w:val="0041644F"/>
    <w:rsid w:val="00416DA2"/>
    <w:rsid w:val="00416E9E"/>
    <w:rsid w:val="00417B0C"/>
    <w:rsid w:val="00417C38"/>
    <w:rsid w:val="00417E4F"/>
    <w:rsid w:val="00417FB4"/>
    <w:rsid w:val="00420952"/>
    <w:rsid w:val="00420B2A"/>
    <w:rsid w:val="00420D43"/>
    <w:rsid w:val="004212F8"/>
    <w:rsid w:val="00421331"/>
    <w:rsid w:val="0042159C"/>
    <w:rsid w:val="004216AA"/>
    <w:rsid w:val="00421788"/>
    <w:rsid w:val="00421C74"/>
    <w:rsid w:val="00422433"/>
    <w:rsid w:val="0042256B"/>
    <w:rsid w:val="00422B6D"/>
    <w:rsid w:val="00422C0D"/>
    <w:rsid w:val="00422C4B"/>
    <w:rsid w:val="00422E99"/>
    <w:rsid w:val="00422E9E"/>
    <w:rsid w:val="0042306D"/>
    <w:rsid w:val="0042307D"/>
    <w:rsid w:val="00423712"/>
    <w:rsid w:val="00423853"/>
    <w:rsid w:val="00423D8D"/>
    <w:rsid w:val="004241DA"/>
    <w:rsid w:val="00424263"/>
    <w:rsid w:val="004243AA"/>
    <w:rsid w:val="00424798"/>
    <w:rsid w:val="00424F2D"/>
    <w:rsid w:val="004251A7"/>
    <w:rsid w:val="00425AC4"/>
    <w:rsid w:val="00425DD1"/>
    <w:rsid w:val="0042605F"/>
    <w:rsid w:val="0042625E"/>
    <w:rsid w:val="00426490"/>
    <w:rsid w:val="00426565"/>
    <w:rsid w:val="00426E91"/>
    <w:rsid w:val="00427167"/>
    <w:rsid w:val="004271F4"/>
    <w:rsid w:val="00427665"/>
    <w:rsid w:val="00427A4C"/>
    <w:rsid w:val="004302F1"/>
    <w:rsid w:val="00430DD9"/>
    <w:rsid w:val="00431210"/>
    <w:rsid w:val="0043130B"/>
    <w:rsid w:val="00431442"/>
    <w:rsid w:val="004316B9"/>
    <w:rsid w:val="00431B07"/>
    <w:rsid w:val="00431B13"/>
    <w:rsid w:val="00431C7F"/>
    <w:rsid w:val="004320EE"/>
    <w:rsid w:val="00432306"/>
    <w:rsid w:val="0043232E"/>
    <w:rsid w:val="00432520"/>
    <w:rsid w:val="004326E8"/>
    <w:rsid w:val="00432BA2"/>
    <w:rsid w:val="00432BBF"/>
    <w:rsid w:val="00432C11"/>
    <w:rsid w:val="00432DA2"/>
    <w:rsid w:val="0043330D"/>
    <w:rsid w:val="00433412"/>
    <w:rsid w:val="00433546"/>
    <w:rsid w:val="0043369F"/>
    <w:rsid w:val="00434348"/>
    <w:rsid w:val="004343FC"/>
    <w:rsid w:val="00434550"/>
    <w:rsid w:val="00434B5F"/>
    <w:rsid w:val="00434DDB"/>
    <w:rsid w:val="00434FFD"/>
    <w:rsid w:val="0043503C"/>
    <w:rsid w:val="00435155"/>
    <w:rsid w:val="00436132"/>
    <w:rsid w:val="004362DC"/>
    <w:rsid w:val="00436450"/>
    <w:rsid w:val="0043729E"/>
    <w:rsid w:val="0043757C"/>
    <w:rsid w:val="004375F1"/>
    <w:rsid w:val="00437835"/>
    <w:rsid w:val="00437E9D"/>
    <w:rsid w:val="004401B7"/>
    <w:rsid w:val="00440318"/>
    <w:rsid w:val="00440607"/>
    <w:rsid w:val="00440C09"/>
    <w:rsid w:val="004412A6"/>
    <w:rsid w:val="0044181C"/>
    <w:rsid w:val="00441CF7"/>
    <w:rsid w:val="00442013"/>
    <w:rsid w:val="0044230C"/>
    <w:rsid w:val="004424A6"/>
    <w:rsid w:val="004424CF"/>
    <w:rsid w:val="0044268D"/>
    <w:rsid w:val="00442716"/>
    <w:rsid w:val="004434BE"/>
    <w:rsid w:val="00443839"/>
    <w:rsid w:val="00443EB9"/>
    <w:rsid w:val="00444408"/>
    <w:rsid w:val="0044441A"/>
    <w:rsid w:val="004447D0"/>
    <w:rsid w:val="00444FC0"/>
    <w:rsid w:val="004450EA"/>
    <w:rsid w:val="004453CC"/>
    <w:rsid w:val="004457D9"/>
    <w:rsid w:val="00445841"/>
    <w:rsid w:val="00445B51"/>
    <w:rsid w:val="00445C3B"/>
    <w:rsid w:val="004461B5"/>
    <w:rsid w:val="004469BB"/>
    <w:rsid w:val="00446BEE"/>
    <w:rsid w:val="00446F49"/>
    <w:rsid w:val="00447007"/>
    <w:rsid w:val="004473A8"/>
    <w:rsid w:val="0044774B"/>
    <w:rsid w:val="00447868"/>
    <w:rsid w:val="0045008E"/>
    <w:rsid w:val="004500C6"/>
    <w:rsid w:val="004501F2"/>
    <w:rsid w:val="0045032B"/>
    <w:rsid w:val="004505C4"/>
    <w:rsid w:val="00450614"/>
    <w:rsid w:val="004506DE"/>
    <w:rsid w:val="0045077E"/>
    <w:rsid w:val="00450AA5"/>
    <w:rsid w:val="00450ADC"/>
    <w:rsid w:val="00450EB8"/>
    <w:rsid w:val="00450F89"/>
    <w:rsid w:val="004511E8"/>
    <w:rsid w:val="004513D5"/>
    <w:rsid w:val="004516EB"/>
    <w:rsid w:val="004518E4"/>
    <w:rsid w:val="00451912"/>
    <w:rsid w:val="00451E57"/>
    <w:rsid w:val="004528DF"/>
    <w:rsid w:val="00452ADC"/>
    <w:rsid w:val="00452F8D"/>
    <w:rsid w:val="004533DD"/>
    <w:rsid w:val="00453813"/>
    <w:rsid w:val="00453B09"/>
    <w:rsid w:val="00453B18"/>
    <w:rsid w:val="00453E2A"/>
    <w:rsid w:val="0045445A"/>
    <w:rsid w:val="004545C8"/>
    <w:rsid w:val="00454982"/>
    <w:rsid w:val="00454FF8"/>
    <w:rsid w:val="0045500B"/>
    <w:rsid w:val="004557F3"/>
    <w:rsid w:val="00455981"/>
    <w:rsid w:val="0045599A"/>
    <w:rsid w:val="004559E0"/>
    <w:rsid w:val="00455B15"/>
    <w:rsid w:val="00455ED7"/>
    <w:rsid w:val="00456345"/>
    <w:rsid w:val="00456621"/>
    <w:rsid w:val="00456D16"/>
    <w:rsid w:val="004572BE"/>
    <w:rsid w:val="004572D4"/>
    <w:rsid w:val="00457761"/>
    <w:rsid w:val="00457B44"/>
    <w:rsid w:val="00457E9A"/>
    <w:rsid w:val="00460014"/>
    <w:rsid w:val="004602A2"/>
    <w:rsid w:val="004602AD"/>
    <w:rsid w:val="00460E07"/>
    <w:rsid w:val="00460E48"/>
    <w:rsid w:val="0046152F"/>
    <w:rsid w:val="00461804"/>
    <w:rsid w:val="0046194D"/>
    <w:rsid w:val="00461B01"/>
    <w:rsid w:val="00461C74"/>
    <w:rsid w:val="00461CC9"/>
    <w:rsid w:val="00461E55"/>
    <w:rsid w:val="004625E5"/>
    <w:rsid w:val="004629E8"/>
    <w:rsid w:val="00462BC6"/>
    <w:rsid w:val="004630E8"/>
    <w:rsid w:val="0046342F"/>
    <w:rsid w:val="004638AA"/>
    <w:rsid w:val="00463B46"/>
    <w:rsid w:val="00463BD5"/>
    <w:rsid w:val="00463C3A"/>
    <w:rsid w:val="00463C52"/>
    <w:rsid w:val="00463DFC"/>
    <w:rsid w:val="0046451C"/>
    <w:rsid w:val="0046451D"/>
    <w:rsid w:val="004645C1"/>
    <w:rsid w:val="00464C90"/>
    <w:rsid w:val="00464D8D"/>
    <w:rsid w:val="004653C3"/>
    <w:rsid w:val="0046698D"/>
    <w:rsid w:val="00466A08"/>
    <w:rsid w:val="00466BA5"/>
    <w:rsid w:val="00466F4F"/>
    <w:rsid w:val="00466FAF"/>
    <w:rsid w:val="004671C4"/>
    <w:rsid w:val="00467251"/>
    <w:rsid w:val="004673C2"/>
    <w:rsid w:val="004674CF"/>
    <w:rsid w:val="004675AC"/>
    <w:rsid w:val="00467CDF"/>
    <w:rsid w:val="00470111"/>
    <w:rsid w:val="00470229"/>
    <w:rsid w:val="004702A7"/>
    <w:rsid w:val="0047082D"/>
    <w:rsid w:val="00470BAF"/>
    <w:rsid w:val="00471474"/>
    <w:rsid w:val="00471632"/>
    <w:rsid w:val="00471C20"/>
    <w:rsid w:val="00471D3E"/>
    <w:rsid w:val="00471E9E"/>
    <w:rsid w:val="00472320"/>
    <w:rsid w:val="00472718"/>
    <w:rsid w:val="00472903"/>
    <w:rsid w:val="00472B01"/>
    <w:rsid w:val="00472B52"/>
    <w:rsid w:val="004735A8"/>
    <w:rsid w:val="00473AD7"/>
    <w:rsid w:val="00473FD2"/>
    <w:rsid w:val="004740D9"/>
    <w:rsid w:val="004741E3"/>
    <w:rsid w:val="0047433D"/>
    <w:rsid w:val="004745D0"/>
    <w:rsid w:val="00474631"/>
    <w:rsid w:val="00475391"/>
    <w:rsid w:val="0047554C"/>
    <w:rsid w:val="00475B08"/>
    <w:rsid w:val="00475C5C"/>
    <w:rsid w:val="0047605B"/>
    <w:rsid w:val="0047624E"/>
    <w:rsid w:val="00476F36"/>
    <w:rsid w:val="00477067"/>
    <w:rsid w:val="004773C1"/>
    <w:rsid w:val="0047745B"/>
    <w:rsid w:val="004774CE"/>
    <w:rsid w:val="00477674"/>
    <w:rsid w:val="00477AFA"/>
    <w:rsid w:val="0048038A"/>
    <w:rsid w:val="0048047C"/>
    <w:rsid w:val="0048069F"/>
    <w:rsid w:val="00480845"/>
    <w:rsid w:val="00480BC9"/>
    <w:rsid w:val="00480BD5"/>
    <w:rsid w:val="00480DA9"/>
    <w:rsid w:val="004814A9"/>
    <w:rsid w:val="004814D0"/>
    <w:rsid w:val="00481BBD"/>
    <w:rsid w:val="00482139"/>
    <w:rsid w:val="0048265C"/>
    <w:rsid w:val="00482AA9"/>
    <w:rsid w:val="00482AAF"/>
    <w:rsid w:val="00482C69"/>
    <w:rsid w:val="00483187"/>
    <w:rsid w:val="004835BB"/>
    <w:rsid w:val="00483984"/>
    <w:rsid w:val="00484227"/>
    <w:rsid w:val="0048467F"/>
    <w:rsid w:val="004849C0"/>
    <w:rsid w:val="00484AAE"/>
    <w:rsid w:val="004850A1"/>
    <w:rsid w:val="004850EF"/>
    <w:rsid w:val="00485445"/>
    <w:rsid w:val="004857B3"/>
    <w:rsid w:val="00485887"/>
    <w:rsid w:val="00485C37"/>
    <w:rsid w:val="00485E54"/>
    <w:rsid w:val="00485E82"/>
    <w:rsid w:val="004863F4"/>
    <w:rsid w:val="0048693C"/>
    <w:rsid w:val="00486CCC"/>
    <w:rsid w:val="00486ED3"/>
    <w:rsid w:val="00487026"/>
    <w:rsid w:val="004872B7"/>
    <w:rsid w:val="004872E3"/>
    <w:rsid w:val="00487BD6"/>
    <w:rsid w:val="00487D4F"/>
    <w:rsid w:val="00490216"/>
    <w:rsid w:val="00490450"/>
    <w:rsid w:val="00490956"/>
    <w:rsid w:val="004909AB"/>
    <w:rsid w:val="004909E5"/>
    <w:rsid w:val="00490AC9"/>
    <w:rsid w:val="00490DF0"/>
    <w:rsid w:val="00490FBC"/>
    <w:rsid w:val="0049152A"/>
    <w:rsid w:val="00491F3D"/>
    <w:rsid w:val="00491F81"/>
    <w:rsid w:val="004920D2"/>
    <w:rsid w:val="004922B9"/>
    <w:rsid w:val="004924B5"/>
    <w:rsid w:val="00492690"/>
    <w:rsid w:val="004927CB"/>
    <w:rsid w:val="00493070"/>
    <w:rsid w:val="0049360C"/>
    <w:rsid w:val="004936AB"/>
    <w:rsid w:val="0049387E"/>
    <w:rsid w:val="0049398A"/>
    <w:rsid w:val="004939FB"/>
    <w:rsid w:val="00493BBE"/>
    <w:rsid w:val="00493CE7"/>
    <w:rsid w:val="00493CFA"/>
    <w:rsid w:val="00493F3A"/>
    <w:rsid w:val="00493F49"/>
    <w:rsid w:val="00493F66"/>
    <w:rsid w:val="00494066"/>
    <w:rsid w:val="0049415F"/>
    <w:rsid w:val="00494312"/>
    <w:rsid w:val="004946BE"/>
    <w:rsid w:val="00494811"/>
    <w:rsid w:val="004952B8"/>
    <w:rsid w:val="00495309"/>
    <w:rsid w:val="00495347"/>
    <w:rsid w:val="00495387"/>
    <w:rsid w:val="004957B8"/>
    <w:rsid w:val="004959D9"/>
    <w:rsid w:val="00495A9D"/>
    <w:rsid w:val="00495AE5"/>
    <w:rsid w:val="00495D65"/>
    <w:rsid w:val="00495EE6"/>
    <w:rsid w:val="00495F06"/>
    <w:rsid w:val="00496448"/>
    <w:rsid w:val="004967C0"/>
    <w:rsid w:val="0049696B"/>
    <w:rsid w:val="00496AAB"/>
    <w:rsid w:val="00496BA4"/>
    <w:rsid w:val="00496D18"/>
    <w:rsid w:val="0049700E"/>
    <w:rsid w:val="00497194"/>
    <w:rsid w:val="0049724C"/>
    <w:rsid w:val="00497DEC"/>
    <w:rsid w:val="00497FCC"/>
    <w:rsid w:val="004A04AF"/>
    <w:rsid w:val="004A0E2F"/>
    <w:rsid w:val="004A0FD3"/>
    <w:rsid w:val="004A1631"/>
    <w:rsid w:val="004A16D1"/>
    <w:rsid w:val="004A1985"/>
    <w:rsid w:val="004A1C07"/>
    <w:rsid w:val="004A1DB9"/>
    <w:rsid w:val="004A2241"/>
    <w:rsid w:val="004A25D3"/>
    <w:rsid w:val="004A2E4C"/>
    <w:rsid w:val="004A2F38"/>
    <w:rsid w:val="004A2F53"/>
    <w:rsid w:val="004A3352"/>
    <w:rsid w:val="004A3471"/>
    <w:rsid w:val="004A44B5"/>
    <w:rsid w:val="004A45D8"/>
    <w:rsid w:val="004A45DC"/>
    <w:rsid w:val="004A4ECE"/>
    <w:rsid w:val="004A5222"/>
    <w:rsid w:val="004A5575"/>
    <w:rsid w:val="004A580C"/>
    <w:rsid w:val="004A5884"/>
    <w:rsid w:val="004A5A4E"/>
    <w:rsid w:val="004A5D1E"/>
    <w:rsid w:val="004A5D87"/>
    <w:rsid w:val="004A5E3D"/>
    <w:rsid w:val="004A5E9C"/>
    <w:rsid w:val="004A6308"/>
    <w:rsid w:val="004A640D"/>
    <w:rsid w:val="004A64D7"/>
    <w:rsid w:val="004A6559"/>
    <w:rsid w:val="004A6568"/>
    <w:rsid w:val="004A6608"/>
    <w:rsid w:val="004A673F"/>
    <w:rsid w:val="004A6AC4"/>
    <w:rsid w:val="004A6E1D"/>
    <w:rsid w:val="004A726B"/>
    <w:rsid w:val="004A7A79"/>
    <w:rsid w:val="004B0017"/>
    <w:rsid w:val="004B031C"/>
    <w:rsid w:val="004B0445"/>
    <w:rsid w:val="004B0569"/>
    <w:rsid w:val="004B088E"/>
    <w:rsid w:val="004B0929"/>
    <w:rsid w:val="004B0DA3"/>
    <w:rsid w:val="004B0DE7"/>
    <w:rsid w:val="004B0E92"/>
    <w:rsid w:val="004B124A"/>
    <w:rsid w:val="004B17CB"/>
    <w:rsid w:val="004B1F7E"/>
    <w:rsid w:val="004B27F1"/>
    <w:rsid w:val="004B28E0"/>
    <w:rsid w:val="004B2AE9"/>
    <w:rsid w:val="004B31E7"/>
    <w:rsid w:val="004B3AB3"/>
    <w:rsid w:val="004B3B5F"/>
    <w:rsid w:val="004B3B99"/>
    <w:rsid w:val="004B3CA2"/>
    <w:rsid w:val="004B3D0D"/>
    <w:rsid w:val="004B3DFF"/>
    <w:rsid w:val="004B4332"/>
    <w:rsid w:val="004B4636"/>
    <w:rsid w:val="004B472E"/>
    <w:rsid w:val="004B501B"/>
    <w:rsid w:val="004B52F2"/>
    <w:rsid w:val="004B53D2"/>
    <w:rsid w:val="004B5469"/>
    <w:rsid w:val="004B5534"/>
    <w:rsid w:val="004B56CC"/>
    <w:rsid w:val="004B5963"/>
    <w:rsid w:val="004B5A18"/>
    <w:rsid w:val="004B5B4E"/>
    <w:rsid w:val="004B5F03"/>
    <w:rsid w:val="004B6488"/>
    <w:rsid w:val="004B64FD"/>
    <w:rsid w:val="004B653D"/>
    <w:rsid w:val="004B68FD"/>
    <w:rsid w:val="004B6B95"/>
    <w:rsid w:val="004B7413"/>
    <w:rsid w:val="004B76E5"/>
    <w:rsid w:val="004B7966"/>
    <w:rsid w:val="004B7C11"/>
    <w:rsid w:val="004B7C1A"/>
    <w:rsid w:val="004C043D"/>
    <w:rsid w:val="004C0F6D"/>
    <w:rsid w:val="004C1078"/>
    <w:rsid w:val="004C11F7"/>
    <w:rsid w:val="004C15C5"/>
    <w:rsid w:val="004C1A10"/>
    <w:rsid w:val="004C1AC7"/>
    <w:rsid w:val="004C1F51"/>
    <w:rsid w:val="004C210F"/>
    <w:rsid w:val="004C2187"/>
    <w:rsid w:val="004C22EE"/>
    <w:rsid w:val="004C249F"/>
    <w:rsid w:val="004C3417"/>
    <w:rsid w:val="004C3479"/>
    <w:rsid w:val="004C37AC"/>
    <w:rsid w:val="004C3C0E"/>
    <w:rsid w:val="004C4826"/>
    <w:rsid w:val="004C49A6"/>
    <w:rsid w:val="004C4A49"/>
    <w:rsid w:val="004C5150"/>
    <w:rsid w:val="004C5193"/>
    <w:rsid w:val="004C51B7"/>
    <w:rsid w:val="004C51D1"/>
    <w:rsid w:val="004C5438"/>
    <w:rsid w:val="004C5B53"/>
    <w:rsid w:val="004C5B70"/>
    <w:rsid w:val="004C5CE8"/>
    <w:rsid w:val="004C5D8B"/>
    <w:rsid w:val="004C5D8E"/>
    <w:rsid w:val="004C61A1"/>
    <w:rsid w:val="004C62E0"/>
    <w:rsid w:val="004C6522"/>
    <w:rsid w:val="004C66A7"/>
    <w:rsid w:val="004C66B9"/>
    <w:rsid w:val="004C6763"/>
    <w:rsid w:val="004C698A"/>
    <w:rsid w:val="004C6B75"/>
    <w:rsid w:val="004C6C30"/>
    <w:rsid w:val="004C6D64"/>
    <w:rsid w:val="004C719C"/>
    <w:rsid w:val="004C723D"/>
    <w:rsid w:val="004C7457"/>
    <w:rsid w:val="004C7664"/>
    <w:rsid w:val="004C771D"/>
    <w:rsid w:val="004D0065"/>
    <w:rsid w:val="004D011F"/>
    <w:rsid w:val="004D016C"/>
    <w:rsid w:val="004D028E"/>
    <w:rsid w:val="004D0678"/>
    <w:rsid w:val="004D06C5"/>
    <w:rsid w:val="004D0BC0"/>
    <w:rsid w:val="004D0E21"/>
    <w:rsid w:val="004D1127"/>
    <w:rsid w:val="004D1367"/>
    <w:rsid w:val="004D15CB"/>
    <w:rsid w:val="004D1619"/>
    <w:rsid w:val="004D1B9A"/>
    <w:rsid w:val="004D2232"/>
    <w:rsid w:val="004D2301"/>
    <w:rsid w:val="004D24C3"/>
    <w:rsid w:val="004D273A"/>
    <w:rsid w:val="004D274A"/>
    <w:rsid w:val="004D2B36"/>
    <w:rsid w:val="004D2B64"/>
    <w:rsid w:val="004D3047"/>
    <w:rsid w:val="004D32D1"/>
    <w:rsid w:val="004D3356"/>
    <w:rsid w:val="004D3D7E"/>
    <w:rsid w:val="004D3DFA"/>
    <w:rsid w:val="004D4264"/>
    <w:rsid w:val="004D42DE"/>
    <w:rsid w:val="004D4728"/>
    <w:rsid w:val="004D48D3"/>
    <w:rsid w:val="004D49FA"/>
    <w:rsid w:val="004D4A18"/>
    <w:rsid w:val="004D4F17"/>
    <w:rsid w:val="004D4FF6"/>
    <w:rsid w:val="004D5BA3"/>
    <w:rsid w:val="004D5D8B"/>
    <w:rsid w:val="004D60ED"/>
    <w:rsid w:val="004D6401"/>
    <w:rsid w:val="004D6524"/>
    <w:rsid w:val="004D6718"/>
    <w:rsid w:val="004D6750"/>
    <w:rsid w:val="004D6E6D"/>
    <w:rsid w:val="004D6F53"/>
    <w:rsid w:val="004D7577"/>
    <w:rsid w:val="004D7609"/>
    <w:rsid w:val="004D77DF"/>
    <w:rsid w:val="004D7CFE"/>
    <w:rsid w:val="004E0306"/>
    <w:rsid w:val="004E034B"/>
    <w:rsid w:val="004E05CC"/>
    <w:rsid w:val="004E0CAF"/>
    <w:rsid w:val="004E0F07"/>
    <w:rsid w:val="004E0F27"/>
    <w:rsid w:val="004E1DBA"/>
    <w:rsid w:val="004E1EBD"/>
    <w:rsid w:val="004E2183"/>
    <w:rsid w:val="004E271A"/>
    <w:rsid w:val="004E34E3"/>
    <w:rsid w:val="004E398F"/>
    <w:rsid w:val="004E3A76"/>
    <w:rsid w:val="004E3C8A"/>
    <w:rsid w:val="004E43DF"/>
    <w:rsid w:val="004E45E1"/>
    <w:rsid w:val="004E4D59"/>
    <w:rsid w:val="004E4DB8"/>
    <w:rsid w:val="004E5084"/>
    <w:rsid w:val="004E582D"/>
    <w:rsid w:val="004E5C13"/>
    <w:rsid w:val="004E6506"/>
    <w:rsid w:val="004E666F"/>
    <w:rsid w:val="004E67BA"/>
    <w:rsid w:val="004E691A"/>
    <w:rsid w:val="004E7DE0"/>
    <w:rsid w:val="004E7F4A"/>
    <w:rsid w:val="004F0315"/>
    <w:rsid w:val="004F069F"/>
    <w:rsid w:val="004F0C83"/>
    <w:rsid w:val="004F186F"/>
    <w:rsid w:val="004F19C5"/>
    <w:rsid w:val="004F1B5F"/>
    <w:rsid w:val="004F1D5B"/>
    <w:rsid w:val="004F1DB2"/>
    <w:rsid w:val="004F1F2D"/>
    <w:rsid w:val="004F20E5"/>
    <w:rsid w:val="004F2164"/>
    <w:rsid w:val="004F22B8"/>
    <w:rsid w:val="004F2340"/>
    <w:rsid w:val="004F27FC"/>
    <w:rsid w:val="004F2804"/>
    <w:rsid w:val="004F2971"/>
    <w:rsid w:val="004F2E12"/>
    <w:rsid w:val="004F3006"/>
    <w:rsid w:val="004F36CF"/>
    <w:rsid w:val="004F37F2"/>
    <w:rsid w:val="004F3BD3"/>
    <w:rsid w:val="004F3FD8"/>
    <w:rsid w:val="004F40AB"/>
    <w:rsid w:val="004F4162"/>
    <w:rsid w:val="004F43FA"/>
    <w:rsid w:val="004F45AB"/>
    <w:rsid w:val="004F4778"/>
    <w:rsid w:val="004F4FE2"/>
    <w:rsid w:val="004F4FFB"/>
    <w:rsid w:val="004F5553"/>
    <w:rsid w:val="004F58D1"/>
    <w:rsid w:val="004F5AEB"/>
    <w:rsid w:val="004F5CE4"/>
    <w:rsid w:val="004F5F9F"/>
    <w:rsid w:val="004F6555"/>
    <w:rsid w:val="004F6831"/>
    <w:rsid w:val="004F68C4"/>
    <w:rsid w:val="004F6E7B"/>
    <w:rsid w:val="004F6EFC"/>
    <w:rsid w:val="004F7366"/>
    <w:rsid w:val="004F73F0"/>
    <w:rsid w:val="004F7422"/>
    <w:rsid w:val="004F757A"/>
    <w:rsid w:val="004F7866"/>
    <w:rsid w:val="004F7C90"/>
    <w:rsid w:val="004F7E9C"/>
    <w:rsid w:val="00500255"/>
    <w:rsid w:val="00501633"/>
    <w:rsid w:val="005017DF"/>
    <w:rsid w:val="005019CE"/>
    <w:rsid w:val="00501AEE"/>
    <w:rsid w:val="00501EB3"/>
    <w:rsid w:val="00502010"/>
    <w:rsid w:val="005021F1"/>
    <w:rsid w:val="005023CC"/>
    <w:rsid w:val="005025A1"/>
    <w:rsid w:val="00502640"/>
    <w:rsid w:val="005026DE"/>
    <w:rsid w:val="0050279A"/>
    <w:rsid w:val="005028A5"/>
    <w:rsid w:val="005029EF"/>
    <w:rsid w:val="00502A67"/>
    <w:rsid w:val="00502B2A"/>
    <w:rsid w:val="00502B42"/>
    <w:rsid w:val="00502BF0"/>
    <w:rsid w:val="0050333A"/>
    <w:rsid w:val="005035B3"/>
    <w:rsid w:val="005040B7"/>
    <w:rsid w:val="005041F3"/>
    <w:rsid w:val="00504456"/>
    <w:rsid w:val="005044F9"/>
    <w:rsid w:val="00504936"/>
    <w:rsid w:val="00504AFE"/>
    <w:rsid w:val="00504D4E"/>
    <w:rsid w:val="00504DA3"/>
    <w:rsid w:val="00505551"/>
    <w:rsid w:val="005059FD"/>
    <w:rsid w:val="0050632E"/>
    <w:rsid w:val="00506406"/>
    <w:rsid w:val="00506857"/>
    <w:rsid w:val="00506E16"/>
    <w:rsid w:val="00506E49"/>
    <w:rsid w:val="00507089"/>
    <w:rsid w:val="0050757A"/>
    <w:rsid w:val="00507C59"/>
    <w:rsid w:val="00507C9A"/>
    <w:rsid w:val="00507CC2"/>
    <w:rsid w:val="0051009B"/>
    <w:rsid w:val="005107DD"/>
    <w:rsid w:val="00510804"/>
    <w:rsid w:val="00510B70"/>
    <w:rsid w:val="00510DF9"/>
    <w:rsid w:val="00511419"/>
    <w:rsid w:val="00511FB8"/>
    <w:rsid w:val="005125DF"/>
    <w:rsid w:val="0051277E"/>
    <w:rsid w:val="00512F10"/>
    <w:rsid w:val="005135E8"/>
    <w:rsid w:val="00513D74"/>
    <w:rsid w:val="00514206"/>
    <w:rsid w:val="0051430D"/>
    <w:rsid w:val="00514622"/>
    <w:rsid w:val="0051462D"/>
    <w:rsid w:val="00514C44"/>
    <w:rsid w:val="0051544E"/>
    <w:rsid w:val="00515643"/>
    <w:rsid w:val="0051573B"/>
    <w:rsid w:val="00515D2E"/>
    <w:rsid w:val="00516070"/>
    <w:rsid w:val="0051608D"/>
    <w:rsid w:val="0051624D"/>
    <w:rsid w:val="005167A8"/>
    <w:rsid w:val="00516814"/>
    <w:rsid w:val="00516A6E"/>
    <w:rsid w:val="00516BC6"/>
    <w:rsid w:val="00517274"/>
    <w:rsid w:val="0051757D"/>
    <w:rsid w:val="00517684"/>
    <w:rsid w:val="00517723"/>
    <w:rsid w:val="0051793D"/>
    <w:rsid w:val="00517D42"/>
    <w:rsid w:val="005201B1"/>
    <w:rsid w:val="00520525"/>
    <w:rsid w:val="00520B09"/>
    <w:rsid w:val="00520E88"/>
    <w:rsid w:val="00520FE9"/>
    <w:rsid w:val="00521295"/>
    <w:rsid w:val="0052135E"/>
    <w:rsid w:val="005219BC"/>
    <w:rsid w:val="00521EBC"/>
    <w:rsid w:val="005221F4"/>
    <w:rsid w:val="0052226B"/>
    <w:rsid w:val="005225F0"/>
    <w:rsid w:val="0052368F"/>
    <w:rsid w:val="00523F4F"/>
    <w:rsid w:val="005241E0"/>
    <w:rsid w:val="005243DB"/>
    <w:rsid w:val="005243F9"/>
    <w:rsid w:val="005244EE"/>
    <w:rsid w:val="0052464E"/>
    <w:rsid w:val="005246F2"/>
    <w:rsid w:val="005249AB"/>
    <w:rsid w:val="005253BE"/>
    <w:rsid w:val="005258A6"/>
    <w:rsid w:val="00525A2A"/>
    <w:rsid w:val="00525A69"/>
    <w:rsid w:val="00525D83"/>
    <w:rsid w:val="00525FE9"/>
    <w:rsid w:val="005260FC"/>
    <w:rsid w:val="005262FE"/>
    <w:rsid w:val="005268CB"/>
    <w:rsid w:val="0052695B"/>
    <w:rsid w:val="005269BC"/>
    <w:rsid w:val="00526C3C"/>
    <w:rsid w:val="00527B68"/>
    <w:rsid w:val="00527C11"/>
    <w:rsid w:val="0053019F"/>
    <w:rsid w:val="0053039E"/>
    <w:rsid w:val="00530B7B"/>
    <w:rsid w:val="00530BEF"/>
    <w:rsid w:val="00531538"/>
    <w:rsid w:val="00531A15"/>
    <w:rsid w:val="00531D06"/>
    <w:rsid w:val="00531D70"/>
    <w:rsid w:val="00532228"/>
    <w:rsid w:val="00532579"/>
    <w:rsid w:val="0053287A"/>
    <w:rsid w:val="00532AD1"/>
    <w:rsid w:val="00532C3D"/>
    <w:rsid w:val="00532D8D"/>
    <w:rsid w:val="0053318C"/>
    <w:rsid w:val="00533192"/>
    <w:rsid w:val="005339B2"/>
    <w:rsid w:val="005340F4"/>
    <w:rsid w:val="00534C26"/>
    <w:rsid w:val="0053526C"/>
    <w:rsid w:val="005352B7"/>
    <w:rsid w:val="0053572E"/>
    <w:rsid w:val="00535F0C"/>
    <w:rsid w:val="005360A6"/>
    <w:rsid w:val="00536709"/>
    <w:rsid w:val="00536C54"/>
    <w:rsid w:val="00536F73"/>
    <w:rsid w:val="00537C39"/>
    <w:rsid w:val="00540172"/>
    <w:rsid w:val="00540304"/>
    <w:rsid w:val="00540388"/>
    <w:rsid w:val="005408D6"/>
    <w:rsid w:val="005409F8"/>
    <w:rsid w:val="00540A8E"/>
    <w:rsid w:val="0054156A"/>
    <w:rsid w:val="00541700"/>
    <w:rsid w:val="00541874"/>
    <w:rsid w:val="00541D7A"/>
    <w:rsid w:val="00542606"/>
    <w:rsid w:val="0054274F"/>
    <w:rsid w:val="0054280F"/>
    <w:rsid w:val="005429AF"/>
    <w:rsid w:val="00543462"/>
    <w:rsid w:val="00543E79"/>
    <w:rsid w:val="0054441A"/>
    <w:rsid w:val="005444B0"/>
    <w:rsid w:val="0054491E"/>
    <w:rsid w:val="00544B29"/>
    <w:rsid w:val="00544E32"/>
    <w:rsid w:val="00544E61"/>
    <w:rsid w:val="005454AE"/>
    <w:rsid w:val="00545712"/>
    <w:rsid w:val="005458F3"/>
    <w:rsid w:val="00545A8E"/>
    <w:rsid w:val="00545D20"/>
    <w:rsid w:val="00545EA1"/>
    <w:rsid w:val="00546420"/>
    <w:rsid w:val="005468BA"/>
    <w:rsid w:val="00546F96"/>
    <w:rsid w:val="0054701A"/>
    <w:rsid w:val="005470EF"/>
    <w:rsid w:val="00547269"/>
    <w:rsid w:val="005476BE"/>
    <w:rsid w:val="005479C5"/>
    <w:rsid w:val="00547BC0"/>
    <w:rsid w:val="005500D0"/>
    <w:rsid w:val="00550158"/>
    <w:rsid w:val="005503B3"/>
    <w:rsid w:val="005504AD"/>
    <w:rsid w:val="0055054B"/>
    <w:rsid w:val="005509EC"/>
    <w:rsid w:val="0055193B"/>
    <w:rsid w:val="00551B02"/>
    <w:rsid w:val="005529A6"/>
    <w:rsid w:val="00552E27"/>
    <w:rsid w:val="00552E63"/>
    <w:rsid w:val="00553021"/>
    <w:rsid w:val="0055318C"/>
    <w:rsid w:val="0055353C"/>
    <w:rsid w:val="00553554"/>
    <w:rsid w:val="005538ED"/>
    <w:rsid w:val="00553C36"/>
    <w:rsid w:val="00553E75"/>
    <w:rsid w:val="00553FE6"/>
    <w:rsid w:val="00554282"/>
    <w:rsid w:val="0055446A"/>
    <w:rsid w:val="005546E3"/>
    <w:rsid w:val="00554881"/>
    <w:rsid w:val="00554DA6"/>
    <w:rsid w:val="005551B9"/>
    <w:rsid w:val="005551BB"/>
    <w:rsid w:val="00555237"/>
    <w:rsid w:val="00555531"/>
    <w:rsid w:val="00555920"/>
    <w:rsid w:val="00555A74"/>
    <w:rsid w:val="00555AE2"/>
    <w:rsid w:val="00555BAF"/>
    <w:rsid w:val="00555D4C"/>
    <w:rsid w:val="005561CF"/>
    <w:rsid w:val="00556231"/>
    <w:rsid w:val="00556907"/>
    <w:rsid w:val="00556B4D"/>
    <w:rsid w:val="005571E3"/>
    <w:rsid w:val="005572EF"/>
    <w:rsid w:val="00557367"/>
    <w:rsid w:val="00557654"/>
    <w:rsid w:val="00557877"/>
    <w:rsid w:val="005578B0"/>
    <w:rsid w:val="00557FFC"/>
    <w:rsid w:val="00560CBC"/>
    <w:rsid w:val="005610EA"/>
    <w:rsid w:val="0056155C"/>
    <w:rsid w:val="00561768"/>
    <w:rsid w:val="005619BD"/>
    <w:rsid w:val="00561B47"/>
    <w:rsid w:val="00561C1F"/>
    <w:rsid w:val="00561FCB"/>
    <w:rsid w:val="0056283F"/>
    <w:rsid w:val="00562E7D"/>
    <w:rsid w:val="0056311E"/>
    <w:rsid w:val="0056312C"/>
    <w:rsid w:val="005632B0"/>
    <w:rsid w:val="00563330"/>
    <w:rsid w:val="0056352D"/>
    <w:rsid w:val="00563824"/>
    <w:rsid w:val="005638D0"/>
    <w:rsid w:val="00563900"/>
    <w:rsid w:val="00563A89"/>
    <w:rsid w:val="00563BAC"/>
    <w:rsid w:val="00564695"/>
    <w:rsid w:val="00564A0A"/>
    <w:rsid w:val="00564CE0"/>
    <w:rsid w:val="00564F05"/>
    <w:rsid w:val="00564FB2"/>
    <w:rsid w:val="00565102"/>
    <w:rsid w:val="0056529E"/>
    <w:rsid w:val="005657A3"/>
    <w:rsid w:val="00565A76"/>
    <w:rsid w:val="00565D02"/>
    <w:rsid w:val="00565F13"/>
    <w:rsid w:val="0056666B"/>
    <w:rsid w:val="005666F8"/>
    <w:rsid w:val="00566898"/>
    <w:rsid w:val="00566C52"/>
    <w:rsid w:val="00566FB4"/>
    <w:rsid w:val="00567140"/>
    <w:rsid w:val="00567385"/>
    <w:rsid w:val="005675E7"/>
    <w:rsid w:val="00567CF0"/>
    <w:rsid w:val="005701A6"/>
    <w:rsid w:val="0057049A"/>
    <w:rsid w:val="0057052C"/>
    <w:rsid w:val="00570B59"/>
    <w:rsid w:val="00570DCF"/>
    <w:rsid w:val="005712C0"/>
    <w:rsid w:val="00571931"/>
    <w:rsid w:val="00571E98"/>
    <w:rsid w:val="00572174"/>
    <w:rsid w:val="0057229D"/>
    <w:rsid w:val="005722F4"/>
    <w:rsid w:val="00572C44"/>
    <w:rsid w:val="00572C4F"/>
    <w:rsid w:val="00573124"/>
    <w:rsid w:val="005733A6"/>
    <w:rsid w:val="005736B1"/>
    <w:rsid w:val="0057374C"/>
    <w:rsid w:val="00573AE2"/>
    <w:rsid w:val="00573DFE"/>
    <w:rsid w:val="00573E39"/>
    <w:rsid w:val="0057400A"/>
    <w:rsid w:val="005741E2"/>
    <w:rsid w:val="005746C6"/>
    <w:rsid w:val="00574966"/>
    <w:rsid w:val="00574B2B"/>
    <w:rsid w:val="00574E35"/>
    <w:rsid w:val="00575785"/>
    <w:rsid w:val="005758D6"/>
    <w:rsid w:val="00575AD2"/>
    <w:rsid w:val="00575B26"/>
    <w:rsid w:val="00575C83"/>
    <w:rsid w:val="00576364"/>
    <w:rsid w:val="00576ACF"/>
    <w:rsid w:val="00576F6D"/>
    <w:rsid w:val="0057779F"/>
    <w:rsid w:val="00577A8F"/>
    <w:rsid w:val="00577C32"/>
    <w:rsid w:val="00577E31"/>
    <w:rsid w:val="005800A8"/>
    <w:rsid w:val="005801D7"/>
    <w:rsid w:val="0058025B"/>
    <w:rsid w:val="0058045C"/>
    <w:rsid w:val="005807DC"/>
    <w:rsid w:val="00581284"/>
    <w:rsid w:val="005816D4"/>
    <w:rsid w:val="00581787"/>
    <w:rsid w:val="005817F9"/>
    <w:rsid w:val="005818DD"/>
    <w:rsid w:val="0058195A"/>
    <w:rsid w:val="00581F26"/>
    <w:rsid w:val="00581F50"/>
    <w:rsid w:val="00581FBC"/>
    <w:rsid w:val="00582158"/>
    <w:rsid w:val="00582D74"/>
    <w:rsid w:val="005833E6"/>
    <w:rsid w:val="005834FC"/>
    <w:rsid w:val="005837FE"/>
    <w:rsid w:val="005839F2"/>
    <w:rsid w:val="00583AE4"/>
    <w:rsid w:val="00583D65"/>
    <w:rsid w:val="00583E74"/>
    <w:rsid w:val="00584532"/>
    <w:rsid w:val="00584B72"/>
    <w:rsid w:val="00584E94"/>
    <w:rsid w:val="00585043"/>
    <w:rsid w:val="00585084"/>
    <w:rsid w:val="005854CE"/>
    <w:rsid w:val="0058557A"/>
    <w:rsid w:val="00585C3F"/>
    <w:rsid w:val="00585CE8"/>
    <w:rsid w:val="0058612D"/>
    <w:rsid w:val="00586304"/>
    <w:rsid w:val="0058649D"/>
    <w:rsid w:val="00586EEF"/>
    <w:rsid w:val="00587023"/>
    <w:rsid w:val="0058758A"/>
    <w:rsid w:val="005876EF"/>
    <w:rsid w:val="005878B1"/>
    <w:rsid w:val="00590582"/>
    <w:rsid w:val="00590D8F"/>
    <w:rsid w:val="00590DE8"/>
    <w:rsid w:val="00590E1B"/>
    <w:rsid w:val="005910F9"/>
    <w:rsid w:val="005911CA"/>
    <w:rsid w:val="00591513"/>
    <w:rsid w:val="005918DB"/>
    <w:rsid w:val="00591C9E"/>
    <w:rsid w:val="00591CBB"/>
    <w:rsid w:val="00591FFF"/>
    <w:rsid w:val="00592307"/>
    <w:rsid w:val="0059278D"/>
    <w:rsid w:val="005928D7"/>
    <w:rsid w:val="0059296E"/>
    <w:rsid w:val="00592A55"/>
    <w:rsid w:val="005931CC"/>
    <w:rsid w:val="005938E9"/>
    <w:rsid w:val="00593B65"/>
    <w:rsid w:val="00593C9C"/>
    <w:rsid w:val="00593F6D"/>
    <w:rsid w:val="00594207"/>
    <w:rsid w:val="00594320"/>
    <w:rsid w:val="005946EE"/>
    <w:rsid w:val="00594768"/>
    <w:rsid w:val="00594887"/>
    <w:rsid w:val="00594B88"/>
    <w:rsid w:val="00594C10"/>
    <w:rsid w:val="00594C3A"/>
    <w:rsid w:val="00594C7C"/>
    <w:rsid w:val="0059520C"/>
    <w:rsid w:val="00595581"/>
    <w:rsid w:val="005959D5"/>
    <w:rsid w:val="00595ABB"/>
    <w:rsid w:val="00595D8B"/>
    <w:rsid w:val="00595EA5"/>
    <w:rsid w:val="00595EB0"/>
    <w:rsid w:val="005964C2"/>
    <w:rsid w:val="00596567"/>
    <w:rsid w:val="005967C0"/>
    <w:rsid w:val="00596F01"/>
    <w:rsid w:val="0059702E"/>
    <w:rsid w:val="005974D9"/>
    <w:rsid w:val="005978FA"/>
    <w:rsid w:val="00597DBF"/>
    <w:rsid w:val="005A02D5"/>
    <w:rsid w:val="005A1264"/>
    <w:rsid w:val="005A12CF"/>
    <w:rsid w:val="005A16BF"/>
    <w:rsid w:val="005A1939"/>
    <w:rsid w:val="005A1C2A"/>
    <w:rsid w:val="005A1D06"/>
    <w:rsid w:val="005A1F6F"/>
    <w:rsid w:val="005A268F"/>
    <w:rsid w:val="005A2776"/>
    <w:rsid w:val="005A2839"/>
    <w:rsid w:val="005A285C"/>
    <w:rsid w:val="005A2A6C"/>
    <w:rsid w:val="005A2F64"/>
    <w:rsid w:val="005A36BE"/>
    <w:rsid w:val="005A3848"/>
    <w:rsid w:val="005A3C18"/>
    <w:rsid w:val="005A4057"/>
    <w:rsid w:val="005A4090"/>
    <w:rsid w:val="005A40CC"/>
    <w:rsid w:val="005A4220"/>
    <w:rsid w:val="005A42A5"/>
    <w:rsid w:val="005A44B7"/>
    <w:rsid w:val="005A4539"/>
    <w:rsid w:val="005A4A18"/>
    <w:rsid w:val="005A50D4"/>
    <w:rsid w:val="005A5853"/>
    <w:rsid w:val="005A5A08"/>
    <w:rsid w:val="005A6A16"/>
    <w:rsid w:val="005A6B3E"/>
    <w:rsid w:val="005A6C3C"/>
    <w:rsid w:val="005A73D9"/>
    <w:rsid w:val="005A746B"/>
    <w:rsid w:val="005A7584"/>
    <w:rsid w:val="005A7624"/>
    <w:rsid w:val="005A773B"/>
    <w:rsid w:val="005A7BB1"/>
    <w:rsid w:val="005A7EBB"/>
    <w:rsid w:val="005B0123"/>
    <w:rsid w:val="005B0176"/>
    <w:rsid w:val="005B0C25"/>
    <w:rsid w:val="005B0CCA"/>
    <w:rsid w:val="005B1080"/>
    <w:rsid w:val="005B147A"/>
    <w:rsid w:val="005B1512"/>
    <w:rsid w:val="005B1706"/>
    <w:rsid w:val="005B172E"/>
    <w:rsid w:val="005B1734"/>
    <w:rsid w:val="005B17B3"/>
    <w:rsid w:val="005B1CE3"/>
    <w:rsid w:val="005B20CC"/>
    <w:rsid w:val="005B2637"/>
    <w:rsid w:val="005B27DC"/>
    <w:rsid w:val="005B2B5C"/>
    <w:rsid w:val="005B2CD6"/>
    <w:rsid w:val="005B33C9"/>
    <w:rsid w:val="005B36CA"/>
    <w:rsid w:val="005B36CD"/>
    <w:rsid w:val="005B375A"/>
    <w:rsid w:val="005B37EB"/>
    <w:rsid w:val="005B39C5"/>
    <w:rsid w:val="005B3D96"/>
    <w:rsid w:val="005B3F59"/>
    <w:rsid w:val="005B41FF"/>
    <w:rsid w:val="005B42DE"/>
    <w:rsid w:val="005B43D7"/>
    <w:rsid w:val="005B45D4"/>
    <w:rsid w:val="005B46E6"/>
    <w:rsid w:val="005B47BC"/>
    <w:rsid w:val="005B4E83"/>
    <w:rsid w:val="005B529C"/>
    <w:rsid w:val="005B551F"/>
    <w:rsid w:val="005B5593"/>
    <w:rsid w:val="005B57A5"/>
    <w:rsid w:val="005B5EFB"/>
    <w:rsid w:val="005B6076"/>
    <w:rsid w:val="005B6082"/>
    <w:rsid w:val="005B61E1"/>
    <w:rsid w:val="005B63AA"/>
    <w:rsid w:val="005B6441"/>
    <w:rsid w:val="005B6481"/>
    <w:rsid w:val="005B668C"/>
    <w:rsid w:val="005B669C"/>
    <w:rsid w:val="005B6859"/>
    <w:rsid w:val="005B68CF"/>
    <w:rsid w:val="005B7341"/>
    <w:rsid w:val="005B7376"/>
    <w:rsid w:val="005B7488"/>
    <w:rsid w:val="005C01DD"/>
    <w:rsid w:val="005C0562"/>
    <w:rsid w:val="005C0C2A"/>
    <w:rsid w:val="005C1077"/>
    <w:rsid w:val="005C19B9"/>
    <w:rsid w:val="005C1CB8"/>
    <w:rsid w:val="005C1E8F"/>
    <w:rsid w:val="005C22D5"/>
    <w:rsid w:val="005C241E"/>
    <w:rsid w:val="005C2802"/>
    <w:rsid w:val="005C2971"/>
    <w:rsid w:val="005C2C61"/>
    <w:rsid w:val="005C2EEE"/>
    <w:rsid w:val="005C3466"/>
    <w:rsid w:val="005C3551"/>
    <w:rsid w:val="005C3668"/>
    <w:rsid w:val="005C38DE"/>
    <w:rsid w:val="005C3D82"/>
    <w:rsid w:val="005C4069"/>
    <w:rsid w:val="005C4163"/>
    <w:rsid w:val="005C4285"/>
    <w:rsid w:val="005C4C92"/>
    <w:rsid w:val="005C51B5"/>
    <w:rsid w:val="005C52C7"/>
    <w:rsid w:val="005C543E"/>
    <w:rsid w:val="005C5664"/>
    <w:rsid w:val="005C59F7"/>
    <w:rsid w:val="005C5C06"/>
    <w:rsid w:val="005C5E43"/>
    <w:rsid w:val="005C5F82"/>
    <w:rsid w:val="005C6189"/>
    <w:rsid w:val="005C6208"/>
    <w:rsid w:val="005C638A"/>
    <w:rsid w:val="005C65C7"/>
    <w:rsid w:val="005C69F0"/>
    <w:rsid w:val="005C71D2"/>
    <w:rsid w:val="005C720F"/>
    <w:rsid w:val="005C72AE"/>
    <w:rsid w:val="005C72CC"/>
    <w:rsid w:val="005C73DE"/>
    <w:rsid w:val="005C7434"/>
    <w:rsid w:val="005C77D4"/>
    <w:rsid w:val="005C797C"/>
    <w:rsid w:val="005C7D3B"/>
    <w:rsid w:val="005C7D93"/>
    <w:rsid w:val="005D038F"/>
    <w:rsid w:val="005D0392"/>
    <w:rsid w:val="005D08E3"/>
    <w:rsid w:val="005D0A48"/>
    <w:rsid w:val="005D0B83"/>
    <w:rsid w:val="005D0CC0"/>
    <w:rsid w:val="005D0EC6"/>
    <w:rsid w:val="005D0F21"/>
    <w:rsid w:val="005D12A8"/>
    <w:rsid w:val="005D1584"/>
    <w:rsid w:val="005D1C00"/>
    <w:rsid w:val="005D229D"/>
    <w:rsid w:val="005D230E"/>
    <w:rsid w:val="005D25B0"/>
    <w:rsid w:val="005D281B"/>
    <w:rsid w:val="005D28A9"/>
    <w:rsid w:val="005D29A7"/>
    <w:rsid w:val="005D2C0E"/>
    <w:rsid w:val="005D2C99"/>
    <w:rsid w:val="005D2D95"/>
    <w:rsid w:val="005D3590"/>
    <w:rsid w:val="005D3854"/>
    <w:rsid w:val="005D3AC8"/>
    <w:rsid w:val="005D3AE9"/>
    <w:rsid w:val="005D3B17"/>
    <w:rsid w:val="005D4221"/>
    <w:rsid w:val="005D433A"/>
    <w:rsid w:val="005D4685"/>
    <w:rsid w:val="005D49D6"/>
    <w:rsid w:val="005D5296"/>
    <w:rsid w:val="005D52D0"/>
    <w:rsid w:val="005D53BF"/>
    <w:rsid w:val="005D53D1"/>
    <w:rsid w:val="005D5ADF"/>
    <w:rsid w:val="005D5B9B"/>
    <w:rsid w:val="005D623E"/>
    <w:rsid w:val="005D6369"/>
    <w:rsid w:val="005D6790"/>
    <w:rsid w:val="005D6A52"/>
    <w:rsid w:val="005D6C66"/>
    <w:rsid w:val="005D6EC0"/>
    <w:rsid w:val="005D6ED1"/>
    <w:rsid w:val="005D7216"/>
    <w:rsid w:val="005D738D"/>
    <w:rsid w:val="005D76DF"/>
    <w:rsid w:val="005D79B8"/>
    <w:rsid w:val="005D7E9F"/>
    <w:rsid w:val="005E03B1"/>
    <w:rsid w:val="005E0528"/>
    <w:rsid w:val="005E06C6"/>
    <w:rsid w:val="005E1213"/>
    <w:rsid w:val="005E1575"/>
    <w:rsid w:val="005E1A51"/>
    <w:rsid w:val="005E1C18"/>
    <w:rsid w:val="005E1FB8"/>
    <w:rsid w:val="005E219A"/>
    <w:rsid w:val="005E2318"/>
    <w:rsid w:val="005E244E"/>
    <w:rsid w:val="005E2696"/>
    <w:rsid w:val="005E29A4"/>
    <w:rsid w:val="005E307C"/>
    <w:rsid w:val="005E30D8"/>
    <w:rsid w:val="005E3162"/>
    <w:rsid w:val="005E3460"/>
    <w:rsid w:val="005E3662"/>
    <w:rsid w:val="005E3A8B"/>
    <w:rsid w:val="005E3E0C"/>
    <w:rsid w:val="005E462B"/>
    <w:rsid w:val="005E4852"/>
    <w:rsid w:val="005E4972"/>
    <w:rsid w:val="005E4A66"/>
    <w:rsid w:val="005E4FB2"/>
    <w:rsid w:val="005E505D"/>
    <w:rsid w:val="005E532E"/>
    <w:rsid w:val="005E5A1A"/>
    <w:rsid w:val="005E5F94"/>
    <w:rsid w:val="005E6162"/>
    <w:rsid w:val="005E6226"/>
    <w:rsid w:val="005E6394"/>
    <w:rsid w:val="005E63C1"/>
    <w:rsid w:val="005E66BB"/>
    <w:rsid w:val="005E6A76"/>
    <w:rsid w:val="005E6B0F"/>
    <w:rsid w:val="005E6DC5"/>
    <w:rsid w:val="005E6E70"/>
    <w:rsid w:val="005E6F1A"/>
    <w:rsid w:val="005E6F6D"/>
    <w:rsid w:val="005E7930"/>
    <w:rsid w:val="005E7B60"/>
    <w:rsid w:val="005F0276"/>
    <w:rsid w:val="005F0297"/>
    <w:rsid w:val="005F0A24"/>
    <w:rsid w:val="005F0A94"/>
    <w:rsid w:val="005F1243"/>
    <w:rsid w:val="005F1398"/>
    <w:rsid w:val="005F1FAE"/>
    <w:rsid w:val="005F20C6"/>
    <w:rsid w:val="005F2417"/>
    <w:rsid w:val="005F253A"/>
    <w:rsid w:val="005F290C"/>
    <w:rsid w:val="005F295A"/>
    <w:rsid w:val="005F2BF0"/>
    <w:rsid w:val="005F32D7"/>
    <w:rsid w:val="005F33B6"/>
    <w:rsid w:val="005F3518"/>
    <w:rsid w:val="005F3793"/>
    <w:rsid w:val="005F3C84"/>
    <w:rsid w:val="005F3DAD"/>
    <w:rsid w:val="005F4030"/>
    <w:rsid w:val="005F4185"/>
    <w:rsid w:val="005F50FC"/>
    <w:rsid w:val="005F51A8"/>
    <w:rsid w:val="005F57CA"/>
    <w:rsid w:val="005F5886"/>
    <w:rsid w:val="005F59BF"/>
    <w:rsid w:val="005F5C5E"/>
    <w:rsid w:val="005F6011"/>
    <w:rsid w:val="005F6182"/>
    <w:rsid w:val="005F61AE"/>
    <w:rsid w:val="005F681C"/>
    <w:rsid w:val="005F6B84"/>
    <w:rsid w:val="005F6C7E"/>
    <w:rsid w:val="005F6CF2"/>
    <w:rsid w:val="005F6DB5"/>
    <w:rsid w:val="005F6F56"/>
    <w:rsid w:val="005F720F"/>
    <w:rsid w:val="005F73A7"/>
    <w:rsid w:val="005F7837"/>
    <w:rsid w:val="005F7FA8"/>
    <w:rsid w:val="00600507"/>
    <w:rsid w:val="00600518"/>
    <w:rsid w:val="006005CB"/>
    <w:rsid w:val="00600E96"/>
    <w:rsid w:val="00601575"/>
    <w:rsid w:val="00601A8A"/>
    <w:rsid w:val="00601ACA"/>
    <w:rsid w:val="00601BD8"/>
    <w:rsid w:val="00601D3C"/>
    <w:rsid w:val="006029AA"/>
    <w:rsid w:val="00602A21"/>
    <w:rsid w:val="00602C92"/>
    <w:rsid w:val="00602E7F"/>
    <w:rsid w:val="006032C1"/>
    <w:rsid w:val="0060338F"/>
    <w:rsid w:val="00603781"/>
    <w:rsid w:val="0060397C"/>
    <w:rsid w:val="00604124"/>
    <w:rsid w:val="006045DC"/>
    <w:rsid w:val="00604678"/>
    <w:rsid w:val="00605091"/>
    <w:rsid w:val="00605167"/>
    <w:rsid w:val="00605178"/>
    <w:rsid w:val="0060564D"/>
    <w:rsid w:val="00605B21"/>
    <w:rsid w:val="00605E36"/>
    <w:rsid w:val="006062BF"/>
    <w:rsid w:val="00606DC8"/>
    <w:rsid w:val="00607146"/>
    <w:rsid w:val="00607443"/>
    <w:rsid w:val="00607581"/>
    <w:rsid w:val="0060770A"/>
    <w:rsid w:val="00607AC3"/>
    <w:rsid w:val="00607B16"/>
    <w:rsid w:val="00607C64"/>
    <w:rsid w:val="00607DAF"/>
    <w:rsid w:val="00607F67"/>
    <w:rsid w:val="00610307"/>
    <w:rsid w:val="00610615"/>
    <w:rsid w:val="0061067A"/>
    <w:rsid w:val="00610ACB"/>
    <w:rsid w:val="00610D3B"/>
    <w:rsid w:val="00610F13"/>
    <w:rsid w:val="00611C17"/>
    <w:rsid w:val="00611C21"/>
    <w:rsid w:val="00612ACD"/>
    <w:rsid w:val="00612C44"/>
    <w:rsid w:val="00612C8F"/>
    <w:rsid w:val="00612EF2"/>
    <w:rsid w:val="0061307C"/>
    <w:rsid w:val="006131D6"/>
    <w:rsid w:val="0061343B"/>
    <w:rsid w:val="0061369D"/>
    <w:rsid w:val="0061438D"/>
    <w:rsid w:val="00614644"/>
    <w:rsid w:val="00614B1B"/>
    <w:rsid w:val="00614B63"/>
    <w:rsid w:val="00614D94"/>
    <w:rsid w:val="00614ED6"/>
    <w:rsid w:val="00614FCF"/>
    <w:rsid w:val="006150B4"/>
    <w:rsid w:val="0061526B"/>
    <w:rsid w:val="00615856"/>
    <w:rsid w:val="006158A8"/>
    <w:rsid w:val="0061614E"/>
    <w:rsid w:val="006161DB"/>
    <w:rsid w:val="006162D5"/>
    <w:rsid w:val="00616340"/>
    <w:rsid w:val="006169F5"/>
    <w:rsid w:val="00616CCA"/>
    <w:rsid w:val="00616DB5"/>
    <w:rsid w:val="00617022"/>
    <w:rsid w:val="0061707E"/>
    <w:rsid w:val="006171AA"/>
    <w:rsid w:val="006172B6"/>
    <w:rsid w:val="006176B8"/>
    <w:rsid w:val="00617830"/>
    <w:rsid w:val="006207BE"/>
    <w:rsid w:val="00620999"/>
    <w:rsid w:val="006209B2"/>
    <w:rsid w:val="00620B1D"/>
    <w:rsid w:val="006214A4"/>
    <w:rsid w:val="006217AB"/>
    <w:rsid w:val="00621DE5"/>
    <w:rsid w:val="00621EE8"/>
    <w:rsid w:val="00622C82"/>
    <w:rsid w:val="00622F29"/>
    <w:rsid w:val="00623005"/>
    <w:rsid w:val="0062336D"/>
    <w:rsid w:val="00623456"/>
    <w:rsid w:val="00623462"/>
    <w:rsid w:val="006234BB"/>
    <w:rsid w:val="00623844"/>
    <w:rsid w:val="0062395E"/>
    <w:rsid w:val="0062399B"/>
    <w:rsid w:val="00623B19"/>
    <w:rsid w:val="00623F43"/>
    <w:rsid w:val="006240AD"/>
    <w:rsid w:val="00624140"/>
    <w:rsid w:val="00624151"/>
    <w:rsid w:val="0062420D"/>
    <w:rsid w:val="00624531"/>
    <w:rsid w:val="00624CDB"/>
    <w:rsid w:val="006250FF"/>
    <w:rsid w:val="00625180"/>
    <w:rsid w:val="00625D4A"/>
    <w:rsid w:val="00625DCB"/>
    <w:rsid w:val="0062613B"/>
    <w:rsid w:val="006261E4"/>
    <w:rsid w:val="00626373"/>
    <w:rsid w:val="00626474"/>
    <w:rsid w:val="006266D9"/>
    <w:rsid w:val="0062698E"/>
    <w:rsid w:val="0062704C"/>
    <w:rsid w:val="00627063"/>
    <w:rsid w:val="00627149"/>
    <w:rsid w:val="006273B3"/>
    <w:rsid w:val="0062748C"/>
    <w:rsid w:val="006276B4"/>
    <w:rsid w:val="00627F12"/>
    <w:rsid w:val="00630080"/>
    <w:rsid w:val="00630C46"/>
    <w:rsid w:val="00630DDF"/>
    <w:rsid w:val="0063105A"/>
    <w:rsid w:val="0063125A"/>
    <w:rsid w:val="00631EC5"/>
    <w:rsid w:val="00631F73"/>
    <w:rsid w:val="006320B4"/>
    <w:rsid w:val="006320BB"/>
    <w:rsid w:val="00632C42"/>
    <w:rsid w:val="00632EC1"/>
    <w:rsid w:val="00633148"/>
    <w:rsid w:val="006333B2"/>
    <w:rsid w:val="0063419B"/>
    <w:rsid w:val="00634271"/>
    <w:rsid w:val="006342DA"/>
    <w:rsid w:val="00634385"/>
    <w:rsid w:val="00634778"/>
    <w:rsid w:val="00634C67"/>
    <w:rsid w:val="00634DA3"/>
    <w:rsid w:val="00634E77"/>
    <w:rsid w:val="00635172"/>
    <w:rsid w:val="00635C03"/>
    <w:rsid w:val="006363F9"/>
    <w:rsid w:val="00636420"/>
    <w:rsid w:val="00636453"/>
    <w:rsid w:val="00636EC8"/>
    <w:rsid w:val="006370CD"/>
    <w:rsid w:val="0063751C"/>
    <w:rsid w:val="00637A02"/>
    <w:rsid w:val="00637A70"/>
    <w:rsid w:val="00637D0D"/>
    <w:rsid w:val="00637F8F"/>
    <w:rsid w:val="006404D6"/>
    <w:rsid w:val="00640599"/>
    <w:rsid w:val="006405C6"/>
    <w:rsid w:val="00640CC0"/>
    <w:rsid w:val="00640DDB"/>
    <w:rsid w:val="006411BA"/>
    <w:rsid w:val="0064129E"/>
    <w:rsid w:val="00641670"/>
    <w:rsid w:val="006419F0"/>
    <w:rsid w:val="00641D5F"/>
    <w:rsid w:val="006425E8"/>
    <w:rsid w:val="0064287E"/>
    <w:rsid w:val="00642A1B"/>
    <w:rsid w:val="00642AED"/>
    <w:rsid w:val="00642C3B"/>
    <w:rsid w:val="00642FF7"/>
    <w:rsid w:val="006431AF"/>
    <w:rsid w:val="006437DB"/>
    <w:rsid w:val="00643B9E"/>
    <w:rsid w:val="00643C2D"/>
    <w:rsid w:val="00643FE9"/>
    <w:rsid w:val="006443D4"/>
    <w:rsid w:val="006443E9"/>
    <w:rsid w:val="00644568"/>
    <w:rsid w:val="006449B6"/>
    <w:rsid w:val="00644CCE"/>
    <w:rsid w:val="00644CF8"/>
    <w:rsid w:val="0064519B"/>
    <w:rsid w:val="006457BF"/>
    <w:rsid w:val="006457E0"/>
    <w:rsid w:val="00645A87"/>
    <w:rsid w:val="006460CF"/>
    <w:rsid w:val="00646450"/>
    <w:rsid w:val="00646832"/>
    <w:rsid w:val="0064698A"/>
    <w:rsid w:val="006469CC"/>
    <w:rsid w:val="00646CE8"/>
    <w:rsid w:val="00646E7C"/>
    <w:rsid w:val="00646EF7"/>
    <w:rsid w:val="006472A2"/>
    <w:rsid w:val="00647741"/>
    <w:rsid w:val="0064794A"/>
    <w:rsid w:val="00647953"/>
    <w:rsid w:val="00647B21"/>
    <w:rsid w:val="00647EC0"/>
    <w:rsid w:val="00650007"/>
    <w:rsid w:val="006500CB"/>
    <w:rsid w:val="006505F7"/>
    <w:rsid w:val="0065144B"/>
    <w:rsid w:val="00651594"/>
    <w:rsid w:val="0065295E"/>
    <w:rsid w:val="00652A01"/>
    <w:rsid w:val="00652F64"/>
    <w:rsid w:val="0065315D"/>
    <w:rsid w:val="00653184"/>
    <w:rsid w:val="006532DA"/>
    <w:rsid w:val="00653522"/>
    <w:rsid w:val="00653CE0"/>
    <w:rsid w:val="00654F98"/>
    <w:rsid w:val="00655155"/>
    <w:rsid w:val="0065524B"/>
    <w:rsid w:val="0065577C"/>
    <w:rsid w:val="006558D0"/>
    <w:rsid w:val="00655925"/>
    <w:rsid w:val="0065594A"/>
    <w:rsid w:val="0065664C"/>
    <w:rsid w:val="0065698C"/>
    <w:rsid w:val="00656B20"/>
    <w:rsid w:val="00656CE7"/>
    <w:rsid w:val="00657046"/>
    <w:rsid w:val="0065704C"/>
    <w:rsid w:val="00657364"/>
    <w:rsid w:val="006573A0"/>
    <w:rsid w:val="006575D2"/>
    <w:rsid w:val="00657B5A"/>
    <w:rsid w:val="00657DFE"/>
    <w:rsid w:val="00657F29"/>
    <w:rsid w:val="00660311"/>
    <w:rsid w:val="006603C6"/>
    <w:rsid w:val="006603E1"/>
    <w:rsid w:val="006604FE"/>
    <w:rsid w:val="0066081C"/>
    <w:rsid w:val="006608C1"/>
    <w:rsid w:val="00660969"/>
    <w:rsid w:val="00660D79"/>
    <w:rsid w:val="00660DA7"/>
    <w:rsid w:val="00661242"/>
    <w:rsid w:val="0066139E"/>
    <w:rsid w:val="00661C3B"/>
    <w:rsid w:val="00661ED4"/>
    <w:rsid w:val="006622D5"/>
    <w:rsid w:val="0066289E"/>
    <w:rsid w:val="006629D2"/>
    <w:rsid w:val="00662B49"/>
    <w:rsid w:val="00662BA9"/>
    <w:rsid w:val="00662D40"/>
    <w:rsid w:val="00663035"/>
    <w:rsid w:val="00663448"/>
    <w:rsid w:val="00663455"/>
    <w:rsid w:val="006636BC"/>
    <w:rsid w:val="00663A24"/>
    <w:rsid w:val="00663ADD"/>
    <w:rsid w:val="00663F26"/>
    <w:rsid w:val="006640CA"/>
    <w:rsid w:val="006643FE"/>
    <w:rsid w:val="00664710"/>
    <w:rsid w:val="00664964"/>
    <w:rsid w:val="00665178"/>
    <w:rsid w:val="0066549B"/>
    <w:rsid w:val="00665719"/>
    <w:rsid w:val="006657BC"/>
    <w:rsid w:val="00665B00"/>
    <w:rsid w:val="00665E3E"/>
    <w:rsid w:val="00665E5C"/>
    <w:rsid w:val="00665E6D"/>
    <w:rsid w:val="00665EB6"/>
    <w:rsid w:val="00665EE9"/>
    <w:rsid w:val="0066616A"/>
    <w:rsid w:val="00666765"/>
    <w:rsid w:val="00666A59"/>
    <w:rsid w:val="00666A5D"/>
    <w:rsid w:val="00666DB8"/>
    <w:rsid w:val="006672EF"/>
    <w:rsid w:val="00667412"/>
    <w:rsid w:val="006676EF"/>
    <w:rsid w:val="0066771B"/>
    <w:rsid w:val="006679E3"/>
    <w:rsid w:val="00667CD6"/>
    <w:rsid w:val="00667D48"/>
    <w:rsid w:val="00670468"/>
    <w:rsid w:val="006704D3"/>
    <w:rsid w:val="0067052E"/>
    <w:rsid w:val="006709A9"/>
    <w:rsid w:val="00670B73"/>
    <w:rsid w:val="006711EF"/>
    <w:rsid w:val="006715F5"/>
    <w:rsid w:val="0067191F"/>
    <w:rsid w:val="0067198E"/>
    <w:rsid w:val="00671B01"/>
    <w:rsid w:val="00671C04"/>
    <w:rsid w:val="00671C2E"/>
    <w:rsid w:val="00671CA5"/>
    <w:rsid w:val="00671E42"/>
    <w:rsid w:val="00671F21"/>
    <w:rsid w:val="0067205D"/>
    <w:rsid w:val="006723DE"/>
    <w:rsid w:val="00672650"/>
    <w:rsid w:val="0067274C"/>
    <w:rsid w:val="0067276C"/>
    <w:rsid w:val="00672786"/>
    <w:rsid w:val="00672AB7"/>
    <w:rsid w:val="00672C55"/>
    <w:rsid w:val="00672CA5"/>
    <w:rsid w:val="00672D97"/>
    <w:rsid w:val="0067356C"/>
    <w:rsid w:val="00673B11"/>
    <w:rsid w:val="00673CEA"/>
    <w:rsid w:val="00673E51"/>
    <w:rsid w:val="006740FB"/>
    <w:rsid w:val="006741E9"/>
    <w:rsid w:val="006743D2"/>
    <w:rsid w:val="0067445C"/>
    <w:rsid w:val="0067497C"/>
    <w:rsid w:val="00674D56"/>
    <w:rsid w:val="00674E17"/>
    <w:rsid w:val="00674EAD"/>
    <w:rsid w:val="00675116"/>
    <w:rsid w:val="00675177"/>
    <w:rsid w:val="00675334"/>
    <w:rsid w:val="00675C68"/>
    <w:rsid w:val="006775E4"/>
    <w:rsid w:val="006776BB"/>
    <w:rsid w:val="0067785B"/>
    <w:rsid w:val="00677BFF"/>
    <w:rsid w:val="00677D92"/>
    <w:rsid w:val="00677E9C"/>
    <w:rsid w:val="006800AF"/>
    <w:rsid w:val="006801C7"/>
    <w:rsid w:val="006802A7"/>
    <w:rsid w:val="00680A66"/>
    <w:rsid w:val="00680C95"/>
    <w:rsid w:val="00681314"/>
    <w:rsid w:val="0068177B"/>
    <w:rsid w:val="00681B5C"/>
    <w:rsid w:val="00681E1C"/>
    <w:rsid w:val="0068212A"/>
    <w:rsid w:val="00682186"/>
    <w:rsid w:val="00682296"/>
    <w:rsid w:val="00682462"/>
    <w:rsid w:val="006824EE"/>
    <w:rsid w:val="006825AE"/>
    <w:rsid w:val="006827CC"/>
    <w:rsid w:val="00682891"/>
    <w:rsid w:val="00682A86"/>
    <w:rsid w:val="00682CC8"/>
    <w:rsid w:val="00682D59"/>
    <w:rsid w:val="00682D6E"/>
    <w:rsid w:val="00683323"/>
    <w:rsid w:val="00683635"/>
    <w:rsid w:val="006837EB"/>
    <w:rsid w:val="00683C57"/>
    <w:rsid w:val="00683D54"/>
    <w:rsid w:val="00683E22"/>
    <w:rsid w:val="0068427C"/>
    <w:rsid w:val="00684293"/>
    <w:rsid w:val="00684387"/>
    <w:rsid w:val="00684D8A"/>
    <w:rsid w:val="00684FFD"/>
    <w:rsid w:val="006850B0"/>
    <w:rsid w:val="00685771"/>
    <w:rsid w:val="00685A30"/>
    <w:rsid w:val="00685B7C"/>
    <w:rsid w:val="00685D55"/>
    <w:rsid w:val="00685EF4"/>
    <w:rsid w:val="00686157"/>
    <w:rsid w:val="00686158"/>
    <w:rsid w:val="00686833"/>
    <w:rsid w:val="0068694C"/>
    <w:rsid w:val="0068694F"/>
    <w:rsid w:val="00686A90"/>
    <w:rsid w:val="00686B07"/>
    <w:rsid w:val="00686D05"/>
    <w:rsid w:val="00686EC7"/>
    <w:rsid w:val="00687BCB"/>
    <w:rsid w:val="00687E0E"/>
    <w:rsid w:val="00687F75"/>
    <w:rsid w:val="006901B0"/>
    <w:rsid w:val="006902F0"/>
    <w:rsid w:val="00690787"/>
    <w:rsid w:val="00691158"/>
    <w:rsid w:val="00691173"/>
    <w:rsid w:val="006912E2"/>
    <w:rsid w:val="006914F0"/>
    <w:rsid w:val="00691BCE"/>
    <w:rsid w:val="006921E1"/>
    <w:rsid w:val="006927D1"/>
    <w:rsid w:val="00692871"/>
    <w:rsid w:val="00692A8E"/>
    <w:rsid w:val="00692EF7"/>
    <w:rsid w:val="00692F0A"/>
    <w:rsid w:val="00692FF2"/>
    <w:rsid w:val="00693809"/>
    <w:rsid w:val="006938C9"/>
    <w:rsid w:val="0069399C"/>
    <w:rsid w:val="00693C10"/>
    <w:rsid w:val="00693C26"/>
    <w:rsid w:val="00693E42"/>
    <w:rsid w:val="00693F18"/>
    <w:rsid w:val="00694253"/>
    <w:rsid w:val="0069482B"/>
    <w:rsid w:val="0069486A"/>
    <w:rsid w:val="00695186"/>
    <w:rsid w:val="00695507"/>
    <w:rsid w:val="00695795"/>
    <w:rsid w:val="0069594C"/>
    <w:rsid w:val="00695BB3"/>
    <w:rsid w:val="00695CA0"/>
    <w:rsid w:val="00696265"/>
    <w:rsid w:val="00696549"/>
    <w:rsid w:val="006966A8"/>
    <w:rsid w:val="00696A05"/>
    <w:rsid w:val="00696AB6"/>
    <w:rsid w:val="00696B52"/>
    <w:rsid w:val="00696BB4"/>
    <w:rsid w:val="00696C0A"/>
    <w:rsid w:val="00696D1C"/>
    <w:rsid w:val="00696E79"/>
    <w:rsid w:val="006970DA"/>
    <w:rsid w:val="00697412"/>
    <w:rsid w:val="0069760E"/>
    <w:rsid w:val="006979E8"/>
    <w:rsid w:val="00697B61"/>
    <w:rsid w:val="00697BB6"/>
    <w:rsid w:val="00697C95"/>
    <w:rsid w:val="006A0727"/>
    <w:rsid w:val="006A0760"/>
    <w:rsid w:val="006A0DB3"/>
    <w:rsid w:val="006A0FA3"/>
    <w:rsid w:val="006A0FF3"/>
    <w:rsid w:val="006A11A7"/>
    <w:rsid w:val="006A13E3"/>
    <w:rsid w:val="006A14AE"/>
    <w:rsid w:val="006A15C5"/>
    <w:rsid w:val="006A162C"/>
    <w:rsid w:val="006A18F2"/>
    <w:rsid w:val="006A257B"/>
    <w:rsid w:val="006A28FB"/>
    <w:rsid w:val="006A2D8D"/>
    <w:rsid w:val="006A2DEF"/>
    <w:rsid w:val="006A30DD"/>
    <w:rsid w:val="006A3246"/>
    <w:rsid w:val="006A338C"/>
    <w:rsid w:val="006A3432"/>
    <w:rsid w:val="006A3518"/>
    <w:rsid w:val="006A3654"/>
    <w:rsid w:val="006A3671"/>
    <w:rsid w:val="006A3835"/>
    <w:rsid w:val="006A3A4A"/>
    <w:rsid w:val="006A4380"/>
    <w:rsid w:val="006A4878"/>
    <w:rsid w:val="006A4E3C"/>
    <w:rsid w:val="006A536E"/>
    <w:rsid w:val="006A5D15"/>
    <w:rsid w:val="006A5D6B"/>
    <w:rsid w:val="006A6057"/>
    <w:rsid w:val="006A613A"/>
    <w:rsid w:val="006A6249"/>
    <w:rsid w:val="006A6321"/>
    <w:rsid w:val="006A63B0"/>
    <w:rsid w:val="006A65B4"/>
    <w:rsid w:val="006A6A82"/>
    <w:rsid w:val="006A7368"/>
    <w:rsid w:val="006A76AB"/>
    <w:rsid w:val="006A7885"/>
    <w:rsid w:val="006A7A85"/>
    <w:rsid w:val="006A7ABF"/>
    <w:rsid w:val="006A7F23"/>
    <w:rsid w:val="006B03CE"/>
    <w:rsid w:val="006B0C20"/>
    <w:rsid w:val="006B0FA3"/>
    <w:rsid w:val="006B0FEE"/>
    <w:rsid w:val="006B1156"/>
    <w:rsid w:val="006B12EC"/>
    <w:rsid w:val="006B20F9"/>
    <w:rsid w:val="006B2791"/>
    <w:rsid w:val="006B2A2A"/>
    <w:rsid w:val="006B2D6A"/>
    <w:rsid w:val="006B3853"/>
    <w:rsid w:val="006B3BC2"/>
    <w:rsid w:val="006B423B"/>
    <w:rsid w:val="006B454D"/>
    <w:rsid w:val="006B47E6"/>
    <w:rsid w:val="006B4A5E"/>
    <w:rsid w:val="006B4D1C"/>
    <w:rsid w:val="006B508F"/>
    <w:rsid w:val="006B523A"/>
    <w:rsid w:val="006B545B"/>
    <w:rsid w:val="006B54EA"/>
    <w:rsid w:val="006B5714"/>
    <w:rsid w:val="006B6108"/>
    <w:rsid w:val="006B63D2"/>
    <w:rsid w:val="006B683D"/>
    <w:rsid w:val="006B6B67"/>
    <w:rsid w:val="006B6F3D"/>
    <w:rsid w:val="006B7074"/>
    <w:rsid w:val="006B7378"/>
    <w:rsid w:val="006B75EB"/>
    <w:rsid w:val="006B787B"/>
    <w:rsid w:val="006C00BB"/>
    <w:rsid w:val="006C07BE"/>
    <w:rsid w:val="006C097A"/>
    <w:rsid w:val="006C0B28"/>
    <w:rsid w:val="006C1178"/>
    <w:rsid w:val="006C1397"/>
    <w:rsid w:val="006C13B2"/>
    <w:rsid w:val="006C14BF"/>
    <w:rsid w:val="006C1A6B"/>
    <w:rsid w:val="006C21FE"/>
    <w:rsid w:val="006C2257"/>
    <w:rsid w:val="006C24B3"/>
    <w:rsid w:val="006C2519"/>
    <w:rsid w:val="006C28EA"/>
    <w:rsid w:val="006C2D54"/>
    <w:rsid w:val="006C2D72"/>
    <w:rsid w:val="006C3028"/>
    <w:rsid w:val="006C31FD"/>
    <w:rsid w:val="006C322E"/>
    <w:rsid w:val="006C384D"/>
    <w:rsid w:val="006C3C9C"/>
    <w:rsid w:val="006C4A0B"/>
    <w:rsid w:val="006C4C3C"/>
    <w:rsid w:val="006C4E6B"/>
    <w:rsid w:val="006C559A"/>
    <w:rsid w:val="006C56D1"/>
    <w:rsid w:val="006C57CC"/>
    <w:rsid w:val="006C59AC"/>
    <w:rsid w:val="006C59E1"/>
    <w:rsid w:val="006C6079"/>
    <w:rsid w:val="006C60AA"/>
    <w:rsid w:val="006C62FB"/>
    <w:rsid w:val="006C65CE"/>
    <w:rsid w:val="006C681A"/>
    <w:rsid w:val="006C6BDD"/>
    <w:rsid w:val="006C6F6C"/>
    <w:rsid w:val="006C7006"/>
    <w:rsid w:val="006C73FB"/>
    <w:rsid w:val="006C75D3"/>
    <w:rsid w:val="006C79FB"/>
    <w:rsid w:val="006C7BC3"/>
    <w:rsid w:val="006C7D04"/>
    <w:rsid w:val="006C7D0B"/>
    <w:rsid w:val="006C7DEB"/>
    <w:rsid w:val="006C7F2D"/>
    <w:rsid w:val="006D05C5"/>
    <w:rsid w:val="006D0760"/>
    <w:rsid w:val="006D084E"/>
    <w:rsid w:val="006D088B"/>
    <w:rsid w:val="006D0B1C"/>
    <w:rsid w:val="006D0F1D"/>
    <w:rsid w:val="006D10A6"/>
    <w:rsid w:val="006D1530"/>
    <w:rsid w:val="006D243B"/>
    <w:rsid w:val="006D2D05"/>
    <w:rsid w:val="006D36A6"/>
    <w:rsid w:val="006D3881"/>
    <w:rsid w:val="006D3C91"/>
    <w:rsid w:val="006D3F10"/>
    <w:rsid w:val="006D4259"/>
    <w:rsid w:val="006D42A5"/>
    <w:rsid w:val="006D4AAA"/>
    <w:rsid w:val="006D4D15"/>
    <w:rsid w:val="006D516E"/>
    <w:rsid w:val="006D51D8"/>
    <w:rsid w:val="006D5966"/>
    <w:rsid w:val="006D6999"/>
    <w:rsid w:val="006D6BB1"/>
    <w:rsid w:val="006D6BD6"/>
    <w:rsid w:val="006D6C99"/>
    <w:rsid w:val="006D6D97"/>
    <w:rsid w:val="006D6DB5"/>
    <w:rsid w:val="006D6EAF"/>
    <w:rsid w:val="006D7662"/>
    <w:rsid w:val="006D783B"/>
    <w:rsid w:val="006D7A60"/>
    <w:rsid w:val="006D7C79"/>
    <w:rsid w:val="006D7E87"/>
    <w:rsid w:val="006E0177"/>
    <w:rsid w:val="006E0B62"/>
    <w:rsid w:val="006E1430"/>
    <w:rsid w:val="006E1A57"/>
    <w:rsid w:val="006E1BCF"/>
    <w:rsid w:val="006E1DC0"/>
    <w:rsid w:val="006E1E4E"/>
    <w:rsid w:val="006E1FDC"/>
    <w:rsid w:val="006E24B6"/>
    <w:rsid w:val="006E256D"/>
    <w:rsid w:val="006E2859"/>
    <w:rsid w:val="006E2AF0"/>
    <w:rsid w:val="006E2B6B"/>
    <w:rsid w:val="006E2CAC"/>
    <w:rsid w:val="006E32EE"/>
    <w:rsid w:val="006E33B6"/>
    <w:rsid w:val="006E48C6"/>
    <w:rsid w:val="006E4E0A"/>
    <w:rsid w:val="006E503B"/>
    <w:rsid w:val="006E5FFB"/>
    <w:rsid w:val="006E615A"/>
    <w:rsid w:val="006E61AD"/>
    <w:rsid w:val="006E6687"/>
    <w:rsid w:val="006E66A4"/>
    <w:rsid w:val="006E6703"/>
    <w:rsid w:val="006E6D3B"/>
    <w:rsid w:val="006E6F1D"/>
    <w:rsid w:val="006E6FA2"/>
    <w:rsid w:val="006E700B"/>
    <w:rsid w:val="006E7042"/>
    <w:rsid w:val="006E7607"/>
    <w:rsid w:val="006E7722"/>
    <w:rsid w:val="006E7E77"/>
    <w:rsid w:val="006F0954"/>
    <w:rsid w:val="006F0D82"/>
    <w:rsid w:val="006F0F73"/>
    <w:rsid w:val="006F115C"/>
    <w:rsid w:val="006F1339"/>
    <w:rsid w:val="006F143E"/>
    <w:rsid w:val="006F17A4"/>
    <w:rsid w:val="006F17C6"/>
    <w:rsid w:val="006F1839"/>
    <w:rsid w:val="006F1901"/>
    <w:rsid w:val="006F1F5F"/>
    <w:rsid w:val="006F2401"/>
    <w:rsid w:val="006F242C"/>
    <w:rsid w:val="006F25EE"/>
    <w:rsid w:val="006F2B73"/>
    <w:rsid w:val="006F2F29"/>
    <w:rsid w:val="006F3145"/>
    <w:rsid w:val="006F40D3"/>
    <w:rsid w:val="006F41EB"/>
    <w:rsid w:val="006F435F"/>
    <w:rsid w:val="006F4F1D"/>
    <w:rsid w:val="006F52EC"/>
    <w:rsid w:val="006F554A"/>
    <w:rsid w:val="006F566D"/>
    <w:rsid w:val="006F5A27"/>
    <w:rsid w:val="006F5A85"/>
    <w:rsid w:val="006F5B00"/>
    <w:rsid w:val="006F5C53"/>
    <w:rsid w:val="006F624E"/>
    <w:rsid w:val="006F63F4"/>
    <w:rsid w:val="006F6463"/>
    <w:rsid w:val="006F6DB9"/>
    <w:rsid w:val="006F757F"/>
    <w:rsid w:val="006F7CD2"/>
    <w:rsid w:val="007002A1"/>
    <w:rsid w:val="007003BA"/>
    <w:rsid w:val="00700EE0"/>
    <w:rsid w:val="0070123B"/>
    <w:rsid w:val="0070192E"/>
    <w:rsid w:val="00702423"/>
    <w:rsid w:val="0070270C"/>
    <w:rsid w:val="00702B5D"/>
    <w:rsid w:val="00702C94"/>
    <w:rsid w:val="00702E2D"/>
    <w:rsid w:val="007030C3"/>
    <w:rsid w:val="00703843"/>
    <w:rsid w:val="00703BEF"/>
    <w:rsid w:val="00703D28"/>
    <w:rsid w:val="00703E7E"/>
    <w:rsid w:val="00703F52"/>
    <w:rsid w:val="00704AC0"/>
    <w:rsid w:val="00705027"/>
    <w:rsid w:val="007050B6"/>
    <w:rsid w:val="00705172"/>
    <w:rsid w:val="007055CF"/>
    <w:rsid w:val="00705678"/>
    <w:rsid w:val="00705A45"/>
    <w:rsid w:val="00705A91"/>
    <w:rsid w:val="00705B15"/>
    <w:rsid w:val="00705F4A"/>
    <w:rsid w:val="00705F7C"/>
    <w:rsid w:val="00706666"/>
    <w:rsid w:val="00706867"/>
    <w:rsid w:val="007069F4"/>
    <w:rsid w:val="00706A69"/>
    <w:rsid w:val="00707163"/>
    <w:rsid w:val="0070758B"/>
    <w:rsid w:val="007078C9"/>
    <w:rsid w:val="00707EDF"/>
    <w:rsid w:val="00707F55"/>
    <w:rsid w:val="007103A3"/>
    <w:rsid w:val="0071055E"/>
    <w:rsid w:val="007105A8"/>
    <w:rsid w:val="00710920"/>
    <w:rsid w:val="00710A2A"/>
    <w:rsid w:val="00710B9D"/>
    <w:rsid w:val="0071166D"/>
    <w:rsid w:val="007116D8"/>
    <w:rsid w:val="007118C9"/>
    <w:rsid w:val="00711A16"/>
    <w:rsid w:val="00711B6C"/>
    <w:rsid w:val="00711C38"/>
    <w:rsid w:val="00711CA7"/>
    <w:rsid w:val="00711E1B"/>
    <w:rsid w:val="00712116"/>
    <w:rsid w:val="007121F4"/>
    <w:rsid w:val="0071227A"/>
    <w:rsid w:val="007126C0"/>
    <w:rsid w:val="007128F0"/>
    <w:rsid w:val="00713239"/>
    <w:rsid w:val="00713250"/>
    <w:rsid w:val="00713D8C"/>
    <w:rsid w:val="00714105"/>
    <w:rsid w:val="007141D0"/>
    <w:rsid w:val="00714855"/>
    <w:rsid w:val="007154AE"/>
    <w:rsid w:val="0071557E"/>
    <w:rsid w:val="0071595C"/>
    <w:rsid w:val="00716305"/>
    <w:rsid w:val="00716330"/>
    <w:rsid w:val="007163F0"/>
    <w:rsid w:val="007168A6"/>
    <w:rsid w:val="00716C8C"/>
    <w:rsid w:val="00716DF1"/>
    <w:rsid w:val="00716E77"/>
    <w:rsid w:val="00716FA3"/>
    <w:rsid w:val="007170B6"/>
    <w:rsid w:val="00717188"/>
    <w:rsid w:val="007175AD"/>
    <w:rsid w:val="00717F24"/>
    <w:rsid w:val="007202C4"/>
    <w:rsid w:val="00720718"/>
    <w:rsid w:val="00720971"/>
    <w:rsid w:val="00720AAD"/>
    <w:rsid w:val="007211FC"/>
    <w:rsid w:val="007212E2"/>
    <w:rsid w:val="0072158D"/>
    <w:rsid w:val="00722706"/>
    <w:rsid w:val="007227C9"/>
    <w:rsid w:val="007228DA"/>
    <w:rsid w:val="00722976"/>
    <w:rsid w:val="007229DB"/>
    <w:rsid w:val="00722CA3"/>
    <w:rsid w:val="00722FED"/>
    <w:rsid w:val="0072320D"/>
    <w:rsid w:val="007232A2"/>
    <w:rsid w:val="00723B80"/>
    <w:rsid w:val="00724302"/>
    <w:rsid w:val="007252AF"/>
    <w:rsid w:val="00725ABA"/>
    <w:rsid w:val="00725B29"/>
    <w:rsid w:val="007261E4"/>
    <w:rsid w:val="007264A5"/>
    <w:rsid w:val="00726595"/>
    <w:rsid w:val="00726A88"/>
    <w:rsid w:val="00726F91"/>
    <w:rsid w:val="00727232"/>
    <w:rsid w:val="007277B6"/>
    <w:rsid w:val="00727940"/>
    <w:rsid w:val="00727C0E"/>
    <w:rsid w:val="00730AEE"/>
    <w:rsid w:val="007317C2"/>
    <w:rsid w:val="00731C53"/>
    <w:rsid w:val="00731F5E"/>
    <w:rsid w:val="00732027"/>
    <w:rsid w:val="0073271E"/>
    <w:rsid w:val="00733280"/>
    <w:rsid w:val="00733419"/>
    <w:rsid w:val="007334D0"/>
    <w:rsid w:val="007335C3"/>
    <w:rsid w:val="007337BA"/>
    <w:rsid w:val="0073388E"/>
    <w:rsid w:val="0073404F"/>
    <w:rsid w:val="007342D5"/>
    <w:rsid w:val="00734A2C"/>
    <w:rsid w:val="00735045"/>
    <w:rsid w:val="007351DB"/>
    <w:rsid w:val="0073531F"/>
    <w:rsid w:val="00735625"/>
    <w:rsid w:val="007356AE"/>
    <w:rsid w:val="00735D8F"/>
    <w:rsid w:val="007361A0"/>
    <w:rsid w:val="007362CC"/>
    <w:rsid w:val="00736348"/>
    <w:rsid w:val="0073640B"/>
    <w:rsid w:val="0073645F"/>
    <w:rsid w:val="00736B37"/>
    <w:rsid w:val="00736CBC"/>
    <w:rsid w:val="007372EA"/>
    <w:rsid w:val="00737934"/>
    <w:rsid w:val="00737DEE"/>
    <w:rsid w:val="007406E4"/>
    <w:rsid w:val="0074072E"/>
    <w:rsid w:val="007408A8"/>
    <w:rsid w:val="00740AD4"/>
    <w:rsid w:val="00740FA2"/>
    <w:rsid w:val="00741272"/>
    <w:rsid w:val="00741743"/>
    <w:rsid w:val="00741891"/>
    <w:rsid w:val="00741C1F"/>
    <w:rsid w:val="00741F90"/>
    <w:rsid w:val="00741FE4"/>
    <w:rsid w:val="0074211B"/>
    <w:rsid w:val="007424D0"/>
    <w:rsid w:val="00742DE2"/>
    <w:rsid w:val="00742EF8"/>
    <w:rsid w:val="00743059"/>
    <w:rsid w:val="00743278"/>
    <w:rsid w:val="00743351"/>
    <w:rsid w:val="007438FD"/>
    <w:rsid w:val="0074394E"/>
    <w:rsid w:val="00743C9A"/>
    <w:rsid w:val="00744CA0"/>
    <w:rsid w:val="00745067"/>
    <w:rsid w:val="00745080"/>
    <w:rsid w:val="007450C6"/>
    <w:rsid w:val="00745258"/>
    <w:rsid w:val="00745431"/>
    <w:rsid w:val="00745748"/>
    <w:rsid w:val="007459B2"/>
    <w:rsid w:val="00745F64"/>
    <w:rsid w:val="00745FE6"/>
    <w:rsid w:val="007463D0"/>
    <w:rsid w:val="007466A1"/>
    <w:rsid w:val="00746975"/>
    <w:rsid w:val="00746B4A"/>
    <w:rsid w:val="00746C15"/>
    <w:rsid w:val="00746C9B"/>
    <w:rsid w:val="00746E46"/>
    <w:rsid w:val="00746E4B"/>
    <w:rsid w:val="00746FBB"/>
    <w:rsid w:val="0074743E"/>
    <w:rsid w:val="0074754C"/>
    <w:rsid w:val="007476B5"/>
    <w:rsid w:val="00747D46"/>
    <w:rsid w:val="00750069"/>
    <w:rsid w:val="00750183"/>
    <w:rsid w:val="007502EC"/>
    <w:rsid w:val="0075038F"/>
    <w:rsid w:val="0075048C"/>
    <w:rsid w:val="0075066F"/>
    <w:rsid w:val="007506C4"/>
    <w:rsid w:val="00750B8D"/>
    <w:rsid w:val="00751462"/>
    <w:rsid w:val="00751497"/>
    <w:rsid w:val="007518D2"/>
    <w:rsid w:val="007518F7"/>
    <w:rsid w:val="00751A12"/>
    <w:rsid w:val="007521DF"/>
    <w:rsid w:val="00752638"/>
    <w:rsid w:val="00752B35"/>
    <w:rsid w:val="00752E6F"/>
    <w:rsid w:val="00752FCF"/>
    <w:rsid w:val="0075310A"/>
    <w:rsid w:val="007532D0"/>
    <w:rsid w:val="00753DBA"/>
    <w:rsid w:val="00753E2E"/>
    <w:rsid w:val="00754098"/>
    <w:rsid w:val="00754937"/>
    <w:rsid w:val="00754B01"/>
    <w:rsid w:val="00754CC9"/>
    <w:rsid w:val="00754F34"/>
    <w:rsid w:val="0075517D"/>
    <w:rsid w:val="007554EC"/>
    <w:rsid w:val="00755800"/>
    <w:rsid w:val="00755E3A"/>
    <w:rsid w:val="0075601B"/>
    <w:rsid w:val="00756643"/>
    <w:rsid w:val="00756B1F"/>
    <w:rsid w:val="00756D3E"/>
    <w:rsid w:val="00756D82"/>
    <w:rsid w:val="00756E32"/>
    <w:rsid w:val="00757414"/>
    <w:rsid w:val="0075746C"/>
    <w:rsid w:val="0075767A"/>
    <w:rsid w:val="00757D37"/>
    <w:rsid w:val="00757E3B"/>
    <w:rsid w:val="007600D6"/>
    <w:rsid w:val="00760293"/>
    <w:rsid w:val="007602DA"/>
    <w:rsid w:val="007605FA"/>
    <w:rsid w:val="0076093B"/>
    <w:rsid w:val="00760A13"/>
    <w:rsid w:val="0076107F"/>
    <w:rsid w:val="007616B1"/>
    <w:rsid w:val="007617C4"/>
    <w:rsid w:val="007618B4"/>
    <w:rsid w:val="00761AEE"/>
    <w:rsid w:val="00761C08"/>
    <w:rsid w:val="00762811"/>
    <w:rsid w:val="00762A1B"/>
    <w:rsid w:val="00762C90"/>
    <w:rsid w:val="00763027"/>
    <w:rsid w:val="007630FD"/>
    <w:rsid w:val="00763132"/>
    <w:rsid w:val="00763182"/>
    <w:rsid w:val="007634BB"/>
    <w:rsid w:val="0076383C"/>
    <w:rsid w:val="00763975"/>
    <w:rsid w:val="007639CF"/>
    <w:rsid w:val="00763DFE"/>
    <w:rsid w:val="00764470"/>
    <w:rsid w:val="00764738"/>
    <w:rsid w:val="00764A66"/>
    <w:rsid w:val="00764B56"/>
    <w:rsid w:val="00764E82"/>
    <w:rsid w:val="007650A6"/>
    <w:rsid w:val="007650DC"/>
    <w:rsid w:val="007651DF"/>
    <w:rsid w:val="00765C59"/>
    <w:rsid w:val="00765D30"/>
    <w:rsid w:val="00765DFD"/>
    <w:rsid w:val="00766066"/>
    <w:rsid w:val="007660BE"/>
    <w:rsid w:val="007666E6"/>
    <w:rsid w:val="007666E8"/>
    <w:rsid w:val="00766C1F"/>
    <w:rsid w:val="00766CC6"/>
    <w:rsid w:val="00767029"/>
    <w:rsid w:val="00767271"/>
    <w:rsid w:val="00767808"/>
    <w:rsid w:val="0077004F"/>
    <w:rsid w:val="0077018A"/>
    <w:rsid w:val="0077029D"/>
    <w:rsid w:val="007714C4"/>
    <w:rsid w:val="007717DE"/>
    <w:rsid w:val="00771C23"/>
    <w:rsid w:val="00771FE6"/>
    <w:rsid w:val="00772210"/>
    <w:rsid w:val="007722F6"/>
    <w:rsid w:val="007724AD"/>
    <w:rsid w:val="00772A19"/>
    <w:rsid w:val="00772D2D"/>
    <w:rsid w:val="00773097"/>
    <w:rsid w:val="0077314E"/>
    <w:rsid w:val="0077376B"/>
    <w:rsid w:val="00773F39"/>
    <w:rsid w:val="0077419D"/>
    <w:rsid w:val="00774692"/>
    <w:rsid w:val="00774DC2"/>
    <w:rsid w:val="00774FE3"/>
    <w:rsid w:val="0077500B"/>
    <w:rsid w:val="0077507B"/>
    <w:rsid w:val="00775561"/>
    <w:rsid w:val="0077588D"/>
    <w:rsid w:val="007759D5"/>
    <w:rsid w:val="00775CDF"/>
    <w:rsid w:val="00775E6B"/>
    <w:rsid w:val="0077668E"/>
    <w:rsid w:val="00776751"/>
    <w:rsid w:val="00776911"/>
    <w:rsid w:val="00776A78"/>
    <w:rsid w:val="00776CAC"/>
    <w:rsid w:val="007773B8"/>
    <w:rsid w:val="00777D5F"/>
    <w:rsid w:val="00777DE9"/>
    <w:rsid w:val="007804AF"/>
    <w:rsid w:val="007806B8"/>
    <w:rsid w:val="0078070B"/>
    <w:rsid w:val="00780900"/>
    <w:rsid w:val="00780E91"/>
    <w:rsid w:val="0078115F"/>
    <w:rsid w:val="00781827"/>
    <w:rsid w:val="00781C41"/>
    <w:rsid w:val="0078214B"/>
    <w:rsid w:val="0078228E"/>
    <w:rsid w:val="007823A1"/>
    <w:rsid w:val="0078309F"/>
    <w:rsid w:val="0078348F"/>
    <w:rsid w:val="0078391A"/>
    <w:rsid w:val="007839EB"/>
    <w:rsid w:val="00783C84"/>
    <w:rsid w:val="0078409D"/>
    <w:rsid w:val="00784565"/>
    <w:rsid w:val="0078489B"/>
    <w:rsid w:val="00784BA8"/>
    <w:rsid w:val="00785043"/>
    <w:rsid w:val="007852F0"/>
    <w:rsid w:val="00785386"/>
    <w:rsid w:val="00785518"/>
    <w:rsid w:val="007856AC"/>
    <w:rsid w:val="007856DD"/>
    <w:rsid w:val="007858D6"/>
    <w:rsid w:val="00785AE8"/>
    <w:rsid w:val="007860EF"/>
    <w:rsid w:val="00786240"/>
    <w:rsid w:val="00786277"/>
    <w:rsid w:val="00786D53"/>
    <w:rsid w:val="00786E8D"/>
    <w:rsid w:val="007872B4"/>
    <w:rsid w:val="007874AC"/>
    <w:rsid w:val="007875BB"/>
    <w:rsid w:val="00787667"/>
    <w:rsid w:val="007879DC"/>
    <w:rsid w:val="00787CE7"/>
    <w:rsid w:val="00787EF7"/>
    <w:rsid w:val="00790395"/>
    <w:rsid w:val="00790516"/>
    <w:rsid w:val="00790662"/>
    <w:rsid w:val="00790DE3"/>
    <w:rsid w:val="007910D5"/>
    <w:rsid w:val="0079169F"/>
    <w:rsid w:val="00791893"/>
    <w:rsid w:val="00791898"/>
    <w:rsid w:val="00791DEF"/>
    <w:rsid w:val="00792296"/>
    <w:rsid w:val="00792489"/>
    <w:rsid w:val="00792539"/>
    <w:rsid w:val="007925F2"/>
    <w:rsid w:val="007926A6"/>
    <w:rsid w:val="007927B4"/>
    <w:rsid w:val="007927D8"/>
    <w:rsid w:val="00793094"/>
    <w:rsid w:val="007933C2"/>
    <w:rsid w:val="00793CE3"/>
    <w:rsid w:val="00793E5E"/>
    <w:rsid w:val="00794089"/>
    <w:rsid w:val="007940BB"/>
    <w:rsid w:val="0079451D"/>
    <w:rsid w:val="00794521"/>
    <w:rsid w:val="007945D4"/>
    <w:rsid w:val="00794626"/>
    <w:rsid w:val="007946EB"/>
    <w:rsid w:val="0079491F"/>
    <w:rsid w:val="00794B06"/>
    <w:rsid w:val="00794DA7"/>
    <w:rsid w:val="00794ED1"/>
    <w:rsid w:val="0079588E"/>
    <w:rsid w:val="0079593F"/>
    <w:rsid w:val="0079653D"/>
    <w:rsid w:val="00796B8A"/>
    <w:rsid w:val="00796C97"/>
    <w:rsid w:val="00796D53"/>
    <w:rsid w:val="00797225"/>
    <w:rsid w:val="00797AD7"/>
    <w:rsid w:val="00797D47"/>
    <w:rsid w:val="007A01C7"/>
    <w:rsid w:val="007A101F"/>
    <w:rsid w:val="007A10F4"/>
    <w:rsid w:val="007A1CAF"/>
    <w:rsid w:val="007A2031"/>
    <w:rsid w:val="007A27AA"/>
    <w:rsid w:val="007A2884"/>
    <w:rsid w:val="007A2B49"/>
    <w:rsid w:val="007A2EF0"/>
    <w:rsid w:val="007A3A8A"/>
    <w:rsid w:val="007A4072"/>
    <w:rsid w:val="007A41E6"/>
    <w:rsid w:val="007A41E7"/>
    <w:rsid w:val="007A43CD"/>
    <w:rsid w:val="007A4449"/>
    <w:rsid w:val="007A46AD"/>
    <w:rsid w:val="007A4A92"/>
    <w:rsid w:val="007A4AD9"/>
    <w:rsid w:val="007A4BEF"/>
    <w:rsid w:val="007A4E22"/>
    <w:rsid w:val="007A4E5F"/>
    <w:rsid w:val="007A521B"/>
    <w:rsid w:val="007A53A4"/>
    <w:rsid w:val="007A5402"/>
    <w:rsid w:val="007A5768"/>
    <w:rsid w:val="007A598A"/>
    <w:rsid w:val="007A6380"/>
    <w:rsid w:val="007A662C"/>
    <w:rsid w:val="007A68F5"/>
    <w:rsid w:val="007A6ACD"/>
    <w:rsid w:val="007A6EF6"/>
    <w:rsid w:val="007A704E"/>
    <w:rsid w:val="007A73B3"/>
    <w:rsid w:val="007A7A8C"/>
    <w:rsid w:val="007A7BAD"/>
    <w:rsid w:val="007A7C62"/>
    <w:rsid w:val="007A7C6B"/>
    <w:rsid w:val="007A7F6F"/>
    <w:rsid w:val="007B003D"/>
    <w:rsid w:val="007B01FC"/>
    <w:rsid w:val="007B02C3"/>
    <w:rsid w:val="007B033F"/>
    <w:rsid w:val="007B06AF"/>
    <w:rsid w:val="007B0ACA"/>
    <w:rsid w:val="007B0E7F"/>
    <w:rsid w:val="007B1067"/>
    <w:rsid w:val="007B12D0"/>
    <w:rsid w:val="007B1450"/>
    <w:rsid w:val="007B14D5"/>
    <w:rsid w:val="007B189F"/>
    <w:rsid w:val="007B1BCF"/>
    <w:rsid w:val="007B2663"/>
    <w:rsid w:val="007B26DD"/>
    <w:rsid w:val="007B2C1A"/>
    <w:rsid w:val="007B2C31"/>
    <w:rsid w:val="007B2C40"/>
    <w:rsid w:val="007B2EE5"/>
    <w:rsid w:val="007B3211"/>
    <w:rsid w:val="007B33A3"/>
    <w:rsid w:val="007B35B8"/>
    <w:rsid w:val="007B3830"/>
    <w:rsid w:val="007B390A"/>
    <w:rsid w:val="007B3ACF"/>
    <w:rsid w:val="007B3BDE"/>
    <w:rsid w:val="007B3DD4"/>
    <w:rsid w:val="007B3E14"/>
    <w:rsid w:val="007B4AC4"/>
    <w:rsid w:val="007B550B"/>
    <w:rsid w:val="007B568E"/>
    <w:rsid w:val="007B58CA"/>
    <w:rsid w:val="007B5911"/>
    <w:rsid w:val="007B5C4A"/>
    <w:rsid w:val="007B5F63"/>
    <w:rsid w:val="007B651D"/>
    <w:rsid w:val="007B65A6"/>
    <w:rsid w:val="007B68B6"/>
    <w:rsid w:val="007B733C"/>
    <w:rsid w:val="007B7908"/>
    <w:rsid w:val="007B790A"/>
    <w:rsid w:val="007B79F4"/>
    <w:rsid w:val="007B7B64"/>
    <w:rsid w:val="007B7D2E"/>
    <w:rsid w:val="007C037E"/>
    <w:rsid w:val="007C04CA"/>
    <w:rsid w:val="007C0607"/>
    <w:rsid w:val="007C09B1"/>
    <w:rsid w:val="007C0A87"/>
    <w:rsid w:val="007C0C7E"/>
    <w:rsid w:val="007C0FE1"/>
    <w:rsid w:val="007C10A1"/>
    <w:rsid w:val="007C1493"/>
    <w:rsid w:val="007C14D5"/>
    <w:rsid w:val="007C15AD"/>
    <w:rsid w:val="007C1F00"/>
    <w:rsid w:val="007C2103"/>
    <w:rsid w:val="007C24C1"/>
    <w:rsid w:val="007C25D5"/>
    <w:rsid w:val="007C2955"/>
    <w:rsid w:val="007C2B37"/>
    <w:rsid w:val="007C301C"/>
    <w:rsid w:val="007C3893"/>
    <w:rsid w:val="007C3B09"/>
    <w:rsid w:val="007C3B3F"/>
    <w:rsid w:val="007C3FCD"/>
    <w:rsid w:val="007C4223"/>
    <w:rsid w:val="007C44D6"/>
    <w:rsid w:val="007C475E"/>
    <w:rsid w:val="007C4D0D"/>
    <w:rsid w:val="007C4E46"/>
    <w:rsid w:val="007C4F06"/>
    <w:rsid w:val="007C4F48"/>
    <w:rsid w:val="007C516D"/>
    <w:rsid w:val="007C52D1"/>
    <w:rsid w:val="007C555D"/>
    <w:rsid w:val="007C563C"/>
    <w:rsid w:val="007C56EB"/>
    <w:rsid w:val="007C5914"/>
    <w:rsid w:val="007C59C9"/>
    <w:rsid w:val="007C5BB1"/>
    <w:rsid w:val="007C605E"/>
    <w:rsid w:val="007C6464"/>
    <w:rsid w:val="007C64AB"/>
    <w:rsid w:val="007C6588"/>
    <w:rsid w:val="007C68F4"/>
    <w:rsid w:val="007C6D4F"/>
    <w:rsid w:val="007C6E56"/>
    <w:rsid w:val="007C728D"/>
    <w:rsid w:val="007C7439"/>
    <w:rsid w:val="007C7A69"/>
    <w:rsid w:val="007C7D8E"/>
    <w:rsid w:val="007C7FA2"/>
    <w:rsid w:val="007D012A"/>
    <w:rsid w:val="007D01FB"/>
    <w:rsid w:val="007D0997"/>
    <w:rsid w:val="007D0D91"/>
    <w:rsid w:val="007D0DD8"/>
    <w:rsid w:val="007D0ED0"/>
    <w:rsid w:val="007D1142"/>
    <w:rsid w:val="007D1157"/>
    <w:rsid w:val="007D1384"/>
    <w:rsid w:val="007D142E"/>
    <w:rsid w:val="007D143A"/>
    <w:rsid w:val="007D1839"/>
    <w:rsid w:val="007D2679"/>
    <w:rsid w:val="007D294B"/>
    <w:rsid w:val="007D2CC4"/>
    <w:rsid w:val="007D2E4C"/>
    <w:rsid w:val="007D2FD4"/>
    <w:rsid w:val="007D300A"/>
    <w:rsid w:val="007D30A1"/>
    <w:rsid w:val="007D3216"/>
    <w:rsid w:val="007D366A"/>
    <w:rsid w:val="007D3725"/>
    <w:rsid w:val="007D374C"/>
    <w:rsid w:val="007D38A0"/>
    <w:rsid w:val="007D3A8F"/>
    <w:rsid w:val="007D41E3"/>
    <w:rsid w:val="007D41FC"/>
    <w:rsid w:val="007D483C"/>
    <w:rsid w:val="007D49C6"/>
    <w:rsid w:val="007D4C0E"/>
    <w:rsid w:val="007D4D3E"/>
    <w:rsid w:val="007D4DE0"/>
    <w:rsid w:val="007D5810"/>
    <w:rsid w:val="007D5A94"/>
    <w:rsid w:val="007D5A9B"/>
    <w:rsid w:val="007D5AC0"/>
    <w:rsid w:val="007D5BED"/>
    <w:rsid w:val="007D5C89"/>
    <w:rsid w:val="007D5CC2"/>
    <w:rsid w:val="007D6386"/>
    <w:rsid w:val="007D66F6"/>
    <w:rsid w:val="007D68EF"/>
    <w:rsid w:val="007D6BEB"/>
    <w:rsid w:val="007D6E2B"/>
    <w:rsid w:val="007D7703"/>
    <w:rsid w:val="007D7C99"/>
    <w:rsid w:val="007E01EE"/>
    <w:rsid w:val="007E02FB"/>
    <w:rsid w:val="007E0347"/>
    <w:rsid w:val="007E04CA"/>
    <w:rsid w:val="007E089B"/>
    <w:rsid w:val="007E0AC8"/>
    <w:rsid w:val="007E0C68"/>
    <w:rsid w:val="007E0F09"/>
    <w:rsid w:val="007E0F2F"/>
    <w:rsid w:val="007E1236"/>
    <w:rsid w:val="007E1559"/>
    <w:rsid w:val="007E15D8"/>
    <w:rsid w:val="007E15F4"/>
    <w:rsid w:val="007E1B0B"/>
    <w:rsid w:val="007E1D03"/>
    <w:rsid w:val="007E2081"/>
    <w:rsid w:val="007E25C1"/>
    <w:rsid w:val="007E2695"/>
    <w:rsid w:val="007E2C69"/>
    <w:rsid w:val="007E2C86"/>
    <w:rsid w:val="007E2CC0"/>
    <w:rsid w:val="007E300F"/>
    <w:rsid w:val="007E3430"/>
    <w:rsid w:val="007E35C7"/>
    <w:rsid w:val="007E3AB4"/>
    <w:rsid w:val="007E3EFB"/>
    <w:rsid w:val="007E4482"/>
    <w:rsid w:val="007E472B"/>
    <w:rsid w:val="007E482E"/>
    <w:rsid w:val="007E4B56"/>
    <w:rsid w:val="007E4ED5"/>
    <w:rsid w:val="007E502A"/>
    <w:rsid w:val="007E57EF"/>
    <w:rsid w:val="007E5A6F"/>
    <w:rsid w:val="007E5AA6"/>
    <w:rsid w:val="007E5BF0"/>
    <w:rsid w:val="007E5FA3"/>
    <w:rsid w:val="007E6010"/>
    <w:rsid w:val="007E69C8"/>
    <w:rsid w:val="007E6BA1"/>
    <w:rsid w:val="007E70CF"/>
    <w:rsid w:val="007E71DC"/>
    <w:rsid w:val="007E737A"/>
    <w:rsid w:val="007E7479"/>
    <w:rsid w:val="007E7701"/>
    <w:rsid w:val="007E77D3"/>
    <w:rsid w:val="007E7E0F"/>
    <w:rsid w:val="007E7FE7"/>
    <w:rsid w:val="007F03B8"/>
    <w:rsid w:val="007F04DB"/>
    <w:rsid w:val="007F0C65"/>
    <w:rsid w:val="007F21FE"/>
    <w:rsid w:val="007F23A6"/>
    <w:rsid w:val="007F29B3"/>
    <w:rsid w:val="007F2A58"/>
    <w:rsid w:val="007F2C0F"/>
    <w:rsid w:val="007F35B0"/>
    <w:rsid w:val="007F3872"/>
    <w:rsid w:val="007F38F1"/>
    <w:rsid w:val="007F3B23"/>
    <w:rsid w:val="007F3C70"/>
    <w:rsid w:val="007F4272"/>
    <w:rsid w:val="007F45CB"/>
    <w:rsid w:val="007F4619"/>
    <w:rsid w:val="007F4624"/>
    <w:rsid w:val="007F4903"/>
    <w:rsid w:val="007F4E67"/>
    <w:rsid w:val="007F4FD1"/>
    <w:rsid w:val="007F5406"/>
    <w:rsid w:val="007F5449"/>
    <w:rsid w:val="007F5A9A"/>
    <w:rsid w:val="007F5B82"/>
    <w:rsid w:val="007F5D90"/>
    <w:rsid w:val="007F5EA7"/>
    <w:rsid w:val="007F6238"/>
    <w:rsid w:val="007F63D5"/>
    <w:rsid w:val="007F63F8"/>
    <w:rsid w:val="007F6EC2"/>
    <w:rsid w:val="007F71B6"/>
    <w:rsid w:val="007F71F2"/>
    <w:rsid w:val="007F7257"/>
    <w:rsid w:val="007F73A4"/>
    <w:rsid w:val="007F73FD"/>
    <w:rsid w:val="007F761B"/>
    <w:rsid w:val="007F7644"/>
    <w:rsid w:val="007F7B3B"/>
    <w:rsid w:val="007F7F4B"/>
    <w:rsid w:val="008005CE"/>
    <w:rsid w:val="00800620"/>
    <w:rsid w:val="00800B85"/>
    <w:rsid w:val="00800BFF"/>
    <w:rsid w:val="0080100E"/>
    <w:rsid w:val="00801016"/>
    <w:rsid w:val="008014C6"/>
    <w:rsid w:val="00801BEE"/>
    <w:rsid w:val="00801D1B"/>
    <w:rsid w:val="00801E74"/>
    <w:rsid w:val="0080225F"/>
    <w:rsid w:val="0080229B"/>
    <w:rsid w:val="0080236D"/>
    <w:rsid w:val="008023A4"/>
    <w:rsid w:val="008025FD"/>
    <w:rsid w:val="0080265D"/>
    <w:rsid w:val="008027AC"/>
    <w:rsid w:val="00802EC2"/>
    <w:rsid w:val="008032B3"/>
    <w:rsid w:val="00803544"/>
    <w:rsid w:val="008037C1"/>
    <w:rsid w:val="00804354"/>
    <w:rsid w:val="00804A8B"/>
    <w:rsid w:val="00804B87"/>
    <w:rsid w:val="00805806"/>
    <w:rsid w:val="00805AF6"/>
    <w:rsid w:val="00805BCC"/>
    <w:rsid w:val="00805CE4"/>
    <w:rsid w:val="00805D1A"/>
    <w:rsid w:val="00806319"/>
    <w:rsid w:val="0080743A"/>
    <w:rsid w:val="0080771C"/>
    <w:rsid w:val="008077AF"/>
    <w:rsid w:val="00807EAD"/>
    <w:rsid w:val="00810ACA"/>
    <w:rsid w:val="00810B64"/>
    <w:rsid w:val="00810D21"/>
    <w:rsid w:val="008111B4"/>
    <w:rsid w:val="00811C29"/>
    <w:rsid w:val="00811CF2"/>
    <w:rsid w:val="00811E01"/>
    <w:rsid w:val="00812494"/>
    <w:rsid w:val="00812734"/>
    <w:rsid w:val="00812757"/>
    <w:rsid w:val="0081289F"/>
    <w:rsid w:val="008128BB"/>
    <w:rsid w:val="00813045"/>
    <w:rsid w:val="008130C1"/>
    <w:rsid w:val="00813B73"/>
    <w:rsid w:val="00813FC4"/>
    <w:rsid w:val="00814457"/>
    <w:rsid w:val="00814B2B"/>
    <w:rsid w:val="008150BE"/>
    <w:rsid w:val="0081537A"/>
    <w:rsid w:val="00815662"/>
    <w:rsid w:val="00815E4F"/>
    <w:rsid w:val="00815FA3"/>
    <w:rsid w:val="0081610E"/>
    <w:rsid w:val="00816BAB"/>
    <w:rsid w:val="00816EC7"/>
    <w:rsid w:val="00816F47"/>
    <w:rsid w:val="0081764D"/>
    <w:rsid w:val="00817D09"/>
    <w:rsid w:val="00817E6F"/>
    <w:rsid w:val="00817F3B"/>
    <w:rsid w:val="00820069"/>
    <w:rsid w:val="008201EA"/>
    <w:rsid w:val="00820300"/>
    <w:rsid w:val="008203A3"/>
    <w:rsid w:val="00820A8D"/>
    <w:rsid w:val="0082150E"/>
    <w:rsid w:val="00821B84"/>
    <w:rsid w:val="00821DEB"/>
    <w:rsid w:val="00821E64"/>
    <w:rsid w:val="008220DE"/>
    <w:rsid w:val="008220F6"/>
    <w:rsid w:val="008232F1"/>
    <w:rsid w:val="00823599"/>
    <w:rsid w:val="0082380B"/>
    <w:rsid w:val="00823ADF"/>
    <w:rsid w:val="008249B7"/>
    <w:rsid w:val="00824C7F"/>
    <w:rsid w:val="00825108"/>
    <w:rsid w:val="008254A4"/>
    <w:rsid w:val="00825508"/>
    <w:rsid w:val="00825864"/>
    <w:rsid w:val="00825DD8"/>
    <w:rsid w:val="008267FE"/>
    <w:rsid w:val="008268C4"/>
    <w:rsid w:val="00826A55"/>
    <w:rsid w:val="00826BE2"/>
    <w:rsid w:val="00826C66"/>
    <w:rsid w:val="00826C70"/>
    <w:rsid w:val="0082733D"/>
    <w:rsid w:val="00827532"/>
    <w:rsid w:val="00827AAF"/>
    <w:rsid w:val="00827DE8"/>
    <w:rsid w:val="00827E1A"/>
    <w:rsid w:val="00827FF9"/>
    <w:rsid w:val="0083081D"/>
    <w:rsid w:val="008308D6"/>
    <w:rsid w:val="00830E49"/>
    <w:rsid w:val="00831510"/>
    <w:rsid w:val="0083160D"/>
    <w:rsid w:val="0083182C"/>
    <w:rsid w:val="0083193B"/>
    <w:rsid w:val="00831BED"/>
    <w:rsid w:val="00831C2A"/>
    <w:rsid w:val="00831D38"/>
    <w:rsid w:val="00832031"/>
    <w:rsid w:val="008320D2"/>
    <w:rsid w:val="008320D7"/>
    <w:rsid w:val="0083233E"/>
    <w:rsid w:val="00832D08"/>
    <w:rsid w:val="00832F41"/>
    <w:rsid w:val="00833170"/>
    <w:rsid w:val="008335F2"/>
    <w:rsid w:val="00833C40"/>
    <w:rsid w:val="00833D8A"/>
    <w:rsid w:val="008342E2"/>
    <w:rsid w:val="00834B21"/>
    <w:rsid w:val="00835463"/>
    <w:rsid w:val="008355B8"/>
    <w:rsid w:val="008357B2"/>
    <w:rsid w:val="00835F30"/>
    <w:rsid w:val="00835F5F"/>
    <w:rsid w:val="00836107"/>
    <w:rsid w:val="00836865"/>
    <w:rsid w:val="008368E8"/>
    <w:rsid w:val="00836F0D"/>
    <w:rsid w:val="00837064"/>
    <w:rsid w:val="0083711A"/>
    <w:rsid w:val="008377FA"/>
    <w:rsid w:val="0083787F"/>
    <w:rsid w:val="00837B8F"/>
    <w:rsid w:val="00837F5E"/>
    <w:rsid w:val="00837FB1"/>
    <w:rsid w:val="0084024B"/>
    <w:rsid w:val="008406F9"/>
    <w:rsid w:val="008409EA"/>
    <w:rsid w:val="00840B94"/>
    <w:rsid w:val="00840EC8"/>
    <w:rsid w:val="00840F60"/>
    <w:rsid w:val="00841133"/>
    <w:rsid w:val="00841375"/>
    <w:rsid w:val="0084171C"/>
    <w:rsid w:val="00841BC3"/>
    <w:rsid w:val="00841DC8"/>
    <w:rsid w:val="00841DE3"/>
    <w:rsid w:val="00841FE0"/>
    <w:rsid w:val="00842001"/>
    <w:rsid w:val="00842015"/>
    <w:rsid w:val="0084258B"/>
    <w:rsid w:val="00842794"/>
    <w:rsid w:val="00842BDA"/>
    <w:rsid w:val="00842E0A"/>
    <w:rsid w:val="0084355C"/>
    <w:rsid w:val="00843A5C"/>
    <w:rsid w:val="00843BA0"/>
    <w:rsid w:val="00843C41"/>
    <w:rsid w:val="008448EF"/>
    <w:rsid w:val="008449E3"/>
    <w:rsid w:val="00844CD8"/>
    <w:rsid w:val="00844FA9"/>
    <w:rsid w:val="00845230"/>
    <w:rsid w:val="00845816"/>
    <w:rsid w:val="00845938"/>
    <w:rsid w:val="00845B3D"/>
    <w:rsid w:val="00845F29"/>
    <w:rsid w:val="00845FDF"/>
    <w:rsid w:val="00846148"/>
    <w:rsid w:val="00846BDB"/>
    <w:rsid w:val="00846D3D"/>
    <w:rsid w:val="008475F0"/>
    <w:rsid w:val="00847688"/>
    <w:rsid w:val="008476C4"/>
    <w:rsid w:val="00847E11"/>
    <w:rsid w:val="00847EE6"/>
    <w:rsid w:val="00850306"/>
    <w:rsid w:val="0085034B"/>
    <w:rsid w:val="00850415"/>
    <w:rsid w:val="00850A22"/>
    <w:rsid w:val="00850C67"/>
    <w:rsid w:val="00851206"/>
    <w:rsid w:val="00851587"/>
    <w:rsid w:val="008515FE"/>
    <w:rsid w:val="008516AD"/>
    <w:rsid w:val="00851784"/>
    <w:rsid w:val="00851812"/>
    <w:rsid w:val="0085194C"/>
    <w:rsid w:val="0085195B"/>
    <w:rsid w:val="00851A7E"/>
    <w:rsid w:val="00851B4F"/>
    <w:rsid w:val="00851E91"/>
    <w:rsid w:val="008521EF"/>
    <w:rsid w:val="00852269"/>
    <w:rsid w:val="00852372"/>
    <w:rsid w:val="008523DF"/>
    <w:rsid w:val="00852561"/>
    <w:rsid w:val="0085279A"/>
    <w:rsid w:val="008527AE"/>
    <w:rsid w:val="00852C54"/>
    <w:rsid w:val="00852E51"/>
    <w:rsid w:val="00852E79"/>
    <w:rsid w:val="008532C2"/>
    <w:rsid w:val="008536EC"/>
    <w:rsid w:val="0085397E"/>
    <w:rsid w:val="00853A20"/>
    <w:rsid w:val="00853F03"/>
    <w:rsid w:val="008542D2"/>
    <w:rsid w:val="0085430D"/>
    <w:rsid w:val="00854495"/>
    <w:rsid w:val="008548C6"/>
    <w:rsid w:val="008548DE"/>
    <w:rsid w:val="008548EA"/>
    <w:rsid w:val="00854E33"/>
    <w:rsid w:val="0085520D"/>
    <w:rsid w:val="008552B7"/>
    <w:rsid w:val="008552F8"/>
    <w:rsid w:val="00856495"/>
    <w:rsid w:val="00857216"/>
    <w:rsid w:val="00857424"/>
    <w:rsid w:val="008574E1"/>
    <w:rsid w:val="00860115"/>
    <w:rsid w:val="00860360"/>
    <w:rsid w:val="00860703"/>
    <w:rsid w:val="00860AE8"/>
    <w:rsid w:val="0086108C"/>
    <w:rsid w:val="008611B7"/>
    <w:rsid w:val="008613A9"/>
    <w:rsid w:val="00861A81"/>
    <w:rsid w:val="00861B92"/>
    <w:rsid w:val="00861CF9"/>
    <w:rsid w:val="0086210A"/>
    <w:rsid w:val="008628C3"/>
    <w:rsid w:val="00862BC1"/>
    <w:rsid w:val="00862DEF"/>
    <w:rsid w:val="00862F86"/>
    <w:rsid w:val="00863382"/>
    <w:rsid w:val="008636EE"/>
    <w:rsid w:val="00863774"/>
    <w:rsid w:val="008641A5"/>
    <w:rsid w:val="0086428C"/>
    <w:rsid w:val="008643EA"/>
    <w:rsid w:val="00864432"/>
    <w:rsid w:val="00864986"/>
    <w:rsid w:val="00864BB2"/>
    <w:rsid w:val="00864C5F"/>
    <w:rsid w:val="00864D6F"/>
    <w:rsid w:val="008650A0"/>
    <w:rsid w:val="0086518A"/>
    <w:rsid w:val="00865316"/>
    <w:rsid w:val="008654E3"/>
    <w:rsid w:val="008655A8"/>
    <w:rsid w:val="008658DF"/>
    <w:rsid w:val="00865E79"/>
    <w:rsid w:val="00865E95"/>
    <w:rsid w:val="00865FE3"/>
    <w:rsid w:val="008663A4"/>
    <w:rsid w:val="008664F0"/>
    <w:rsid w:val="00866E2E"/>
    <w:rsid w:val="008670B9"/>
    <w:rsid w:val="008673CC"/>
    <w:rsid w:val="00867577"/>
    <w:rsid w:val="0087074A"/>
    <w:rsid w:val="0087090B"/>
    <w:rsid w:val="00870936"/>
    <w:rsid w:val="00870946"/>
    <w:rsid w:val="008709AA"/>
    <w:rsid w:val="00870CBE"/>
    <w:rsid w:val="00870CC2"/>
    <w:rsid w:val="00870E3D"/>
    <w:rsid w:val="0087161D"/>
    <w:rsid w:val="0087175E"/>
    <w:rsid w:val="008724EC"/>
    <w:rsid w:val="00872812"/>
    <w:rsid w:val="008728CA"/>
    <w:rsid w:val="008728EA"/>
    <w:rsid w:val="00872F3F"/>
    <w:rsid w:val="0087312B"/>
    <w:rsid w:val="00873402"/>
    <w:rsid w:val="00873C11"/>
    <w:rsid w:val="00873C69"/>
    <w:rsid w:val="00873E88"/>
    <w:rsid w:val="008744E9"/>
    <w:rsid w:val="00874697"/>
    <w:rsid w:val="00874B78"/>
    <w:rsid w:val="0087559B"/>
    <w:rsid w:val="00875C6C"/>
    <w:rsid w:val="00875ECD"/>
    <w:rsid w:val="00876024"/>
    <w:rsid w:val="00876280"/>
    <w:rsid w:val="00876B73"/>
    <w:rsid w:val="00876B93"/>
    <w:rsid w:val="00876BC5"/>
    <w:rsid w:val="00876F60"/>
    <w:rsid w:val="00876F69"/>
    <w:rsid w:val="008771BE"/>
    <w:rsid w:val="008779FF"/>
    <w:rsid w:val="00877B28"/>
    <w:rsid w:val="00877F57"/>
    <w:rsid w:val="00880047"/>
    <w:rsid w:val="008800A5"/>
    <w:rsid w:val="00880658"/>
    <w:rsid w:val="00880822"/>
    <w:rsid w:val="00880B6E"/>
    <w:rsid w:val="00880D25"/>
    <w:rsid w:val="00880F6A"/>
    <w:rsid w:val="008811DC"/>
    <w:rsid w:val="008812FF"/>
    <w:rsid w:val="008814FB"/>
    <w:rsid w:val="00881DE8"/>
    <w:rsid w:val="008828DE"/>
    <w:rsid w:val="00882D03"/>
    <w:rsid w:val="00882D0F"/>
    <w:rsid w:val="00882DE9"/>
    <w:rsid w:val="008833E4"/>
    <w:rsid w:val="00883BAC"/>
    <w:rsid w:val="00883E7F"/>
    <w:rsid w:val="00884405"/>
    <w:rsid w:val="00884990"/>
    <w:rsid w:val="00884B04"/>
    <w:rsid w:val="00884D8F"/>
    <w:rsid w:val="0088527B"/>
    <w:rsid w:val="00885E2E"/>
    <w:rsid w:val="0088631E"/>
    <w:rsid w:val="00886BA4"/>
    <w:rsid w:val="00886CDA"/>
    <w:rsid w:val="00886F43"/>
    <w:rsid w:val="00886FA8"/>
    <w:rsid w:val="00886FE2"/>
    <w:rsid w:val="00887196"/>
    <w:rsid w:val="00887900"/>
    <w:rsid w:val="00887B04"/>
    <w:rsid w:val="00890C56"/>
    <w:rsid w:val="00890CAE"/>
    <w:rsid w:val="00891154"/>
    <w:rsid w:val="008913FE"/>
    <w:rsid w:val="00891826"/>
    <w:rsid w:val="0089185C"/>
    <w:rsid w:val="00891939"/>
    <w:rsid w:val="00891CCD"/>
    <w:rsid w:val="00891E79"/>
    <w:rsid w:val="00891FE2"/>
    <w:rsid w:val="00892844"/>
    <w:rsid w:val="008933F7"/>
    <w:rsid w:val="008938B9"/>
    <w:rsid w:val="00893971"/>
    <w:rsid w:val="00893C0F"/>
    <w:rsid w:val="0089464F"/>
    <w:rsid w:val="008946B8"/>
    <w:rsid w:val="00894862"/>
    <w:rsid w:val="00894A42"/>
    <w:rsid w:val="00895CE7"/>
    <w:rsid w:val="0089602D"/>
    <w:rsid w:val="008960A8"/>
    <w:rsid w:val="00896583"/>
    <w:rsid w:val="00896CE7"/>
    <w:rsid w:val="00896DFC"/>
    <w:rsid w:val="00896FD6"/>
    <w:rsid w:val="00897BF4"/>
    <w:rsid w:val="00897C06"/>
    <w:rsid w:val="008A04A1"/>
    <w:rsid w:val="008A09BC"/>
    <w:rsid w:val="008A140C"/>
    <w:rsid w:val="008A184D"/>
    <w:rsid w:val="008A1AAC"/>
    <w:rsid w:val="008A22E7"/>
    <w:rsid w:val="008A254E"/>
    <w:rsid w:val="008A2678"/>
    <w:rsid w:val="008A29F8"/>
    <w:rsid w:val="008A2B72"/>
    <w:rsid w:val="008A2C32"/>
    <w:rsid w:val="008A2C86"/>
    <w:rsid w:val="008A2FF6"/>
    <w:rsid w:val="008A3885"/>
    <w:rsid w:val="008A396E"/>
    <w:rsid w:val="008A41BF"/>
    <w:rsid w:val="008A467E"/>
    <w:rsid w:val="008A4823"/>
    <w:rsid w:val="008A4985"/>
    <w:rsid w:val="008A5490"/>
    <w:rsid w:val="008A55B7"/>
    <w:rsid w:val="008A56C3"/>
    <w:rsid w:val="008A5870"/>
    <w:rsid w:val="008A5D75"/>
    <w:rsid w:val="008A69F9"/>
    <w:rsid w:val="008A7073"/>
    <w:rsid w:val="008A77C0"/>
    <w:rsid w:val="008A78F7"/>
    <w:rsid w:val="008A7D80"/>
    <w:rsid w:val="008B00B3"/>
    <w:rsid w:val="008B0101"/>
    <w:rsid w:val="008B01F5"/>
    <w:rsid w:val="008B0213"/>
    <w:rsid w:val="008B06D5"/>
    <w:rsid w:val="008B0782"/>
    <w:rsid w:val="008B095D"/>
    <w:rsid w:val="008B0DA4"/>
    <w:rsid w:val="008B0F94"/>
    <w:rsid w:val="008B11B2"/>
    <w:rsid w:val="008B12C9"/>
    <w:rsid w:val="008B1503"/>
    <w:rsid w:val="008B18E2"/>
    <w:rsid w:val="008B195D"/>
    <w:rsid w:val="008B202B"/>
    <w:rsid w:val="008B226A"/>
    <w:rsid w:val="008B2559"/>
    <w:rsid w:val="008B2A76"/>
    <w:rsid w:val="008B2D13"/>
    <w:rsid w:val="008B3AC1"/>
    <w:rsid w:val="008B3ADD"/>
    <w:rsid w:val="008B3B16"/>
    <w:rsid w:val="008B3F16"/>
    <w:rsid w:val="008B40B3"/>
    <w:rsid w:val="008B4245"/>
    <w:rsid w:val="008B4490"/>
    <w:rsid w:val="008B471F"/>
    <w:rsid w:val="008B472B"/>
    <w:rsid w:val="008B47D8"/>
    <w:rsid w:val="008B57E2"/>
    <w:rsid w:val="008B59E8"/>
    <w:rsid w:val="008B5A7C"/>
    <w:rsid w:val="008B5AA6"/>
    <w:rsid w:val="008B5C74"/>
    <w:rsid w:val="008B6089"/>
    <w:rsid w:val="008B646A"/>
    <w:rsid w:val="008B64DE"/>
    <w:rsid w:val="008B6E0A"/>
    <w:rsid w:val="008B6FBC"/>
    <w:rsid w:val="008B6FCE"/>
    <w:rsid w:val="008B71CF"/>
    <w:rsid w:val="008B722C"/>
    <w:rsid w:val="008B725C"/>
    <w:rsid w:val="008B743F"/>
    <w:rsid w:val="008B7676"/>
    <w:rsid w:val="008B79DF"/>
    <w:rsid w:val="008B7B8B"/>
    <w:rsid w:val="008B7EC7"/>
    <w:rsid w:val="008C0333"/>
    <w:rsid w:val="008C0697"/>
    <w:rsid w:val="008C1440"/>
    <w:rsid w:val="008C1A57"/>
    <w:rsid w:val="008C206A"/>
    <w:rsid w:val="008C2195"/>
    <w:rsid w:val="008C22BD"/>
    <w:rsid w:val="008C32B0"/>
    <w:rsid w:val="008C35F8"/>
    <w:rsid w:val="008C3873"/>
    <w:rsid w:val="008C387A"/>
    <w:rsid w:val="008C38A6"/>
    <w:rsid w:val="008C410F"/>
    <w:rsid w:val="008C41A2"/>
    <w:rsid w:val="008C4318"/>
    <w:rsid w:val="008C4343"/>
    <w:rsid w:val="008C48B4"/>
    <w:rsid w:val="008C4C85"/>
    <w:rsid w:val="008C4CF2"/>
    <w:rsid w:val="008C51FE"/>
    <w:rsid w:val="008C542A"/>
    <w:rsid w:val="008C5E0D"/>
    <w:rsid w:val="008C5F5B"/>
    <w:rsid w:val="008C6091"/>
    <w:rsid w:val="008C6139"/>
    <w:rsid w:val="008C6300"/>
    <w:rsid w:val="008C6399"/>
    <w:rsid w:val="008C666E"/>
    <w:rsid w:val="008C678C"/>
    <w:rsid w:val="008C68FB"/>
    <w:rsid w:val="008C6926"/>
    <w:rsid w:val="008C6C1E"/>
    <w:rsid w:val="008C7865"/>
    <w:rsid w:val="008C7A4D"/>
    <w:rsid w:val="008D02BD"/>
    <w:rsid w:val="008D03ED"/>
    <w:rsid w:val="008D05E6"/>
    <w:rsid w:val="008D0680"/>
    <w:rsid w:val="008D0ACA"/>
    <w:rsid w:val="008D0DD8"/>
    <w:rsid w:val="008D0EF9"/>
    <w:rsid w:val="008D1227"/>
    <w:rsid w:val="008D128E"/>
    <w:rsid w:val="008D161C"/>
    <w:rsid w:val="008D1815"/>
    <w:rsid w:val="008D1BAF"/>
    <w:rsid w:val="008D1F30"/>
    <w:rsid w:val="008D1F43"/>
    <w:rsid w:val="008D20B6"/>
    <w:rsid w:val="008D21D3"/>
    <w:rsid w:val="008D247E"/>
    <w:rsid w:val="008D275E"/>
    <w:rsid w:val="008D3660"/>
    <w:rsid w:val="008D3B85"/>
    <w:rsid w:val="008D3D6B"/>
    <w:rsid w:val="008D3DA0"/>
    <w:rsid w:val="008D41CF"/>
    <w:rsid w:val="008D4413"/>
    <w:rsid w:val="008D47BA"/>
    <w:rsid w:val="008D49A4"/>
    <w:rsid w:val="008D4EB9"/>
    <w:rsid w:val="008D4EEA"/>
    <w:rsid w:val="008D51AE"/>
    <w:rsid w:val="008D52A3"/>
    <w:rsid w:val="008D5A1E"/>
    <w:rsid w:val="008D5EA8"/>
    <w:rsid w:val="008D61EA"/>
    <w:rsid w:val="008D624B"/>
    <w:rsid w:val="008D689C"/>
    <w:rsid w:val="008D69FC"/>
    <w:rsid w:val="008D6E36"/>
    <w:rsid w:val="008D7258"/>
    <w:rsid w:val="008D7778"/>
    <w:rsid w:val="008D7CD7"/>
    <w:rsid w:val="008E0340"/>
    <w:rsid w:val="008E09F5"/>
    <w:rsid w:val="008E0AC6"/>
    <w:rsid w:val="008E0BAA"/>
    <w:rsid w:val="008E0E9B"/>
    <w:rsid w:val="008E1038"/>
    <w:rsid w:val="008E141F"/>
    <w:rsid w:val="008E18A1"/>
    <w:rsid w:val="008E193B"/>
    <w:rsid w:val="008E1A2F"/>
    <w:rsid w:val="008E1A94"/>
    <w:rsid w:val="008E1BBC"/>
    <w:rsid w:val="008E1F91"/>
    <w:rsid w:val="008E2539"/>
    <w:rsid w:val="008E28DF"/>
    <w:rsid w:val="008E2A4F"/>
    <w:rsid w:val="008E2B19"/>
    <w:rsid w:val="008E2C2B"/>
    <w:rsid w:val="008E2C5F"/>
    <w:rsid w:val="008E2DE5"/>
    <w:rsid w:val="008E40F5"/>
    <w:rsid w:val="008E43E0"/>
    <w:rsid w:val="008E4456"/>
    <w:rsid w:val="008E4A89"/>
    <w:rsid w:val="008E4BBB"/>
    <w:rsid w:val="008E50C8"/>
    <w:rsid w:val="008E520A"/>
    <w:rsid w:val="008E552C"/>
    <w:rsid w:val="008E58D7"/>
    <w:rsid w:val="008E6018"/>
    <w:rsid w:val="008E63E2"/>
    <w:rsid w:val="008E6848"/>
    <w:rsid w:val="008E6F14"/>
    <w:rsid w:val="008E71B6"/>
    <w:rsid w:val="008E71ED"/>
    <w:rsid w:val="008E7826"/>
    <w:rsid w:val="008E7D27"/>
    <w:rsid w:val="008F01FB"/>
    <w:rsid w:val="008F0219"/>
    <w:rsid w:val="008F05C3"/>
    <w:rsid w:val="008F0805"/>
    <w:rsid w:val="008F1964"/>
    <w:rsid w:val="008F1994"/>
    <w:rsid w:val="008F22EB"/>
    <w:rsid w:val="008F23A8"/>
    <w:rsid w:val="008F248E"/>
    <w:rsid w:val="008F27A1"/>
    <w:rsid w:val="008F2849"/>
    <w:rsid w:val="008F2F46"/>
    <w:rsid w:val="008F34AC"/>
    <w:rsid w:val="008F3865"/>
    <w:rsid w:val="008F3874"/>
    <w:rsid w:val="008F4044"/>
    <w:rsid w:val="008F4676"/>
    <w:rsid w:val="008F49BD"/>
    <w:rsid w:val="008F4BA6"/>
    <w:rsid w:val="008F4C16"/>
    <w:rsid w:val="008F4CC3"/>
    <w:rsid w:val="008F4E6D"/>
    <w:rsid w:val="008F539D"/>
    <w:rsid w:val="008F54BA"/>
    <w:rsid w:val="008F55B7"/>
    <w:rsid w:val="008F5629"/>
    <w:rsid w:val="008F5A6B"/>
    <w:rsid w:val="008F5B88"/>
    <w:rsid w:val="008F5DDF"/>
    <w:rsid w:val="008F5E30"/>
    <w:rsid w:val="008F67F8"/>
    <w:rsid w:val="008F6A02"/>
    <w:rsid w:val="008F6F1A"/>
    <w:rsid w:val="008F6FB7"/>
    <w:rsid w:val="008F7153"/>
    <w:rsid w:val="008F74A2"/>
    <w:rsid w:val="008F7654"/>
    <w:rsid w:val="008F76AD"/>
    <w:rsid w:val="008F7785"/>
    <w:rsid w:val="008F7BF7"/>
    <w:rsid w:val="00900414"/>
    <w:rsid w:val="009004DF"/>
    <w:rsid w:val="0090071D"/>
    <w:rsid w:val="00900768"/>
    <w:rsid w:val="009007CF"/>
    <w:rsid w:val="00900944"/>
    <w:rsid w:val="00900C67"/>
    <w:rsid w:val="00900D90"/>
    <w:rsid w:val="00900EE7"/>
    <w:rsid w:val="00900F3E"/>
    <w:rsid w:val="00900FD3"/>
    <w:rsid w:val="009012CE"/>
    <w:rsid w:val="00901543"/>
    <w:rsid w:val="00901CC9"/>
    <w:rsid w:val="00901CD6"/>
    <w:rsid w:val="00901D08"/>
    <w:rsid w:val="00901E19"/>
    <w:rsid w:val="00901FB8"/>
    <w:rsid w:val="009020DD"/>
    <w:rsid w:val="00902119"/>
    <w:rsid w:val="009021FB"/>
    <w:rsid w:val="009023FB"/>
    <w:rsid w:val="00902516"/>
    <w:rsid w:val="0090265E"/>
    <w:rsid w:val="00902685"/>
    <w:rsid w:val="00903006"/>
    <w:rsid w:val="00903029"/>
    <w:rsid w:val="009035FE"/>
    <w:rsid w:val="0090373E"/>
    <w:rsid w:val="00903C8B"/>
    <w:rsid w:val="009044EB"/>
    <w:rsid w:val="0090461E"/>
    <w:rsid w:val="0090467B"/>
    <w:rsid w:val="00904C24"/>
    <w:rsid w:val="009051CD"/>
    <w:rsid w:val="00905497"/>
    <w:rsid w:val="009054B0"/>
    <w:rsid w:val="00905541"/>
    <w:rsid w:val="00905568"/>
    <w:rsid w:val="009056F6"/>
    <w:rsid w:val="00906476"/>
    <w:rsid w:val="009064E3"/>
    <w:rsid w:val="0090651E"/>
    <w:rsid w:val="009067D9"/>
    <w:rsid w:val="0090681B"/>
    <w:rsid w:val="009069A0"/>
    <w:rsid w:val="00906BF8"/>
    <w:rsid w:val="00907205"/>
    <w:rsid w:val="00907811"/>
    <w:rsid w:val="009079A6"/>
    <w:rsid w:val="00907BDE"/>
    <w:rsid w:val="00907E27"/>
    <w:rsid w:val="00910FDC"/>
    <w:rsid w:val="0091168C"/>
    <w:rsid w:val="00911AFA"/>
    <w:rsid w:val="00911B75"/>
    <w:rsid w:val="009125EA"/>
    <w:rsid w:val="009128E4"/>
    <w:rsid w:val="00912D73"/>
    <w:rsid w:val="009131FF"/>
    <w:rsid w:val="00913232"/>
    <w:rsid w:val="009138CF"/>
    <w:rsid w:val="00913BFA"/>
    <w:rsid w:val="009141CC"/>
    <w:rsid w:val="00914326"/>
    <w:rsid w:val="00914644"/>
    <w:rsid w:val="00914874"/>
    <w:rsid w:val="00914D7F"/>
    <w:rsid w:val="00914FB4"/>
    <w:rsid w:val="00914FEC"/>
    <w:rsid w:val="00915268"/>
    <w:rsid w:val="0091559A"/>
    <w:rsid w:val="00915B7C"/>
    <w:rsid w:val="00915F47"/>
    <w:rsid w:val="0091601A"/>
    <w:rsid w:val="00916277"/>
    <w:rsid w:val="00916399"/>
    <w:rsid w:val="009163A6"/>
    <w:rsid w:val="009166BF"/>
    <w:rsid w:val="009168B9"/>
    <w:rsid w:val="009168E9"/>
    <w:rsid w:val="009169EC"/>
    <w:rsid w:val="00916A75"/>
    <w:rsid w:val="009174F0"/>
    <w:rsid w:val="00917681"/>
    <w:rsid w:val="00917CFF"/>
    <w:rsid w:val="009201A1"/>
    <w:rsid w:val="009202BD"/>
    <w:rsid w:val="00920511"/>
    <w:rsid w:val="00920859"/>
    <w:rsid w:val="00920863"/>
    <w:rsid w:val="00920C16"/>
    <w:rsid w:val="00920C9F"/>
    <w:rsid w:val="00920EF1"/>
    <w:rsid w:val="00922349"/>
    <w:rsid w:val="009224EA"/>
    <w:rsid w:val="009226CA"/>
    <w:rsid w:val="0092271A"/>
    <w:rsid w:val="00922FEB"/>
    <w:rsid w:val="009231FE"/>
    <w:rsid w:val="009234B0"/>
    <w:rsid w:val="0092374F"/>
    <w:rsid w:val="00923E61"/>
    <w:rsid w:val="0092412F"/>
    <w:rsid w:val="009244C7"/>
    <w:rsid w:val="00924546"/>
    <w:rsid w:val="00924820"/>
    <w:rsid w:val="00924974"/>
    <w:rsid w:val="00924A94"/>
    <w:rsid w:val="00924B23"/>
    <w:rsid w:val="00924FA5"/>
    <w:rsid w:val="0092502D"/>
    <w:rsid w:val="0092517F"/>
    <w:rsid w:val="009251EE"/>
    <w:rsid w:val="00925331"/>
    <w:rsid w:val="00925479"/>
    <w:rsid w:val="00925647"/>
    <w:rsid w:val="00925A6E"/>
    <w:rsid w:val="00925B87"/>
    <w:rsid w:val="00925BFD"/>
    <w:rsid w:val="00925D78"/>
    <w:rsid w:val="00925FC0"/>
    <w:rsid w:val="00926328"/>
    <w:rsid w:val="00926332"/>
    <w:rsid w:val="009265A1"/>
    <w:rsid w:val="009266DB"/>
    <w:rsid w:val="00926D0B"/>
    <w:rsid w:val="00926E6F"/>
    <w:rsid w:val="0092732B"/>
    <w:rsid w:val="00927452"/>
    <w:rsid w:val="009278EE"/>
    <w:rsid w:val="00930352"/>
    <w:rsid w:val="00930679"/>
    <w:rsid w:val="00930A07"/>
    <w:rsid w:val="00930A54"/>
    <w:rsid w:val="0093142B"/>
    <w:rsid w:val="00931ADD"/>
    <w:rsid w:val="00931B41"/>
    <w:rsid w:val="00931FEB"/>
    <w:rsid w:val="00932048"/>
    <w:rsid w:val="009329A5"/>
    <w:rsid w:val="00932A4F"/>
    <w:rsid w:val="00933856"/>
    <w:rsid w:val="00933B82"/>
    <w:rsid w:val="00933C4F"/>
    <w:rsid w:val="00933F91"/>
    <w:rsid w:val="0093405F"/>
    <w:rsid w:val="00934B9A"/>
    <w:rsid w:val="00934C97"/>
    <w:rsid w:val="00935571"/>
    <w:rsid w:val="009359E1"/>
    <w:rsid w:val="00935A3D"/>
    <w:rsid w:val="00935D0E"/>
    <w:rsid w:val="00935E7C"/>
    <w:rsid w:val="00935ECF"/>
    <w:rsid w:val="00935F06"/>
    <w:rsid w:val="00936454"/>
    <w:rsid w:val="00936557"/>
    <w:rsid w:val="0093678B"/>
    <w:rsid w:val="00936D0D"/>
    <w:rsid w:val="00936FCB"/>
    <w:rsid w:val="00937B9F"/>
    <w:rsid w:val="00937D6D"/>
    <w:rsid w:val="00940AE2"/>
    <w:rsid w:val="009415EA"/>
    <w:rsid w:val="00941856"/>
    <w:rsid w:val="00941997"/>
    <w:rsid w:val="00941DBE"/>
    <w:rsid w:val="00942540"/>
    <w:rsid w:val="0094269F"/>
    <w:rsid w:val="00942942"/>
    <w:rsid w:val="00942E39"/>
    <w:rsid w:val="00942FA6"/>
    <w:rsid w:val="00943061"/>
    <w:rsid w:val="0094377A"/>
    <w:rsid w:val="00943EE0"/>
    <w:rsid w:val="009441D1"/>
    <w:rsid w:val="0094425B"/>
    <w:rsid w:val="0094434E"/>
    <w:rsid w:val="00944387"/>
    <w:rsid w:val="0094441B"/>
    <w:rsid w:val="009444FB"/>
    <w:rsid w:val="00944B50"/>
    <w:rsid w:val="00944BE6"/>
    <w:rsid w:val="00944E7A"/>
    <w:rsid w:val="00944E9C"/>
    <w:rsid w:val="00945306"/>
    <w:rsid w:val="00945505"/>
    <w:rsid w:val="00945B33"/>
    <w:rsid w:val="00945BA8"/>
    <w:rsid w:val="00945CD4"/>
    <w:rsid w:val="00945E63"/>
    <w:rsid w:val="009467DC"/>
    <w:rsid w:val="00946849"/>
    <w:rsid w:val="00946979"/>
    <w:rsid w:val="00946AD8"/>
    <w:rsid w:val="00947489"/>
    <w:rsid w:val="009474C7"/>
    <w:rsid w:val="00947666"/>
    <w:rsid w:val="00947847"/>
    <w:rsid w:val="00947CA6"/>
    <w:rsid w:val="00947E0B"/>
    <w:rsid w:val="0095035A"/>
    <w:rsid w:val="0095038E"/>
    <w:rsid w:val="009506D3"/>
    <w:rsid w:val="00950853"/>
    <w:rsid w:val="00950BE4"/>
    <w:rsid w:val="00950DDA"/>
    <w:rsid w:val="009511ED"/>
    <w:rsid w:val="0095121F"/>
    <w:rsid w:val="00951460"/>
    <w:rsid w:val="00951599"/>
    <w:rsid w:val="009517DE"/>
    <w:rsid w:val="00951920"/>
    <w:rsid w:val="00951B9C"/>
    <w:rsid w:val="00951D5D"/>
    <w:rsid w:val="0095277F"/>
    <w:rsid w:val="00952953"/>
    <w:rsid w:val="0095295D"/>
    <w:rsid w:val="00952A2C"/>
    <w:rsid w:val="00952B05"/>
    <w:rsid w:val="009533BC"/>
    <w:rsid w:val="009534E6"/>
    <w:rsid w:val="009539A6"/>
    <w:rsid w:val="00953B39"/>
    <w:rsid w:val="00953EB9"/>
    <w:rsid w:val="00953F41"/>
    <w:rsid w:val="00954553"/>
    <w:rsid w:val="009546A4"/>
    <w:rsid w:val="009547A8"/>
    <w:rsid w:val="0095499A"/>
    <w:rsid w:val="00954FA4"/>
    <w:rsid w:val="0095515B"/>
    <w:rsid w:val="009551EF"/>
    <w:rsid w:val="00955736"/>
    <w:rsid w:val="00955DFC"/>
    <w:rsid w:val="00955E27"/>
    <w:rsid w:val="00956974"/>
    <w:rsid w:val="00956EAE"/>
    <w:rsid w:val="00956FED"/>
    <w:rsid w:val="00957501"/>
    <w:rsid w:val="009577F5"/>
    <w:rsid w:val="00957BA6"/>
    <w:rsid w:val="00957ED3"/>
    <w:rsid w:val="00960819"/>
    <w:rsid w:val="00960B00"/>
    <w:rsid w:val="00960B09"/>
    <w:rsid w:val="00960CAF"/>
    <w:rsid w:val="00960E29"/>
    <w:rsid w:val="009611DD"/>
    <w:rsid w:val="00961825"/>
    <w:rsid w:val="009619B5"/>
    <w:rsid w:val="00961A40"/>
    <w:rsid w:val="00961D2E"/>
    <w:rsid w:val="00961D5F"/>
    <w:rsid w:val="00962327"/>
    <w:rsid w:val="00962583"/>
    <w:rsid w:val="00962823"/>
    <w:rsid w:val="00962897"/>
    <w:rsid w:val="00962B97"/>
    <w:rsid w:val="00962DC4"/>
    <w:rsid w:val="0096311A"/>
    <w:rsid w:val="009633B7"/>
    <w:rsid w:val="0096355E"/>
    <w:rsid w:val="00963B9E"/>
    <w:rsid w:val="00963E87"/>
    <w:rsid w:val="00964310"/>
    <w:rsid w:val="0096440D"/>
    <w:rsid w:val="009644B4"/>
    <w:rsid w:val="009644BB"/>
    <w:rsid w:val="00964AE9"/>
    <w:rsid w:val="00964EA4"/>
    <w:rsid w:val="009655B7"/>
    <w:rsid w:val="00965680"/>
    <w:rsid w:val="0096571F"/>
    <w:rsid w:val="00965BF2"/>
    <w:rsid w:val="00965F25"/>
    <w:rsid w:val="0096602D"/>
    <w:rsid w:val="0096630E"/>
    <w:rsid w:val="00966783"/>
    <w:rsid w:val="0096690D"/>
    <w:rsid w:val="00966AAE"/>
    <w:rsid w:val="00967A2A"/>
    <w:rsid w:val="009706AE"/>
    <w:rsid w:val="009707A3"/>
    <w:rsid w:val="009711C7"/>
    <w:rsid w:val="00971292"/>
    <w:rsid w:val="009713EB"/>
    <w:rsid w:val="0097148C"/>
    <w:rsid w:val="00971524"/>
    <w:rsid w:val="009715C1"/>
    <w:rsid w:val="00971E09"/>
    <w:rsid w:val="009721A6"/>
    <w:rsid w:val="00972463"/>
    <w:rsid w:val="0097266E"/>
    <w:rsid w:val="00972A88"/>
    <w:rsid w:val="00972AE0"/>
    <w:rsid w:val="00972C7B"/>
    <w:rsid w:val="00972F88"/>
    <w:rsid w:val="0097305A"/>
    <w:rsid w:val="009732D0"/>
    <w:rsid w:val="00973471"/>
    <w:rsid w:val="009734CA"/>
    <w:rsid w:val="00973551"/>
    <w:rsid w:val="009737EB"/>
    <w:rsid w:val="00973D69"/>
    <w:rsid w:val="00974396"/>
    <w:rsid w:val="009743C9"/>
    <w:rsid w:val="0097470F"/>
    <w:rsid w:val="009747AF"/>
    <w:rsid w:val="00974ADC"/>
    <w:rsid w:val="00975647"/>
    <w:rsid w:val="00975909"/>
    <w:rsid w:val="00975D16"/>
    <w:rsid w:val="00975FC2"/>
    <w:rsid w:val="009762A7"/>
    <w:rsid w:val="009765AC"/>
    <w:rsid w:val="00976897"/>
    <w:rsid w:val="009769A5"/>
    <w:rsid w:val="00976A41"/>
    <w:rsid w:val="00976B7A"/>
    <w:rsid w:val="00976F19"/>
    <w:rsid w:val="00977277"/>
    <w:rsid w:val="00977313"/>
    <w:rsid w:val="00977427"/>
    <w:rsid w:val="0097773E"/>
    <w:rsid w:val="00977A74"/>
    <w:rsid w:val="00977AB2"/>
    <w:rsid w:val="00977AD6"/>
    <w:rsid w:val="00977BCC"/>
    <w:rsid w:val="00977F1F"/>
    <w:rsid w:val="009801C5"/>
    <w:rsid w:val="00980349"/>
    <w:rsid w:val="00980D96"/>
    <w:rsid w:val="00980E20"/>
    <w:rsid w:val="00981A23"/>
    <w:rsid w:val="00981B01"/>
    <w:rsid w:val="00981BEA"/>
    <w:rsid w:val="00982454"/>
    <w:rsid w:val="0098250C"/>
    <w:rsid w:val="009825EB"/>
    <w:rsid w:val="00982A2D"/>
    <w:rsid w:val="00982B8A"/>
    <w:rsid w:val="00982BEE"/>
    <w:rsid w:val="00982DFD"/>
    <w:rsid w:val="00983017"/>
    <w:rsid w:val="00983131"/>
    <w:rsid w:val="0098322D"/>
    <w:rsid w:val="009839D4"/>
    <w:rsid w:val="00984266"/>
    <w:rsid w:val="009843E3"/>
    <w:rsid w:val="009845A3"/>
    <w:rsid w:val="009845BF"/>
    <w:rsid w:val="00984AE5"/>
    <w:rsid w:val="00985209"/>
    <w:rsid w:val="00985226"/>
    <w:rsid w:val="009852EE"/>
    <w:rsid w:val="00985578"/>
    <w:rsid w:val="0098558F"/>
    <w:rsid w:val="009856D3"/>
    <w:rsid w:val="0098588E"/>
    <w:rsid w:val="00985E4E"/>
    <w:rsid w:val="00985E5E"/>
    <w:rsid w:val="00985EE9"/>
    <w:rsid w:val="00985F49"/>
    <w:rsid w:val="00986736"/>
    <w:rsid w:val="00986C1E"/>
    <w:rsid w:val="00986C54"/>
    <w:rsid w:val="00986DDE"/>
    <w:rsid w:val="009876D7"/>
    <w:rsid w:val="009878DF"/>
    <w:rsid w:val="009879B5"/>
    <w:rsid w:val="00987EF0"/>
    <w:rsid w:val="00987F54"/>
    <w:rsid w:val="00987F73"/>
    <w:rsid w:val="00990110"/>
    <w:rsid w:val="0099018E"/>
    <w:rsid w:val="009902F1"/>
    <w:rsid w:val="0099079A"/>
    <w:rsid w:val="009910DF"/>
    <w:rsid w:val="009915E8"/>
    <w:rsid w:val="00991605"/>
    <w:rsid w:val="009917ED"/>
    <w:rsid w:val="00991859"/>
    <w:rsid w:val="00991D31"/>
    <w:rsid w:val="00992007"/>
    <w:rsid w:val="00992280"/>
    <w:rsid w:val="00992390"/>
    <w:rsid w:val="00992392"/>
    <w:rsid w:val="0099259F"/>
    <w:rsid w:val="00992612"/>
    <w:rsid w:val="0099264B"/>
    <w:rsid w:val="009927CD"/>
    <w:rsid w:val="00992E21"/>
    <w:rsid w:val="00992F55"/>
    <w:rsid w:val="0099355F"/>
    <w:rsid w:val="00993B6F"/>
    <w:rsid w:val="00993D04"/>
    <w:rsid w:val="00993F44"/>
    <w:rsid w:val="00993F4C"/>
    <w:rsid w:val="0099406A"/>
    <w:rsid w:val="009941EF"/>
    <w:rsid w:val="009949EB"/>
    <w:rsid w:val="00994C3D"/>
    <w:rsid w:val="00994D95"/>
    <w:rsid w:val="00994DBB"/>
    <w:rsid w:val="00994FE2"/>
    <w:rsid w:val="0099537B"/>
    <w:rsid w:val="009953F7"/>
    <w:rsid w:val="0099554A"/>
    <w:rsid w:val="00995C20"/>
    <w:rsid w:val="009967C5"/>
    <w:rsid w:val="00996C7A"/>
    <w:rsid w:val="00997142"/>
    <w:rsid w:val="0099749E"/>
    <w:rsid w:val="009979DA"/>
    <w:rsid w:val="00997A9D"/>
    <w:rsid w:val="00997C71"/>
    <w:rsid w:val="00997EDE"/>
    <w:rsid w:val="009A012C"/>
    <w:rsid w:val="009A0160"/>
    <w:rsid w:val="009A02B6"/>
    <w:rsid w:val="009A078C"/>
    <w:rsid w:val="009A0CC1"/>
    <w:rsid w:val="009A0DFB"/>
    <w:rsid w:val="009A0F3E"/>
    <w:rsid w:val="009A151F"/>
    <w:rsid w:val="009A1664"/>
    <w:rsid w:val="009A1BF9"/>
    <w:rsid w:val="009A1EBA"/>
    <w:rsid w:val="009A1EE4"/>
    <w:rsid w:val="009A2000"/>
    <w:rsid w:val="009A254A"/>
    <w:rsid w:val="009A39B4"/>
    <w:rsid w:val="009A4384"/>
    <w:rsid w:val="009A45D8"/>
    <w:rsid w:val="009A472D"/>
    <w:rsid w:val="009A4895"/>
    <w:rsid w:val="009A4AE3"/>
    <w:rsid w:val="009A52C2"/>
    <w:rsid w:val="009A550C"/>
    <w:rsid w:val="009A5623"/>
    <w:rsid w:val="009A5C38"/>
    <w:rsid w:val="009A5CFF"/>
    <w:rsid w:val="009A6003"/>
    <w:rsid w:val="009A69B4"/>
    <w:rsid w:val="009A6CDA"/>
    <w:rsid w:val="009A6E82"/>
    <w:rsid w:val="009A7379"/>
    <w:rsid w:val="009A7412"/>
    <w:rsid w:val="009A7854"/>
    <w:rsid w:val="009A7DD7"/>
    <w:rsid w:val="009A7F66"/>
    <w:rsid w:val="009B035C"/>
    <w:rsid w:val="009B05BA"/>
    <w:rsid w:val="009B08EC"/>
    <w:rsid w:val="009B09EE"/>
    <w:rsid w:val="009B0A83"/>
    <w:rsid w:val="009B0F56"/>
    <w:rsid w:val="009B15BE"/>
    <w:rsid w:val="009B18E2"/>
    <w:rsid w:val="009B195D"/>
    <w:rsid w:val="009B19A1"/>
    <w:rsid w:val="009B1DFA"/>
    <w:rsid w:val="009B201F"/>
    <w:rsid w:val="009B20A0"/>
    <w:rsid w:val="009B2278"/>
    <w:rsid w:val="009B2395"/>
    <w:rsid w:val="009B244A"/>
    <w:rsid w:val="009B285A"/>
    <w:rsid w:val="009B29BE"/>
    <w:rsid w:val="009B2C68"/>
    <w:rsid w:val="009B2D9A"/>
    <w:rsid w:val="009B2E56"/>
    <w:rsid w:val="009B302A"/>
    <w:rsid w:val="009B3D35"/>
    <w:rsid w:val="009B4180"/>
    <w:rsid w:val="009B438F"/>
    <w:rsid w:val="009B4515"/>
    <w:rsid w:val="009B455A"/>
    <w:rsid w:val="009B4AA3"/>
    <w:rsid w:val="009B4D3F"/>
    <w:rsid w:val="009B4DCD"/>
    <w:rsid w:val="009B4F1C"/>
    <w:rsid w:val="009B5414"/>
    <w:rsid w:val="009B55A2"/>
    <w:rsid w:val="009B5FFE"/>
    <w:rsid w:val="009B676E"/>
    <w:rsid w:val="009B677F"/>
    <w:rsid w:val="009B738B"/>
    <w:rsid w:val="009B7C56"/>
    <w:rsid w:val="009B7C61"/>
    <w:rsid w:val="009B7DBE"/>
    <w:rsid w:val="009B7FCC"/>
    <w:rsid w:val="009C086A"/>
    <w:rsid w:val="009C1056"/>
    <w:rsid w:val="009C10FE"/>
    <w:rsid w:val="009C14EC"/>
    <w:rsid w:val="009C1E5C"/>
    <w:rsid w:val="009C1EC4"/>
    <w:rsid w:val="009C1FA2"/>
    <w:rsid w:val="009C21E5"/>
    <w:rsid w:val="009C3086"/>
    <w:rsid w:val="009C330D"/>
    <w:rsid w:val="009C36FC"/>
    <w:rsid w:val="009C3A4E"/>
    <w:rsid w:val="009C3DC6"/>
    <w:rsid w:val="009C3EA4"/>
    <w:rsid w:val="009C3EB1"/>
    <w:rsid w:val="009C4063"/>
    <w:rsid w:val="009C455F"/>
    <w:rsid w:val="009C45FF"/>
    <w:rsid w:val="009C4838"/>
    <w:rsid w:val="009C4901"/>
    <w:rsid w:val="009C4E39"/>
    <w:rsid w:val="009C5028"/>
    <w:rsid w:val="009C5465"/>
    <w:rsid w:val="009C596B"/>
    <w:rsid w:val="009C5A01"/>
    <w:rsid w:val="009C5DB4"/>
    <w:rsid w:val="009C5ED7"/>
    <w:rsid w:val="009C60E1"/>
    <w:rsid w:val="009C6163"/>
    <w:rsid w:val="009C633F"/>
    <w:rsid w:val="009C640D"/>
    <w:rsid w:val="009C65EB"/>
    <w:rsid w:val="009C6A61"/>
    <w:rsid w:val="009C6B0E"/>
    <w:rsid w:val="009C6D02"/>
    <w:rsid w:val="009C6E2D"/>
    <w:rsid w:val="009C7CE0"/>
    <w:rsid w:val="009D006D"/>
    <w:rsid w:val="009D014E"/>
    <w:rsid w:val="009D0227"/>
    <w:rsid w:val="009D0554"/>
    <w:rsid w:val="009D0A80"/>
    <w:rsid w:val="009D1054"/>
    <w:rsid w:val="009D110B"/>
    <w:rsid w:val="009D11FC"/>
    <w:rsid w:val="009D1294"/>
    <w:rsid w:val="009D156B"/>
    <w:rsid w:val="009D25FE"/>
    <w:rsid w:val="009D26DE"/>
    <w:rsid w:val="009D27A3"/>
    <w:rsid w:val="009D2870"/>
    <w:rsid w:val="009D28E2"/>
    <w:rsid w:val="009D29F5"/>
    <w:rsid w:val="009D2A83"/>
    <w:rsid w:val="009D2E65"/>
    <w:rsid w:val="009D3130"/>
    <w:rsid w:val="009D33B7"/>
    <w:rsid w:val="009D3725"/>
    <w:rsid w:val="009D3E9F"/>
    <w:rsid w:val="009D45C6"/>
    <w:rsid w:val="009D48AB"/>
    <w:rsid w:val="009D4AA9"/>
    <w:rsid w:val="009D4F8A"/>
    <w:rsid w:val="009D51BE"/>
    <w:rsid w:val="009D59CA"/>
    <w:rsid w:val="009D5D31"/>
    <w:rsid w:val="009D65BF"/>
    <w:rsid w:val="009D68E0"/>
    <w:rsid w:val="009D6C32"/>
    <w:rsid w:val="009D6C33"/>
    <w:rsid w:val="009D6D34"/>
    <w:rsid w:val="009D6EF5"/>
    <w:rsid w:val="009D7156"/>
    <w:rsid w:val="009D715F"/>
    <w:rsid w:val="009D756D"/>
    <w:rsid w:val="009D782D"/>
    <w:rsid w:val="009D7AA9"/>
    <w:rsid w:val="009D7B6C"/>
    <w:rsid w:val="009D7D79"/>
    <w:rsid w:val="009E027E"/>
    <w:rsid w:val="009E0AFC"/>
    <w:rsid w:val="009E0F04"/>
    <w:rsid w:val="009E11F1"/>
    <w:rsid w:val="009E170F"/>
    <w:rsid w:val="009E19AD"/>
    <w:rsid w:val="009E1B31"/>
    <w:rsid w:val="009E1E68"/>
    <w:rsid w:val="009E1F05"/>
    <w:rsid w:val="009E2144"/>
    <w:rsid w:val="009E2324"/>
    <w:rsid w:val="009E24C9"/>
    <w:rsid w:val="009E2641"/>
    <w:rsid w:val="009E26D4"/>
    <w:rsid w:val="009E2C18"/>
    <w:rsid w:val="009E30D5"/>
    <w:rsid w:val="009E34CB"/>
    <w:rsid w:val="009E35E1"/>
    <w:rsid w:val="009E399C"/>
    <w:rsid w:val="009E3B81"/>
    <w:rsid w:val="009E426D"/>
    <w:rsid w:val="009E42DC"/>
    <w:rsid w:val="009E4926"/>
    <w:rsid w:val="009E4CAB"/>
    <w:rsid w:val="009E4EE9"/>
    <w:rsid w:val="009E591C"/>
    <w:rsid w:val="009E5E0C"/>
    <w:rsid w:val="009E5EDB"/>
    <w:rsid w:val="009E62AC"/>
    <w:rsid w:val="009E680B"/>
    <w:rsid w:val="009E734A"/>
    <w:rsid w:val="009E757B"/>
    <w:rsid w:val="009E7EC3"/>
    <w:rsid w:val="009F0087"/>
    <w:rsid w:val="009F09EA"/>
    <w:rsid w:val="009F0B52"/>
    <w:rsid w:val="009F14E2"/>
    <w:rsid w:val="009F1D6F"/>
    <w:rsid w:val="009F20A5"/>
    <w:rsid w:val="009F2A02"/>
    <w:rsid w:val="009F2B25"/>
    <w:rsid w:val="009F2ED4"/>
    <w:rsid w:val="009F2FD1"/>
    <w:rsid w:val="009F377C"/>
    <w:rsid w:val="009F3A84"/>
    <w:rsid w:val="009F3F47"/>
    <w:rsid w:val="009F3FCB"/>
    <w:rsid w:val="009F42AE"/>
    <w:rsid w:val="009F4328"/>
    <w:rsid w:val="009F4DD8"/>
    <w:rsid w:val="009F4DE4"/>
    <w:rsid w:val="009F4F51"/>
    <w:rsid w:val="009F5063"/>
    <w:rsid w:val="009F5665"/>
    <w:rsid w:val="009F58E4"/>
    <w:rsid w:val="009F5931"/>
    <w:rsid w:val="009F5D07"/>
    <w:rsid w:val="009F6713"/>
    <w:rsid w:val="009F68F3"/>
    <w:rsid w:val="009F69EB"/>
    <w:rsid w:val="009F6A2C"/>
    <w:rsid w:val="009F6C5A"/>
    <w:rsid w:val="009F7296"/>
    <w:rsid w:val="009F7BC6"/>
    <w:rsid w:val="009F7F30"/>
    <w:rsid w:val="00A00394"/>
    <w:rsid w:val="00A004EF"/>
    <w:rsid w:val="00A00B0B"/>
    <w:rsid w:val="00A00F5F"/>
    <w:rsid w:val="00A0130D"/>
    <w:rsid w:val="00A01654"/>
    <w:rsid w:val="00A01655"/>
    <w:rsid w:val="00A018BD"/>
    <w:rsid w:val="00A01910"/>
    <w:rsid w:val="00A020FF"/>
    <w:rsid w:val="00A0237B"/>
    <w:rsid w:val="00A025CE"/>
    <w:rsid w:val="00A026E8"/>
    <w:rsid w:val="00A027ED"/>
    <w:rsid w:val="00A02B46"/>
    <w:rsid w:val="00A02B97"/>
    <w:rsid w:val="00A02D0A"/>
    <w:rsid w:val="00A02F1B"/>
    <w:rsid w:val="00A03374"/>
    <w:rsid w:val="00A03A2A"/>
    <w:rsid w:val="00A03EBF"/>
    <w:rsid w:val="00A0400F"/>
    <w:rsid w:val="00A040A7"/>
    <w:rsid w:val="00A047A1"/>
    <w:rsid w:val="00A047DF"/>
    <w:rsid w:val="00A04ACA"/>
    <w:rsid w:val="00A05229"/>
    <w:rsid w:val="00A05494"/>
    <w:rsid w:val="00A055E9"/>
    <w:rsid w:val="00A05A7A"/>
    <w:rsid w:val="00A0606A"/>
    <w:rsid w:val="00A061E2"/>
    <w:rsid w:val="00A06627"/>
    <w:rsid w:val="00A067FA"/>
    <w:rsid w:val="00A069AB"/>
    <w:rsid w:val="00A06CB0"/>
    <w:rsid w:val="00A06D5B"/>
    <w:rsid w:val="00A06E04"/>
    <w:rsid w:val="00A06F6D"/>
    <w:rsid w:val="00A07274"/>
    <w:rsid w:val="00A07383"/>
    <w:rsid w:val="00A0761A"/>
    <w:rsid w:val="00A07A17"/>
    <w:rsid w:val="00A07BDB"/>
    <w:rsid w:val="00A07E26"/>
    <w:rsid w:val="00A07E5B"/>
    <w:rsid w:val="00A10248"/>
    <w:rsid w:val="00A10D2B"/>
    <w:rsid w:val="00A10D86"/>
    <w:rsid w:val="00A10F9F"/>
    <w:rsid w:val="00A11248"/>
    <w:rsid w:val="00A115C1"/>
    <w:rsid w:val="00A119EE"/>
    <w:rsid w:val="00A119F3"/>
    <w:rsid w:val="00A11C6B"/>
    <w:rsid w:val="00A12861"/>
    <w:rsid w:val="00A12C34"/>
    <w:rsid w:val="00A12DF7"/>
    <w:rsid w:val="00A13164"/>
    <w:rsid w:val="00A1349D"/>
    <w:rsid w:val="00A13512"/>
    <w:rsid w:val="00A1362B"/>
    <w:rsid w:val="00A13962"/>
    <w:rsid w:val="00A13B2A"/>
    <w:rsid w:val="00A13DC7"/>
    <w:rsid w:val="00A13F2B"/>
    <w:rsid w:val="00A146F8"/>
    <w:rsid w:val="00A14931"/>
    <w:rsid w:val="00A14CA4"/>
    <w:rsid w:val="00A14D01"/>
    <w:rsid w:val="00A14F53"/>
    <w:rsid w:val="00A1539A"/>
    <w:rsid w:val="00A15458"/>
    <w:rsid w:val="00A15A1F"/>
    <w:rsid w:val="00A15AB6"/>
    <w:rsid w:val="00A165AC"/>
    <w:rsid w:val="00A16938"/>
    <w:rsid w:val="00A17086"/>
    <w:rsid w:val="00A17964"/>
    <w:rsid w:val="00A17FAB"/>
    <w:rsid w:val="00A17FFA"/>
    <w:rsid w:val="00A2048E"/>
    <w:rsid w:val="00A2073C"/>
    <w:rsid w:val="00A20BD2"/>
    <w:rsid w:val="00A21332"/>
    <w:rsid w:val="00A220F3"/>
    <w:rsid w:val="00A221FB"/>
    <w:rsid w:val="00A2283B"/>
    <w:rsid w:val="00A22AD2"/>
    <w:rsid w:val="00A22E77"/>
    <w:rsid w:val="00A22EB3"/>
    <w:rsid w:val="00A22FC5"/>
    <w:rsid w:val="00A23362"/>
    <w:rsid w:val="00A2391D"/>
    <w:rsid w:val="00A23BA7"/>
    <w:rsid w:val="00A23BFF"/>
    <w:rsid w:val="00A247AA"/>
    <w:rsid w:val="00A24805"/>
    <w:rsid w:val="00A249AE"/>
    <w:rsid w:val="00A24A55"/>
    <w:rsid w:val="00A24EBB"/>
    <w:rsid w:val="00A251CA"/>
    <w:rsid w:val="00A252E3"/>
    <w:rsid w:val="00A254F5"/>
    <w:rsid w:val="00A25852"/>
    <w:rsid w:val="00A25925"/>
    <w:rsid w:val="00A25EE3"/>
    <w:rsid w:val="00A25FD2"/>
    <w:rsid w:val="00A2621E"/>
    <w:rsid w:val="00A268F7"/>
    <w:rsid w:val="00A26F39"/>
    <w:rsid w:val="00A27006"/>
    <w:rsid w:val="00A27EBD"/>
    <w:rsid w:val="00A30A25"/>
    <w:rsid w:val="00A30B95"/>
    <w:rsid w:val="00A30E38"/>
    <w:rsid w:val="00A31234"/>
    <w:rsid w:val="00A31342"/>
    <w:rsid w:val="00A3170A"/>
    <w:rsid w:val="00A31A62"/>
    <w:rsid w:val="00A31F4B"/>
    <w:rsid w:val="00A320BB"/>
    <w:rsid w:val="00A32296"/>
    <w:rsid w:val="00A3237B"/>
    <w:rsid w:val="00A32B0F"/>
    <w:rsid w:val="00A3325A"/>
    <w:rsid w:val="00A33299"/>
    <w:rsid w:val="00A332E6"/>
    <w:rsid w:val="00A33352"/>
    <w:rsid w:val="00A3358D"/>
    <w:rsid w:val="00A34137"/>
    <w:rsid w:val="00A344F2"/>
    <w:rsid w:val="00A346FA"/>
    <w:rsid w:val="00A34CE0"/>
    <w:rsid w:val="00A3530B"/>
    <w:rsid w:val="00A35495"/>
    <w:rsid w:val="00A35534"/>
    <w:rsid w:val="00A357CE"/>
    <w:rsid w:val="00A358C6"/>
    <w:rsid w:val="00A35A7E"/>
    <w:rsid w:val="00A35BBB"/>
    <w:rsid w:val="00A35EEC"/>
    <w:rsid w:val="00A363AF"/>
    <w:rsid w:val="00A36526"/>
    <w:rsid w:val="00A367DC"/>
    <w:rsid w:val="00A36F89"/>
    <w:rsid w:val="00A372BC"/>
    <w:rsid w:val="00A37788"/>
    <w:rsid w:val="00A37858"/>
    <w:rsid w:val="00A379F8"/>
    <w:rsid w:val="00A40182"/>
    <w:rsid w:val="00A401D9"/>
    <w:rsid w:val="00A4035E"/>
    <w:rsid w:val="00A4057B"/>
    <w:rsid w:val="00A40908"/>
    <w:rsid w:val="00A40A09"/>
    <w:rsid w:val="00A40A62"/>
    <w:rsid w:val="00A40DCA"/>
    <w:rsid w:val="00A40FED"/>
    <w:rsid w:val="00A41530"/>
    <w:rsid w:val="00A41893"/>
    <w:rsid w:val="00A41E42"/>
    <w:rsid w:val="00A420FF"/>
    <w:rsid w:val="00A42224"/>
    <w:rsid w:val="00A42431"/>
    <w:rsid w:val="00A42ECA"/>
    <w:rsid w:val="00A43013"/>
    <w:rsid w:val="00A43C5D"/>
    <w:rsid w:val="00A43E1E"/>
    <w:rsid w:val="00A43ECF"/>
    <w:rsid w:val="00A43F9E"/>
    <w:rsid w:val="00A43FD6"/>
    <w:rsid w:val="00A4428E"/>
    <w:rsid w:val="00A44477"/>
    <w:rsid w:val="00A445C2"/>
    <w:rsid w:val="00A44AF2"/>
    <w:rsid w:val="00A44BA2"/>
    <w:rsid w:val="00A44E06"/>
    <w:rsid w:val="00A45C4E"/>
    <w:rsid w:val="00A45CA5"/>
    <w:rsid w:val="00A46880"/>
    <w:rsid w:val="00A46894"/>
    <w:rsid w:val="00A469BC"/>
    <w:rsid w:val="00A46F0E"/>
    <w:rsid w:val="00A47111"/>
    <w:rsid w:val="00A47903"/>
    <w:rsid w:val="00A502B3"/>
    <w:rsid w:val="00A50D12"/>
    <w:rsid w:val="00A511CA"/>
    <w:rsid w:val="00A51794"/>
    <w:rsid w:val="00A519FA"/>
    <w:rsid w:val="00A51B6A"/>
    <w:rsid w:val="00A51D38"/>
    <w:rsid w:val="00A51E54"/>
    <w:rsid w:val="00A51EEE"/>
    <w:rsid w:val="00A51FFD"/>
    <w:rsid w:val="00A528B2"/>
    <w:rsid w:val="00A52FCF"/>
    <w:rsid w:val="00A5313C"/>
    <w:rsid w:val="00A534D8"/>
    <w:rsid w:val="00A5363F"/>
    <w:rsid w:val="00A53900"/>
    <w:rsid w:val="00A54104"/>
    <w:rsid w:val="00A54145"/>
    <w:rsid w:val="00A54CAC"/>
    <w:rsid w:val="00A55718"/>
    <w:rsid w:val="00A55810"/>
    <w:rsid w:val="00A55979"/>
    <w:rsid w:val="00A559EA"/>
    <w:rsid w:val="00A55A5F"/>
    <w:rsid w:val="00A55B3D"/>
    <w:rsid w:val="00A55CC0"/>
    <w:rsid w:val="00A56186"/>
    <w:rsid w:val="00A56376"/>
    <w:rsid w:val="00A56527"/>
    <w:rsid w:val="00A56A6B"/>
    <w:rsid w:val="00A56E79"/>
    <w:rsid w:val="00A573ED"/>
    <w:rsid w:val="00A576C3"/>
    <w:rsid w:val="00A577F5"/>
    <w:rsid w:val="00A57805"/>
    <w:rsid w:val="00A57AFF"/>
    <w:rsid w:val="00A57BC2"/>
    <w:rsid w:val="00A57C3F"/>
    <w:rsid w:val="00A60766"/>
    <w:rsid w:val="00A609FD"/>
    <w:rsid w:val="00A60A03"/>
    <w:rsid w:val="00A60D0F"/>
    <w:rsid w:val="00A60F43"/>
    <w:rsid w:val="00A61532"/>
    <w:rsid w:val="00A61883"/>
    <w:rsid w:val="00A61B9F"/>
    <w:rsid w:val="00A61C11"/>
    <w:rsid w:val="00A621A9"/>
    <w:rsid w:val="00A6229B"/>
    <w:rsid w:val="00A6245A"/>
    <w:rsid w:val="00A62CCE"/>
    <w:rsid w:val="00A6335E"/>
    <w:rsid w:val="00A6351F"/>
    <w:rsid w:val="00A6361D"/>
    <w:rsid w:val="00A646E3"/>
    <w:rsid w:val="00A64C9A"/>
    <w:rsid w:val="00A6525E"/>
    <w:rsid w:val="00A65440"/>
    <w:rsid w:val="00A65665"/>
    <w:rsid w:val="00A658DB"/>
    <w:rsid w:val="00A658EF"/>
    <w:rsid w:val="00A6593E"/>
    <w:rsid w:val="00A65D34"/>
    <w:rsid w:val="00A65F83"/>
    <w:rsid w:val="00A66223"/>
    <w:rsid w:val="00A6625C"/>
    <w:rsid w:val="00A66A91"/>
    <w:rsid w:val="00A67053"/>
    <w:rsid w:val="00A674E8"/>
    <w:rsid w:val="00A67CBD"/>
    <w:rsid w:val="00A67D06"/>
    <w:rsid w:val="00A67D95"/>
    <w:rsid w:val="00A67E1E"/>
    <w:rsid w:val="00A7023C"/>
    <w:rsid w:val="00A70244"/>
    <w:rsid w:val="00A703F0"/>
    <w:rsid w:val="00A70C0F"/>
    <w:rsid w:val="00A70CEA"/>
    <w:rsid w:val="00A70DAC"/>
    <w:rsid w:val="00A7102F"/>
    <w:rsid w:val="00A71064"/>
    <w:rsid w:val="00A712C1"/>
    <w:rsid w:val="00A712FA"/>
    <w:rsid w:val="00A714B7"/>
    <w:rsid w:val="00A71BEF"/>
    <w:rsid w:val="00A71C68"/>
    <w:rsid w:val="00A71E2B"/>
    <w:rsid w:val="00A7220D"/>
    <w:rsid w:val="00A72516"/>
    <w:rsid w:val="00A7284E"/>
    <w:rsid w:val="00A72C8C"/>
    <w:rsid w:val="00A72DF5"/>
    <w:rsid w:val="00A73166"/>
    <w:rsid w:val="00A73273"/>
    <w:rsid w:val="00A733BA"/>
    <w:rsid w:val="00A73AD6"/>
    <w:rsid w:val="00A73BE9"/>
    <w:rsid w:val="00A73D2C"/>
    <w:rsid w:val="00A73E79"/>
    <w:rsid w:val="00A74057"/>
    <w:rsid w:val="00A74413"/>
    <w:rsid w:val="00A74607"/>
    <w:rsid w:val="00A74610"/>
    <w:rsid w:val="00A7486B"/>
    <w:rsid w:val="00A74FA2"/>
    <w:rsid w:val="00A754FF"/>
    <w:rsid w:val="00A756D2"/>
    <w:rsid w:val="00A75885"/>
    <w:rsid w:val="00A75E2A"/>
    <w:rsid w:val="00A766C8"/>
    <w:rsid w:val="00A766CC"/>
    <w:rsid w:val="00A76C01"/>
    <w:rsid w:val="00A76D1F"/>
    <w:rsid w:val="00A771F8"/>
    <w:rsid w:val="00A776D6"/>
    <w:rsid w:val="00A77A53"/>
    <w:rsid w:val="00A77C52"/>
    <w:rsid w:val="00A802F7"/>
    <w:rsid w:val="00A80AA3"/>
    <w:rsid w:val="00A80D48"/>
    <w:rsid w:val="00A80E8D"/>
    <w:rsid w:val="00A80EFA"/>
    <w:rsid w:val="00A80F40"/>
    <w:rsid w:val="00A8105E"/>
    <w:rsid w:val="00A8110D"/>
    <w:rsid w:val="00A816AE"/>
    <w:rsid w:val="00A818E5"/>
    <w:rsid w:val="00A82459"/>
    <w:rsid w:val="00A828AD"/>
    <w:rsid w:val="00A832DB"/>
    <w:rsid w:val="00A834C8"/>
    <w:rsid w:val="00A839D3"/>
    <w:rsid w:val="00A83B5B"/>
    <w:rsid w:val="00A83C02"/>
    <w:rsid w:val="00A83D0C"/>
    <w:rsid w:val="00A83E7D"/>
    <w:rsid w:val="00A83F15"/>
    <w:rsid w:val="00A840E3"/>
    <w:rsid w:val="00A8417C"/>
    <w:rsid w:val="00A845CB"/>
    <w:rsid w:val="00A84B86"/>
    <w:rsid w:val="00A84D06"/>
    <w:rsid w:val="00A84FA8"/>
    <w:rsid w:val="00A852F8"/>
    <w:rsid w:val="00A857C1"/>
    <w:rsid w:val="00A85A20"/>
    <w:rsid w:val="00A85B78"/>
    <w:rsid w:val="00A85DF6"/>
    <w:rsid w:val="00A86297"/>
    <w:rsid w:val="00A86324"/>
    <w:rsid w:val="00A864E7"/>
    <w:rsid w:val="00A8668B"/>
    <w:rsid w:val="00A8679B"/>
    <w:rsid w:val="00A86886"/>
    <w:rsid w:val="00A8694C"/>
    <w:rsid w:val="00A86AD6"/>
    <w:rsid w:val="00A872A3"/>
    <w:rsid w:val="00A874A4"/>
    <w:rsid w:val="00A8774B"/>
    <w:rsid w:val="00A87DA9"/>
    <w:rsid w:val="00A903D0"/>
    <w:rsid w:val="00A90543"/>
    <w:rsid w:val="00A90914"/>
    <w:rsid w:val="00A909DD"/>
    <w:rsid w:val="00A91522"/>
    <w:rsid w:val="00A915AD"/>
    <w:rsid w:val="00A91726"/>
    <w:rsid w:val="00A919E0"/>
    <w:rsid w:val="00A91B98"/>
    <w:rsid w:val="00A91DC6"/>
    <w:rsid w:val="00A91E7A"/>
    <w:rsid w:val="00A92172"/>
    <w:rsid w:val="00A923FC"/>
    <w:rsid w:val="00A9262A"/>
    <w:rsid w:val="00A927D8"/>
    <w:rsid w:val="00A9282D"/>
    <w:rsid w:val="00A9299A"/>
    <w:rsid w:val="00A92B4B"/>
    <w:rsid w:val="00A92BAF"/>
    <w:rsid w:val="00A92C2C"/>
    <w:rsid w:val="00A92E66"/>
    <w:rsid w:val="00A932C7"/>
    <w:rsid w:val="00A93364"/>
    <w:rsid w:val="00A93544"/>
    <w:rsid w:val="00A937C5"/>
    <w:rsid w:val="00A93D34"/>
    <w:rsid w:val="00A942FC"/>
    <w:rsid w:val="00A9485E"/>
    <w:rsid w:val="00A94D92"/>
    <w:rsid w:val="00A94F50"/>
    <w:rsid w:val="00A95345"/>
    <w:rsid w:val="00A9554A"/>
    <w:rsid w:val="00A964C6"/>
    <w:rsid w:val="00A96743"/>
    <w:rsid w:val="00A967D0"/>
    <w:rsid w:val="00A97093"/>
    <w:rsid w:val="00A970FA"/>
    <w:rsid w:val="00A976FA"/>
    <w:rsid w:val="00A97A4D"/>
    <w:rsid w:val="00A97FB8"/>
    <w:rsid w:val="00AA007A"/>
    <w:rsid w:val="00AA07F3"/>
    <w:rsid w:val="00AA098C"/>
    <w:rsid w:val="00AA0BE0"/>
    <w:rsid w:val="00AA0C6B"/>
    <w:rsid w:val="00AA0D36"/>
    <w:rsid w:val="00AA0D3B"/>
    <w:rsid w:val="00AA0EBB"/>
    <w:rsid w:val="00AA0FBE"/>
    <w:rsid w:val="00AA112B"/>
    <w:rsid w:val="00AA123F"/>
    <w:rsid w:val="00AA140A"/>
    <w:rsid w:val="00AA1732"/>
    <w:rsid w:val="00AA1BF7"/>
    <w:rsid w:val="00AA25B1"/>
    <w:rsid w:val="00AA29C3"/>
    <w:rsid w:val="00AA2B46"/>
    <w:rsid w:val="00AA2E71"/>
    <w:rsid w:val="00AA31FD"/>
    <w:rsid w:val="00AA32CA"/>
    <w:rsid w:val="00AA32F7"/>
    <w:rsid w:val="00AA37DE"/>
    <w:rsid w:val="00AA37FF"/>
    <w:rsid w:val="00AA3F80"/>
    <w:rsid w:val="00AA43CB"/>
    <w:rsid w:val="00AA4462"/>
    <w:rsid w:val="00AA4575"/>
    <w:rsid w:val="00AA4587"/>
    <w:rsid w:val="00AA4AC9"/>
    <w:rsid w:val="00AA4D8F"/>
    <w:rsid w:val="00AA4FDC"/>
    <w:rsid w:val="00AA509A"/>
    <w:rsid w:val="00AA55EF"/>
    <w:rsid w:val="00AA5A0B"/>
    <w:rsid w:val="00AA6739"/>
    <w:rsid w:val="00AA6CF3"/>
    <w:rsid w:val="00AA6FEA"/>
    <w:rsid w:val="00AA708D"/>
    <w:rsid w:val="00AA73A4"/>
    <w:rsid w:val="00AA7584"/>
    <w:rsid w:val="00AA75A9"/>
    <w:rsid w:val="00AA7622"/>
    <w:rsid w:val="00AA7B02"/>
    <w:rsid w:val="00AA7C70"/>
    <w:rsid w:val="00AA7E11"/>
    <w:rsid w:val="00AA7E8D"/>
    <w:rsid w:val="00AA7F58"/>
    <w:rsid w:val="00AB0078"/>
    <w:rsid w:val="00AB0588"/>
    <w:rsid w:val="00AB083F"/>
    <w:rsid w:val="00AB09B0"/>
    <w:rsid w:val="00AB0B0F"/>
    <w:rsid w:val="00AB0DDC"/>
    <w:rsid w:val="00AB1254"/>
    <w:rsid w:val="00AB1338"/>
    <w:rsid w:val="00AB174A"/>
    <w:rsid w:val="00AB1C12"/>
    <w:rsid w:val="00AB213B"/>
    <w:rsid w:val="00AB2420"/>
    <w:rsid w:val="00AB2644"/>
    <w:rsid w:val="00AB2A19"/>
    <w:rsid w:val="00AB2B99"/>
    <w:rsid w:val="00AB2C68"/>
    <w:rsid w:val="00AB2D89"/>
    <w:rsid w:val="00AB2E3E"/>
    <w:rsid w:val="00AB31F3"/>
    <w:rsid w:val="00AB34F4"/>
    <w:rsid w:val="00AB35D4"/>
    <w:rsid w:val="00AB446D"/>
    <w:rsid w:val="00AB47C7"/>
    <w:rsid w:val="00AB4A05"/>
    <w:rsid w:val="00AB4A7D"/>
    <w:rsid w:val="00AB4B16"/>
    <w:rsid w:val="00AB4BCC"/>
    <w:rsid w:val="00AB4FDB"/>
    <w:rsid w:val="00AB5127"/>
    <w:rsid w:val="00AB54A1"/>
    <w:rsid w:val="00AB56AF"/>
    <w:rsid w:val="00AB595F"/>
    <w:rsid w:val="00AB59C7"/>
    <w:rsid w:val="00AB5D33"/>
    <w:rsid w:val="00AB6220"/>
    <w:rsid w:val="00AB64D6"/>
    <w:rsid w:val="00AB656A"/>
    <w:rsid w:val="00AB7042"/>
    <w:rsid w:val="00AB7637"/>
    <w:rsid w:val="00AB77D3"/>
    <w:rsid w:val="00AB7843"/>
    <w:rsid w:val="00AC030A"/>
    <w:rsid w:val="00AC055B"/>
    <w:rsid w:val="00AC076A"/>
    <w:rsid w:val="00AC0922"/>
    <w:rsid w:val="00AC099E"/>
    <w:rsid w:val="00AC0B34"/>
    <w:rsid w:val="00AC0D7F"/>
    <w:rsid w:val="00AC0D8E"/>
    <w:rsid w:val="00AC0F00"/>
    <w:rsid w:val="00AC0FB4"/>
    <w:rsid w:val="00AC151B"/>
    <w:rsid w:val="00AC152F"/>
    <w:rsid w:val="00AC1908"/>
    <w:rsid w:val="00AC27DC"/>
    <w:rsid w:val="00AC28D0"/>
    <w:rsid w:val="00AC3331"/>
    <w:rsid w:val="00AC3548"/>
    <w:rsid w:val="00AC397C"/>
    <w:rsid w:val="00AC3AD1"/>
    <w:rsid w:val="00AC41FC"/>
    <w:rsid w:val="00AC42C0"/>
    <w:rsid w:val="00AC440B"/>
    <w:rsid w:val="00AC4CBF"/>
    <w:rsid w:val="00AC4F33"/>
    <w:rsid w:val="00AC507D"/>
    <w:rsid w:val="00AC5462"/>
    <w:rsid w:val="00AC5E9D"/>
    <w:rsid w:val="00AC5ED8"/>
    <w:rsid w:val="00AC667C"/>
    <w:rsid w:val="00AC6718"/>
    <w:rsid w:val="00AC6B85"/>
    <w:rsid w:val="00AC6E17"/>
    <w:rsid w:val="00AC6FEF"/>
    <w:rsid w:val="00AC7130"/>
    <w:rsid w:val="00AC7353"/>
    <w:rsid w:val="00AC7800"/>
    <w:rsid w:val="00AC7A66"/>
    <w:rsid w:val="00AC7BAE"/>
    <w:rsid w:val="00AC7FA2"/>
    <w:rsid w:val="00AD0274"/>
    <w:rsid w:val="00AD0ACC"/>
    <w:rsid w:val="00AD12B9"/>
    <w:rsid w:val="00AD173B"/>
    <w:rsid w:val="00AD1807"/>
    <w:rsid w:val="00AD192D"/>
    <w:rsid w:val="00AD1AA9"/>
    <w:rsid w:val="00AD1B24"/>
    <w:rsid w:val="00AD25D9"/>
    <w:rsid w:val="00AD28A3"/>
    <w:rsid w:val="00AD2A9A"/>
    <w:rsid w:val="00AD2D0E"/>
    <w:rsid w:val="00AD364F"/>
    <w:rsid w:val="00AD384C"/>
    <w:rsid w:val="00AD3F7A"/>
    <w:rsid w:val="00AD4053"/>
    <w:rsid w:val="00AD4644"/>
    <w:rsid w:val="00AD552B"/>
    <w:rsid w:val="00AD557B"/>
    <w:rsid w:val="00AD5823"/>
    <w:rsid w:val="00AD5844"/>
    <w:rsid w:val="00AD58EE"/>
    <w:rsid w:val="00AD5C05"/>
    <w:rsid w:val="00AD5D23"/>
    <w:rsid w:val="00AD5DCC"/>
    <w:rsid w:val="00AD6152"/>
    <w:rsid w:val="00AD6287"/>
    <w:rsid w:val="00AD6983"/>
    <w:rsid w:val="00AD6EB4"/>
    <w:rsid w:val="00AD7030"/>
    <w:rsid w:val="00AD7067"/>
    <w:rsid w:val="00AD70AD"/>
    <w:rsid w:val="00AD740C"/>
    <w:rsid w:val="00AD7470"/>
    <w:rsid w:val="00AD7783"/>
    <w:rsid w:val="00AD7AFA"/>
    <w:rsid w:val="00AD7BA9"/>
    <w:rsid w:val="00AD7D4C"/>
    <w:rsid w:val="00AD7DB2"/>
    <w:rsid w:val="00AE01DF"/>
    <w:rsid w:val="00AE0232"/>
    <w:rsid w:val="00AE0659"/>
    <w:rsid w:val="00AE0742"/>
    <w:rsid w:val="00AE08FB"/>
    <w:rsid w:val="00AE090B"/>
    <w:rsid w:val="00AE0AB1"/>
    <w:rsid w:val="00AE0E92"/>
    <w:rsid w:val="00AE0E9C"/>
    <w:rsid w:val="00AE0F1E"/>
    <w:rsid w:val="00AE10C7"/>
    <w:rsid w:val="00AE17D9"/>
    <w:rsid w:val="00AE19A9"/>
    <w:rsid w:val="00AE1CBB"/>
    <w:rsid w:val="00AE1F22"/>
    <w:rsid w:val="00AE2146"/>
    <w:rsid w:val="00AE23EE"/>
    <w:rsid w:val="00AE2A5C"/>
    <w:rsid w:val="00AE2AFD"/>
    <w:rsid w:val="00AE2C7A"/>
    <w:rsid w:val="00AE2E53"/>
    <w:rsid w:val="00AE2F9F"/>
    <w:rsid w:val="00AE311E"/>
    <w:rsid w:val="00AE31B4"/>
    <w:rsid w:val="00AE3816"/>
    <w:rsid w:val="00AE3ED2"/>
    <w:rsid w:val="00AE4125"/>
    <w:rsid w:val="00AE45F3"/>
    <w:rsid w:val="00AE4620"/>
    <w:rsid w:val="00AE46EE"/>
    <w:rsid w:val="00AE47A0"/>
    <w:rsid w:val="00AE4810"/>
    <w:rsid w:val="00AE48B0"/>
    <w:rsid w:val="00AE4AAB"/>
    <w:rsid w:val="00AE4EE8"/>
    <w:rsid w:val="00AE54EC"/>
    <w:rsid w:val="00AE559F"/>
    <w:rsid w:val="00AE55CF"/>
    <w:rsid w:val="00AE6430"/>
    <w:rsid w:val="00AE6D70"/>
    <w:rsid w:val="00AE6E48"/>
    <w:rsid w:val="00AE7067"/>
    <w:rsid w:val="00AE7332"/>
    <w:rsid w:val="00AE74E6"/>
    <w:rsid w:val="00AE7597"/>
    <w:rsid w:val="00AE76B0"/>
    <w:rsid w:val="00AE7A4E"/>
    <w:rsid w:val="00AF0059"/>
    <w:rsid w:val="00AF0772"/>
    <w:rsid w:val="00AF087D"/>
    <w:rsid w:val="00AF0A10"/>
    <w:rsid w:val="00AF0A43"/>
    <w:rsid w:val="00AF0C84"/>
    <w:rsid w:val="00AF108A"/>
    <w:rsid w:val="00AF11B5"/>
    <w:rsid w:val="00AF1AFF"/>
    <w:rsid w:val="00AF1D1E"/>
    <w:rsid w:val="00AF23F0"/>
    <w:rsid w:val="00AF2654"/>
    <w:rsid w:val="00AF33C2"/>
    <w:rsid w:val="00AF352C"/>
    <w:rsid w:val="00AF3954"/>
    <w:rsid w:val="00AF3BD1"/>
    <w:rsid w:val="00AF3EDE"/>
    <w:rsid w:val="00AF41E6"/>
    <w:rsid w:val="00AF43D3"/>
    <w:rsid w:val="00AF443D"/>
    <w:rsid w:val="00AF446B"/>
    <w:rsid w:val="00AF449F"/>
    <w:rsid w:val="00AF46C7"/>
    <w:rsid w:val="00AF4B86"/>
    <w:rsid w:val="00AF4C83"/>
    <w:rsid w:val="00AF4DEF"/>
    <w:rsid w:val="00AF519A"/>
    <w:rsid w:val="00AF546B"/>
    <w:rsid w:val="00AF56EE"/>
    <w:rsid w:val="00AF59B8"/>
    <w:rsid w:val="00AF6515"/>
    <w:rsid w:val="00AF6C2E"/>
    <w:rsid w:val="00AF7167"/>
    <w:rsid w:val="00AF7176"/>
    <w:rsid w:val="00AF73C5"/>
    <w:rsid w:val="00AF75F7"/>
    <w:rsid w:val="00AF79B1"/>
    <w:rsid w:val="00AF7DFB"/>
    <w:rsid w:val="00B0027E"/>
    <w:rsid w:val="00B00AD3"/>
    <w:rsid w:val="00B00CCF"/>
    <w:rsid w:val="00B01000"/>
    <w:rsid w:val="00B011AB"/>
    <w:rsid w:val="00B0169A"/>
    <w:rsid w:val="00B016BA"/>
    <w:rsid w:val="00B01771"/>
    <w:rsid w:val="00B01BB1"/>
    <w:rsid w:val="00B01C28"/>
    <w:rsid w:val="00B01CBF"/>
    <w:rsid w:val="00B0205A"/>
    <w:rsid w:val="00B02361"/>
    <w:rsid w:val="00B02554"/>
    <w:rsid w:val="00B02631"/>
    <w:rsid w:val="00B026B5"/>
    <w:rsid w:val="00B02800"/>
    <w:rsid w:val="00B02C95"/>
    <w:rsid w:val="00B02E55"/>
    <w:rsid w:val="00B036C1"/>
    <w:rsid w:val="00B03ACF"/>
    <w:rsid w:val="00B03ED8"/>
    <w:rsid w:val="00B04AB8"/>
    <w:rsid w:val="00B04E38"/>
    <w:rsid w:val="00B04F3C"/>
    <w:rsid w:val="00B052F1"/>
    <w:rsid w:val="00B0585D"/>
    <w:rsid w:val="00B05B55"/>
    <w:rsid w:val="00B05E0A"/>
    <w:rsid w:val="00B05E5D"/>
    <w:rsid w:val="00B05F64"/>
    <w:rsid w:val="00B06002"/>
    <w:rsid w:val="00B06338"/>
    <w:rsid w:val="00B0636B"/>
    <w:rsid w:val="00B06768"/>
    <w:rsid w:val="00B06D04"/>
    <w:rsid w:val="00B0701D"/>
    <w:rsid w:val="00B070D4"/>
    <w:rsid w:val="00B1013E"/>
    <w:rsid w:val="00B1042A"/>
    <w:rsid w:val="00B105A3"/>
    <w:rsid w:val="00B108C0"/>
    <w:rsid w:val="00B10C51"/>
    <w:rsid w:val="00B10FF7"/>
    <w:rsid w:val="00B1110B"/>
    <w:rsid w:val="00B11304"/>
    <w:rsid w:val="00B115BA"/>
    <w:rsid w:val="00B11861"/>
    <w:rsid w:val="00B11CAC"/>
    <w:rsid w:val="00B120D8"/>
    <w:rsid w:val="00B1225E"/>
    <w:rsid w:val="00B124AD"/>
    <w:rsid w:val="00B12861"/>
    <w:rsid w:val="00B12AAE"/>
    <w:rsid w:val="00B12ACA"/>
    <w:rsid w:val="00B12C4D"/>
    <w:rsid w:val="00B12F69"/>
    <w:rsid w:val="00B13672"/>
    <w:rsid w:val="00B13D6C"/>
    <w:rsid w:val="00B14862"/>
    <w:rsid w:val="00B14999"/>
    <w:rsid w:val="00B14D82"/>
    <w:rsid w:val="00B15013"/>
    <w:rsid w:val="00B15308"/>
    <w:rsid w:val="00B153A8"/>
    <w:rsid w:val="00B15573"/>
    <w:rsid w:val="00B15831"/>
    <w:rsid w:val="00B15B1F"/>
    <w:rsid w:val="00B16121"/>
    <w:rsid w:val="00B163EA"/>
    <w:rsid w:val="00B16687"/>
    <w:rsid w:val="00B16701"/>
    <w:rsid w:val="00B1706F"/>
    <w:rsid w:val="00B17502"/>
    <w:rsid w:val="00B17BBC"/>
    <w:rsid w:val="00B17C8C"/>
    <w:rsid w:val="00B17E7E"/>
    <w:rsid w:val="00B17F21"/>
    <w:rsid w:val="00B2005F"/>
    <w:rsid w:val="00B20143"/>
    <w:rsid w:val="00B2098E"/>
    <w:rsid w:val="00B209F0"/>
    <w:rsid w:val="00B22048"/>
    <w:rsid w:val="00B22139"/>
    <w:rsid w:val="00B222C4"/>
    <w:rsid w:val="00B2270B"/>
    <w:rsid w:val="00B22C28"/>
    <w:rsid w:val="00B22D96"/>
    <w:rsid w:val="00B22DBE"/>
    <w:rsid w:val="00B23700"/>
    <w:rsid w:val="00B23C6D"/>
    <w:rsid w:val="00B23F10"/>
    <w:rsid w:val="00B24081"/>
    <w:rsid w:val="00B241AB"/>
    <w:rsid w:val="00B24604"/>
    <w:rsid w:val="00B249F0"/>
    <w:rsid w:val="00B24E7D"/>
    <w:rsid w:val="00B24EB2"/>
    <w:rsid w:val="00B25556"/>
    <w:rsid w:val="00B256BC"/>
    <w:rsid w:val="00B257C5"/>
    <w:rsid w:val="00B26195"/>
    <w:rsid w:val="00B265EC"/>
    <w:rsid w:val="00B266CB"/>
    <w:rsid w:val="00B26B9B"/>
    <w:rsid w:val="00B2726B"/>
    <w:rsid w:val="00B275C3"/>
    <w:rsid w:val="00B27960"/>
    <w:rsid w:val="00B27980"/>
    <w:rsid w:val="00B27C10"/>
    <w:rsid w:val="00B27F42"/>
    <w:rsid w:val="00B304C1"/>
    <w:rsid w:val="00B305C7"/>
    <w:rsid w:val="00B30775"/>
    <w:rsid w:val="00B30823"/>
    <w:rsid w:val="00B3093A"/>
    <w:rsid w:val="00B30B45"/>
    <w:rsid w:val="00B31416"/>
    <w:rsid w:val="00B3154A"/>
    <w:rsid w:val="00B31E36"/>
    <w:rsid w:val="00B31E77"/>
    <w:rsid w:val="00B3235E"/>
    <w:rsid w:val="00B323DC"/>
    <w:rsid w:val="00B3290A"/>
    <w:rsid w:val="00B32DDC"/>
    <w:rsid w:val="00B33033"/>
    <w:rsid w:val="00B33090"/>
    <w:rsid w:val="00B3321C"/>
    <w:rsid w:val="00B33722"/>
    <w:rsid w:val="00B337D5"/>
    <w:rsid w:val="00B33825"/>
    <w:rsid w:val="00B33A66"/>
    <w:rsid w:val="00B33D96"/>
    <w:rsid w:val="00B3434F"/>
    <w:rsid w:val="00B3474F"/>
    <w:rsid w:val="00B3479D"/>
    <w:rsid w:val="00B347C9"/>
    <w:rsid w:val="00B34C18"/>
    <w:rsid w:val="00B351C5"/>
    <w:rsid w:val="00B351EC"/>
    <w:rsid w:val="00B35291"/>
    <w:rsid w:val="00B35682"/>
    <w:rsid w:val="00B35779"/>
    <w:rsid w:val="00B357AE"/>
    <w:rsid w:val="00B36076"/>
    <w:rsid w:val="00B362B5"/>
    <w:rsid w:val="00B364A8"/>
    <w:rsid w:val="00B36589"/>
    <w:rsid w:val="00B36600"/>
    <w:rsid w:val="00B36624"/>
    <w:rsid w:val="00B36BA3"/>
    <w:rsid w:val="00B36EC9"/>
    <w:rsid w:val="00B37717"/>
    <w:rsid w:val="00B37B23"/>
    <w:rsid w:val="00B37C0D"/>
    <w:rsid w:val="00B37F0E"/>
    <w:rsid w:val="00B37F8C"/>
    <w:rsid w:val="00B400DD"/>
    <w:rsid w:val="00B401B1"/>
    <w:rsid w:val="00B402E5"/>
    <w:rsid w:val="00B40513"/>
    <w:rsid w:val="00B406F7"/>
    <w:rsid w:val="00B4070B"/>
    <w:rsid w:val="00B40A12"/>
    <w:rsid w:val="00B40AEA"/>
    <w:rsid w:val="00B40B2D"/>
    <w:rsid w:val="00B40FCA"/>
    <w:rsid w:val="00B415E0"/>
    <w:rsid w:val="00B418CE"/>
    <w:rsid w:val="00B41B59"/>
    <w:rsid w:val="00B4237D"/>
    <w:rsid w:val="00B4250C"/>
    <w:rsid w:val="00B42627"/>
    <w:rsid w:val="00B42757"/>
    <w:rsid w:val="00B42BE0"/>
    <w:rsid w:val="00B431B3"/>
    <w:rsid w:val="00B44133"/>
    <w:rsid w:val="00B44168"/>
    <w:rsid w:val="00B441FD"/>
    <w:rsid w:val="00B44B6F"/>
    <w:rsid w:val="00B44F5D"/>
    <w:rsid w:val="00B4551C"/>
    <w:rsid w:val="00B45D07"/>
    <w:rsid w:val="00B46140"/>
    <w:rsid w:val="00B46173"/>
    <w:rsid w:val="00B46313"/>
    <w:rsid w:val="00B4654B"/>
    <w:rsid w:val="00B466CA"/>
    <w:rsid w:val="00B46739"/>
    <w:rsid w:val="00B471AE"/>
    <w:rsid w:val="00B47D8B"/>
    <w:rsid w:val="00B47DF1"/>
    <w:rsid w:val="00B50025"/>
    <w:rsid w:val="00B50C8F"/>
    <w:rsid w:val="00B50D73"/>
    <w:rsid w:val="00B512D3"/>
    <w:rsid w:val="00B5132D"/>
    <w:rsid w:val="00B5144A"/>
    <w:rsid w:val="00B516C1"/>
    <w:rsid w:val="00B51825"/>
    <w:rsid w:val="00B51DE6"/>
    <w:rsid w:val="00B52157"/>
    <w:rsid w:val="00B52417"/>
    <w:rsid w:val="00B52993"/>
    <w:rsid w:val="00B52D04"/>
    <w:rsid w:val="00B538A2"/>
    <w:rsid w:val="00B53B67"/>
    <w:rsid w:val="00B53C03"/>
    <w:rsid w:val="00B53C12"/>
    <w:rsid w:val="00B53F1B"/>
    <w:rsid w:val="00B5431F"/>
    <w:rsid w:val="00B54CA5"/>
    <w:rsid w:val="00B55273"/>
    <w:rsid w:val="00B55BDC"/>
    <w:rsid w:val="00B55E09"/>
    <w:rsid w:val="00B55E9C"/>
    <w:rsid w:val="00B562E6"/>
    <w:rsid w:val="00B56613"/>
    <w:rsid w:val="00B5673F"/>
    <w:rsid w:val="00B56765"/>
    <w:rsid w:val="00B56A62"/>
    <w:rsid w:val="00B56EE9"/>
    <w:rsid w:val="00B5704A"/>
    <w:rsid w:val="00B57898"/>
    <w:rsid w:val="00B5789F"/>
    <w:rsid w:val="00B579FA"/>
    <w:rsid w:val="00B57A24"/>
    <w:rsid w:val="00B57AAF"/>
    <w:rsid w:val="00B57FB8"/>
    <w:rsid w:val="00B57FE3"/>
    <w:rsid w:val="00B6003A"/>
    <w:rsid w:val="00B60567"/>
    <w:rsid w:val="00B606AD"/>
    <w:rsid w:val="00B60B1B"/>
    <w:rsid w:val="00B60BED"/>
    <w:rsid w:val="00B60F2F"/>
    <w:rsid w:val="00B61192"/>
    <w:rsid w:val="00B61470"/>
    <w:rsid w:val="00B614C3"/>
    <w:rsid w:val="00B61CA1"/>
    <w:rsid w:val="00B621AB"/>
    <w:rsid w:val="00B62571"/>
    <w:rsid w:val="00B63259"/>
    <w:rsid w:val="00B6350C"/>
    <w:rsid w:val="00B64192"/>
    <w:rsid w:val="00B645AC"/>
    <w:rsid w:val="00B64AB4"/>
    <w:rsid w:val="00B64E4D"/>
    <w:rsid w:val="00B65753"/>
    <w:rsid w:val="00B657B7"/>
    <w:rsid w:val="00B6580A"/>
    <w:rsid w:val="00B6582D"/>
    <w:rsid w:val="00B65A11"/>
    <w:rsid w:val="00B65BC9"/>
    <w:rsid w:val="00B65E5C"/>
    <w:rsid w:val="00B65E69"/>
    <w:rsid w:val="00B662B9"/>
    <w:rsid w:val="00B66C44"/>
    <w:rsid w:val="00B67289"/>
    <w:rsid w:val="00B674A9"/>
    <w:rsid w:val="00B6777E"/>
    <w:rsid w:val="00B679E5"/>
    <w:rsid w:val="00B67A27"/>
    <w:rsid w:val="00B67D12"/>
    <w:rsid w:val="00B7066B"/>
    <w:rsid w:val="00B70A60"/>
    <w:rsid w:val="00B711D3"/>
    <w:rsid w:val="00B714A8"/>
    <w:rsid w:val="00B71F6B"/>
    <w:rsid w:val="00B7202E"/>
    <w:rsid w:val="00B72140"/>
    <w:rsid w:val="00B7215C"/>
    <w:rsid w:val="00B72335"/>
    <w:rsid w:val="00B72534"/>
    <w:rsid w:val="00B726BF"/>
    <w:rsid w:val="00B72A77"/>
    <w:rsid w:val="00B72C19"/>
    <w:rsid w:val="00B734C2"/>
    <w:rsid w:val="00B73754"/>
    <w:rsid w:val="00B73848"/>
    <w:rsid w:val="00B73CBF"/>
    <w:rsid w:val="00B73ED2"/>
    <w:rsid w:val="00B73F37"/>
    <w:rsid w:val="00B74475"/>
    <w:rsid w:val="00B74587"/>
    <w:rsid w:val="00B74A5E"/>
    <w:rsid w:val="00B74B4F"/>
    <w:rsid w:val="00B74B6A"/>
    <w:rsid w:val="00B74BC7"/>
    <w:rsid w:val="00B74BEE"/>
    <w:rsid w:val="00B74F6B"/>
    <w:rsid w:val="00B7562C"/>
    <w:rsid w:val="00B758F2"/>
    <w:rsid w:val="00B75C79"/>
    <w:rsid w:val="00B75CA6"/>
    <w:rsid w:val="00B75D32"/>
    <w:rsid w:val="00B762CE"/>
    <w:rsid w:val="00B76FC7"/>
    <w:rsid w:val="00B77450"/>
    <w:rsid w:val="00B7745D"/>
    <w:rsid w:val="00B774C3"/>
    <w:rsid w:val="00B776C2"/>
    <w:rsid w:val="00B7774F"/>
    <w:rsid w:val="00B77A2D"/>
    <w:rsid w:val="00B77BAA"/>
    <w:rsid w:val="00B77BBF"/>
    <w:rsid w:val="00B80268"/>
    <w:rsid w:val="00B80B08"/>
    <w:rsid w:val="00B819DD"/>
    <w:rsid w:val="00B81C67"/>
    <w:rsid w:val="00B81C7A"/>
    <w:rsid w:val="00B81D1D"/>
    <w:rsid w:val="00B81D22"/>
    <w:rsid w:val="00B81E5C"/>
    <w:rsid w:val="00B81E6F"/>
    <w:rsid w:val="00B8210C"/>
    <w:rsid w:val="00B82283"/>
    <w:rsid w:val="00B824A2"/>
    <w:rsid w:val="00B825FC"/>
    <w:rsid w:val="00B829DB"/>
    <w:rsid w:val="00B82B37"/>
    <w:rsid w:val="00B8352B"/>
    <w:rsid w:val="00B8381E"/>
    <w:rsid w:val="00B838F8"/>
    <w:rsid w:val="00B83B61"/>
    <w:rsid w:val="00B83C91"/>
    <w:rsid w:val="00B84156"/>
    <w:rsid w:val="00B8430B"/>
    <w:rsid w:val="00B845EB"/>
    <w:rsid w:val="00B84745"/>
    <w:rsid w:val="00B84827"/>
    <w:rsid w:val="00B848A4"/>
    <w:rsid w:val="00B8492D"/>
    <w:rsid w:val="00B84EFC"/>
    <w:rsid w:val="00B8504B"/>
    <w:rsid w:val="00B8537F"/>
    <w:rsid w:val="00B85408"/>
    <w:rsid w:val="00B85558"/>
    <w:rsid w:val="00B85727"/>
    <w:rsid w:val="00B86069"/>
    <w:rsid w:val="00B865E3"/>
    <w:rsid w:val="00B871C9"/>
    <w:rsid w:val="00B871FC"/>
    <w:rsid w:val="00B8720C"/>
    <w:rsid w:val="00B87D10"/>
    <w:rsid w:val="00B87E15"/>
    <w:rsid w:val="00B9068D"/>
    <w:rsid w:val="00B90731"/>
    <w:rsid w:val="00B90B43"/>
    <w:rsid w:val="00B90CDF"/>
    <w:rsid w:val="00B91180"/>
    <w:rsid w:val="00B9131E"/>
    <w:rsid w:val="00B9138D"/>
    <w:rsid w:val="00B91404"/>
    <w:rsid w:val="00B91622"/>
    <w:rsid w:val="00B9164D"/>
    <w:rsid w:val="00B91B4D"/>
    <w:rsid w:val="00B91FD1"/>
    <w:rsid w:val="00B92210"/>
    <w:rsid w:val="00B922BB"/>
    <w:rsid w:val="00B9238D"/>
    <w:rsid w:val="00B92887"/>
    <w:rsid w:val="00B92AF5"/>
    <w:rsid w:val="00B92CB6"/>
    <w:rsid w:val="00B92F18"/>
    <w:rsid w:val="00B93529"/>
    <w:rsid w:val="00B93846"/>
    <w:rsid w:val="00B94198"/>
    <w:rsid w:val="00B942F1"/>
    <w:rsid w:val="00B9487D"/>
    <w:rsid w:val="00B94A45"/>
    <w:rsid w:val="00B94B11"/>
    <w:rsid w:val="00B95C53"/>
    <w:rsid w:val="00B95D52"/>
    <w:rsid w:val="00B95E4E"/>
    <w:rsid w:val="00B9600F"/>
    <w:rsid w:val="00B96318"/>
    <w:rsid w:val="00B963FF"/>
    <w:rsid w:val="00B96D2E"/>
    <w:rsid w:val="00B97094"/>
    <w:rsid w:val="00B97319"/>
    <w:rsid w:val="00B9756C"/>
    <w:rsid w:val="00B97644"/>
    <w:rsid w:val="00B97B07"/>
    <w:rsid w:val="00BA0261"/>
    <w:rsid w:val="00BA0556"/>
    <w:rsid w:val="00BA0A58"/>
    <w:rsid w:val="00BA0AE3"/>
    <w:rsid w:val="00BA0CB6"/>
    <w:rsid w:val="00BA0EE8"/>
    <w:rsid w:val="00BA1902"/>
    <w:rsid w:val="00BA1E66"/>
    <w:rsid w:val="00BA2959"/>
    <w:rsid w:val="00BA2DD8"/>
    <w:rsid w:val="00BA2FC1"/>
    <w:rsid w:val="00BA3320"/>
    <w:rsid w:val="00BA3343"/>
    <w:rsid w:val="00BA3374"/>
    <w:rsid w:val="00BA3394"/>
    <w:rsid w:val="00BA36A1"/>
    <w:rsid w:val="00BA37C7"/>
    <w:rsid w:val="00BA3F11"/>
    <w:rsid w:val="00BA3F44"/>
    <w:rsid w:val="00BA4006"/>
    <w:rsid w:val="00BA4976"/>
    <w:rsid w:val="00BA4A83"/>
    <w:rsid w:val="00BA4D7D"/>
    <w:rsid w:val="00BA4F7E"/>
    <w:rsid w:val="00BA5275"/>
    <w:rsid w:val="00BA59EB"/>
    <w:rsid w:val="00BA63E6"/>
    <w:rsid w:val="00BA64CE"/>
    <w:rsid w:val="00BA699E"/>
    <w:rsid w:val="00BA6A0E"/>
    <w:rsid w:val="00BA6AD7"/>
    <w:rsid w:val="00BA6BAC"/>
    <w:rsid w:val="00BA733B"/>
    <w:rsid w:val="00BA76F9"/>
    <w:rsid w:val="00BA7717"/>
    <w:rsid w:val="00BA78D9"/>
    <w:rsid w:val="00BB0464"/>
    <w:rsid w:val="00BB04F5"/>
    <w:rsid w:val="00BB0C58"/>
    <w:rsid w:val="00BB1257"/>
    <w:rsid w:val="00BB1430"/>
    <w:rsid w:val="00BB17E4"/>
    <w:rsid w:val="00BB17F1"/>
    <w:rsid w:val="00BB1801"/>
    <w:rsid w:val="00BB1A30"/>
    <w:rsid w:val="00BB1BA1"/>
    <w:rsid w:val="00BB1ECB"/>
    <w:rsid w:val="00BB1F4A"/>
    <w:rsid w:val="00BB26C6"/>
    <w:rsid w:val="00BB3076"/>
    <w:rsid w:val="00BB32A2"/>
    <w:rsid w:val="00BB3E8D"/>
    <w:rsid w:val="00BB3F57"/>
    <w:rsid w:val="00BB4113"/>
    <w:rsid w:val="00BB42E2"/>
    <w:rsid w:val="00BB48E1"/>
    <w:rsid w:val="00BB49A2"/>
    <w:rsid w:val="00BB5331"/>
    <w:rsid w:val="00BB54B4"/>
    <w:rsid w:val="00BB54C9"/>
    <w:rsid w:val="00BB5D13"/>
    <w:rsid w:val="00BB6034"/>
    <w:rsid w:val="00BB6279"/>
    <w:rsid w:val="00BB6361"/>
    <w:rsid w:val="00BB64C2"/>
    <w:rsid w:val="00BB6847"/>
    <w:rsid w:val="00BB689D"/>
    <w:rsid w:val="00BB6F21"/>
    <w:rsid w:val="00BB728C"/>
    <w:rsid w:val="00BB72D7"/>
    <w:rsid w:val="00BB75B0"/>
    <w:rsid w:val="00BB7657"/>
    <w:rsid w:val="00BB786B"/>
    <w:rsid w:val="00BB7D50"/>
    <w:rsid w:val="00BB7FF9"/>
    <w:rsid w:val="00BC00CB"/>
    <w:rsid w:val="00BC0582"/>
    <w:rsid w:val="00BC0719"/>
    <w:rsid w:val="00BC09F0"/>
    <w:rsid w:val="00BC0E6B"/>
    <w:rsid w:val="00BC13BD"/>
    <w:rsid w:val="00BC1465"/>
    <w:rsid w:val="00BC1783"/>
    <w:rsid w:val="00BC182A"/>
    <w:rsid w:val="00BC184B"/>
    <w:rsid w:val="00BC1AD4"/>
    <w:rsid w:val="00BC1CFB"/>
    <w:rsid w:val="00BC1E3B"/>
    <w:rsid w:val="00BC1FB4"/>
    <w:rsid w:val="00BC23F7"/>
    <w:rsid w:val="00BC27AD"/>
    <w:rsid w:val="00BC2803"/>
    <w:rsid w:val="00BC28AB"/>
    <w:rsid w:val="00BC320C"/>
    <w:rsid w:val="00BC3251"/>
    <w:rsid w:val="00BC3258"/>
    <w:rsid w:val="00BC32BC"/>
    <w:rsid w:val="00BC33C1"/>
    <w:rsid w:val="00BC3A1F"/>
    <w:rsid w:val="00BC3C85"/>
    <w:rsid w:val="00BC3D74"/>
    <w:rsid w:val="00BC3ECC"/>
    <w:rsid w:val="00BC403A"/>
    <w:rsid w:val="00BC412E"/>
    <w:rsid w:val="00BC414D"/>
    <w:rsid w:val="00BC43F7"/>
    <w:rsid w:val="00BC4520"/>
    <w:rsid w:val="00BC45DE"/>
    <w:rsid w:val="00BC4B9C"/>
    <w:rsid w:val="00BC4C6C"/>
    <w:rsid w:val="00BC510D"/>
    <w:rsid w:val="00BC518A"/>
    <w:rsid w:val="00BC538C"/>
    <w:rsid w:val="00BC54DC"/>
    <w:rsid w:val="00BC5697"/>
    <w:rsid w:val="00BC663F"/>
    <w:rsid w:val="00BC66B5"/>
    <w:rsid w:val="00BC6857"/>
    <w:rsid w:val="00BC68E8"/>
    <w:rsid w:val="00BC6C80"/>
    <w:rsid w:val="00BC6F06"/>
    <w:rsid w:val="00BC7553"/>
    <w:rsid w:val="00BC796D"/>
    <w:rsid w:val="00BC79D3"/>
    <w:rsid w:val="00BD01CC"/>
    <w:rsid w:val="00BD0877"/>
    <w:rsid w:val="00BD0899"/>
    <w:rsid w:val="00BD0BFE"/>
    <w:rsid w:val="00BD0F3D"/>
    <w:rsid w:val="00BD1273"/>
    <w:rsid w:val="00BD1415"/>
    <w:rsid w:val="00BD198D"/>
    <w:rsid w:val="00BD1DCE"/>
    <w:rsid w:val="00BD2417"/>
    <w:rsid w:val="00BD2427"/>
    <w:rsid w:val="00BD255E"/>
    <w:rsid w:val="00BD2565"/>
    <w:rsid w:val="00BD2B08"/>
    <w:rsid w:val="00BD3017"/>
    <w:rsid w:val="00BD306B"/>
    <w:rsid w:val="00BD3AE5"/>
    <w:rsid w:val="00BD3C40"/>
    <w:rsid w:val="00BD40AF"/>
    <w:rsid w:val="00BD40D6"/>
    <w:rsid w:val="00BD425B"/>
    <w:rsid w:val="00BD4901"/>
    <w:rsid w:val="00BD4998"/>
    <w:rsid w:val="00BD5051"/>
    <w:rsid w:val="00BD58B6"/>
    <w:rsid w:val="00BD59FB"/>
    <w:rsid w:val="00BD5AE7"/>
    <w:rsid w:val="00BD5CE1"/>
    <w:rsid w:val="00BD5D18"/>
    <w:rsid w:val="00BD61D6"/>
    <w:rsid w:val="00BD63D3"/>
    <w:rsid w:val="00BD67E0"/>
    <w:rsid w:val="00BD6B52"/>
    <w:rsid w:val="00BE035B"/>
    <w:rsid w:val="00BE0410"/>
    <w:rsid w:val="00BE064A"/>
    <w:rsid w:val="00BE064F"/>
    <w:rsid w:val="00BE0876"/>
    <w:rsid w:val="00BE0B9E"/>
    <w:rsid w:val="00BE0CEE"/>
    <w:rsid w:val="00BE0DBC"/>
    <w:rsid w:val="00BE1279"/>
    <w:rsid w:val="00BE143A"/>
    <w:rsid w:val="00BE1D14"/>
    <w:rsid w:val="00BE1F77"/>
    <w:rsid w:val="00BE2257"/>
    <w:rsid w:val="00BE2334"/>
    <w:rsid w:val="00BE2838"/>
    <w:rsid w:val="00BE329C"/>
    <w:rsid w:val="00BE338F"/>
    <w:rsid w:val="00BE36DB"/>
    <w:rsid w:val="00BE36DC"/>
    <w:rsid w:val="00BE39B3"/>
    <w:rsid w:val="00BE3E1C"/>
    <w:rsid w:val="00BE3F7E"/>
    <w:rsid w:val="00BE4024"/>
    <w:rsid w:val="00BE4434"/>
    <w:rsid w:val="00BE44BA"/>
    <w:rsid w:val="00BE452E"/>
    <w:rsid w:val="00BE45A3"/>
    <w:rsid w:val="00BE467D"/>
    <w:rsid w:val="00BE4727"/>
    <w:rsid w:val="00BE472F"/>
    <w:rsid w:val="00BE4742"/>
    <w:rsid w:val="00BE518B"/>
    <w:rsid w:val="00BE5576"/>
    <w:rsid w:val="00BE55C8"/>
    <w:rsid w:val="00BE5A9F"/>
    <w:rsid w:val="00BE5F5A"/>
    <w:rsid w:val="00BE6024"/>
    <w:rsid w:val="00BE6189"/>
    <w:rsid w:val="00BE62DF"/>
    <w:rsid w:val="00BE642C"/>
    <w:rsid w:val="00BE6455"/>
    <w:rsid w:val="00BE64FB"/>
    <w:rsid w:val="00BE6B9A"/>
    <w:rsid w:val="00BE6DE6"/>
    <w:rsid w:val="00BE6E56"/>
    <w:rsid w:val="00BE6F1F"/>
    <w:rsid w:val="00BE7628"/>
    <w:rsid w:val="00BE781E"/>
    <w:rsid w:val="00BE7C43"/>
    <w:rsid w:val="00BE7D12"/>
    <w:rsid w:val="00BE7F56"/>
    <w:rsid w:val="00BF03F9"/>
    <w:rsid w:val="00BF0E74"/>
    <w:rsid w:val="00BF1071"/>
    <w:rsid w:val="00BF1500"/>
    <w:rsid w:val="00BF19A4"/>
    <w:rsid w:val="00BF1D99"/>
    <w:rsid w:val="00BF1F3E"/>
    <w:rsid w:val="00BF221C"/>
    <w:rsid w:val="00BF2337"/>
    <w:rsid w:val="00BF23BD"/>
    <w:rsid w:val="00BF23FB"/>
    <w:rsid w:val="00BF25DE"/>
    <w:rsid w:val="00BF2806"/>
    <w:rsid w:val="00BF282A"/>
    <w:rsid w:val="00BF282B"/>
    <w:rsid w:val="00BF2B57"/>
    <w:rsid w:val="00BF2C97"/>
    <w:rsid w:val="00BF3052"/>
    <w:rsid w:val="00BF3A04"/>
    <w:rsid w:val="00BF3D9C"/>
    <w:rsid w:val="00BF40C8"/>
    <w:rsid w:val="00BF40D2"/>
    <w:rsid w:val="00BF445B"/>
    <w:rsid w:val="00BF4616"/>
    <w:rsid w:val="00BF47C4"/>
    <w:rsid w:val="00BF55F1"/>
    <w:rsid w:val="00BF55FA"/>
    <w:rsid w:val="00BF5746"/>
    <w:rsid w:val="00BF5F01"/>
    <w:rsid w:val="00BF645B"/>
    <w:rsid w:val="00BF6522"/>
    <w:rsid w:val="00BF652E"/>
    <w:rsid w:val="00BF666F"/>
    <w:rsid w:val="00BF6915"/>
    <w:rsid w:val="00BF7101"/>
    <w:rsid w:val="00BF756E"/>
    <w:rsid w:val="00BF7822"/>
    <w:rsid w:val="00BF79C1"/>
    <w:rsid w:val="00BF7AA3"/>
    <w:rsid w:val="00BF7FE0"/>
    <w:rsid w:val="00C0015A"/>
    <w:rsid w:val="00C004A9"/>
    <w:rsid w:val="00C00706"/>
    <w:rsid w:val="00C008AC"/>
    <w:rsid w:val="00C00DBF"/>
    <w:rsid w:val="00C01237"/>
    <w:rsid w:val="00C0128D"/>
    <w:rsid w:val="00C0137F"/>
    <w:rsid w:val="00C01600"/>
    <w:rsid w:val="00C01671"/>
    <w:rsid w:val="00C0190F"/>
    <w:rsid w:val="00C02A90"/>
    <w:rsid w:val="00C02D1E"/>
    <w:rsid w:val="00C02E55"/>
    <w:rsid w:val="00C02FF4"/>
    <w:rsid w:val="00C03481"/>
    <w:rsid w:val="00C036F9"/>
    <w:rsid w:val="00C04011"/>
    <w:rsid w:val="00C04450"/>
    <w:rsid w:val="00C04C31"/>
    <w:rsid w:val="00C04E2D"/>
    <w:rsid w:val="00C050F4"/>
    <w:rsid w:val="00C05670"/>
    <w:rsid w:val="00C056B8"/>
    <w:rsid w:val="00C058A7"/>
    <w:rsid w:val="00C059BC"/>
    <w:rsid w:val="00C06005"/>
    <w:rsid w:val="00C06AC8"/>
    <w:rsid w:val="00C06DC3"/>
    <w:rsid w:val="00C072E0"/>
    <w:rsid w:val="00C07963"/>
    <w:rsid w:val="00C07A52"/>
    <w:rsid w:val="00C07D75"/>
    <w:rsid w:val="00C100BB"/>
    <w:rsid w:val="00C1071D"/>
    <w:rsid w:val="00C109A3"/>
    <w:rsid w:val="00C10BE0"/>
    <w:rsid w:val="00C10C85"/>
    <w:rsid w:val="00C112CD"/>
    <w:rsid w:val="00C114FD"/>
    <w:rsid w:val="00C11676"/>
    <w:rsid w:val="00C116F4"/>
    <w:rsid w:val="00C1193C"/>
    <w:rsid w:val="00C11A87"/>
    <w:rsid w:val="00C11BA1"/>
    <w:rsid w:val="00C11FD6"/>
    <w:rsid w:val="00C12274"/>
    <w:rsid w:val="00C1233A"/>
    <w:rsid w:val="00C12BE8"/>
    <w:rsid w:val="00C130FF"/>
    <w:rsid w:val="00C13446"/>
    <w:rsid w:val="00C13A80"/>
    <w:rsid w:val="00C13C85"/>
    <w:rsid w:val="00C13CE0"/>
    <w:rsid w:val="00C14201"/>
    <w:rsid w:val="00C14283"/>
    <w:rsid w:val="00C149BF"/>
    <w:rsid w:val="00C14D4E"/>
    <w:rsid w:val="00C14E4E"/>
    <w:rsid w:val="00C14F05"/>
    <w:rsid w:val="00C1508D"/>
    <w:rsid w:val="00C15229"/>
    <w:rsid w:val="00C152F3"/>
    <w:rsid w:val="00C153DE"/>
    <w:rsid w:val="00C15424"/>
    <w:rsid w:val="00C15621"/>
    <w:rsid w:val="00C158B3"/>
    <w:rsid w:val="00C15B66"/>
    <w:rsid w:val="00C15BF4"/>
    <w:rsid w:val="00C160F9"/>
    <w:rsid w:val="00C163EF"/>
    <w:rsid w:val="00C16AAB"/>
    <w:rsid w:val="00C16D4C"/>
    <w:rsid w:val="00C17044"/>
    <w:rsid w:val="00C172EC"/>
    <w:rsid w:val="00C17520"/>
    <w:rsid w:val="00C17947"/>
    <w:rsid w:val="00C179EC"/>
    <w:rsid w:val="00C17B8C"/>
    <w:rsid w:val="00C17D3D"/>
    <w:rsid w:val="00C17F72"/>
    <w:rsid w:val="00C20164"/>
    <w:rsid w:val="00C2040C"/>
    <w:rsid w:val="00C208FD"/>
    <w:rsid w:val="00C21456"/>
    <w:rsid w:val="00C21A42"/>
    <w:rsid w:val="00C21B0B"/>
    <w:rsid w:val="00C21C96"/>
    <w:rsid w:val="00C22195"/>
    <w:rsid w:val="00C22347"/>
    <w:rsid w:val="00C22467"/>
    <w:rsid w:val="00C2338C"/>
    <w:rsid w:val="00C23436"/>
    <w:rsid w:val="00C23E36"/>
    <w:rsid w:val="00C23FE8"/>
    <w:rsid w:val="00C241B1"/>
    <w:rsid w:val="00C244A4"/>
    <w:rsid w:val="00C245D8"/>
    <w:rsid w:val="00C246B9"/>
    <w:rsid w:val="00C24AE4"/>
    <w:rsid w:val="00C24B01"/>
    <w:rsid w:val="00C24B33"/>
    <w:rsid w:val="00C24FAD"/>
    <w:rsid w:val="00C250B1"/>
    <w:rsid w:val="00C257EA"/>
    <w:rsid w:val="00C25C10"/>
    <w:rsid w:val="00C26457"/>
    <w:rsid w:val="00C269BD"/>
    <w:rsid w:val="00C26F33"/>
    <w:rsid w:val="00C27114"/>
    <w:rsid w:val="00C2712C"/>
    <w:rsid w:val="00C2718F"/>
    <w:rsid w:val="00C27582"/>
    <w:rsid w:val="00C27743"/>
    <w:rsid w:val="00C27759"/>
    <w:rsid w:val="00C27BD4"/>
    <w:rsid w:val="00C27C27"/>
    <w:rsid w:val="00C27D2D"/>
    <w:rsid w:val="00C27E3E"/>
    <w:rsid w:val="00C30094"/>
    <w:rsid w:val="00C303F8"/>
    <w:rsid w:val="00C311E5"/>
    <w:rsid w:val="00C312FD"/>
    <w:rsid w:val="00C31A2F"/>
    <w:rsid w:val="00C31C65"/>
    <w:rsid w:val="00C31C7F"/>
    <w:rsid w:val="00C31F78"/>
    <w:rsid w:val="00C3208E"/>
    <w:rsid w:val="00C32626"/>
    <w:rsid w:val="00C33168"/>
    <w:rsid w:val="00C333FF"/>
    <w:rsid w:val="00C33481"/>
    <w:rsid w:val="00C33509"/>
    <w:rsid w:val="00C3375D"/>
    <w:rsid w:val="00C33E94"/>
    <w:rsid w:val="00C3454A"/>
    <w:rsid w:val="00C3519B"/>
    <w:rsid w:val="00C351E5"/>
    <w:rsid w:val="00C354E3"/>
    <w:rsid w:val="00C35C2B"/>
    <w:rsid w:val="00C36044"/>
    <w:rsid w:val="00C361CA"/>
    <w:rsid w:val="00C3632E"/>
    <w:rsid w:val="00C36337"/>
    <w:rsid w:val="00C36432"/>
    <w:rsid w:val="00C369CD"/>
    <w:rsid w:val="00C36A4C"/>
    <w:rsid w:val="00C36A5E"/>
    <w:rsid w:val="00C36E4C"/>
    <w:rsid w:val="00C37178"/>
    <w:rsid w:val="00C373F6"/>
    <w:rsid w:val="00C3745F"/>
    <w:rsid w:val="00C37D9D"/>
    <w:rsid w:val="00C37DD0"/>
    <w:rsid w:val="00C37EA0"/>
    <w:rsid w:val="00C4005C"/>
    <w:rsid w:val="00C40263"/>
    <w:rsid w:val="00C40280"/>
    <w:rsid w:val="00C40295"/>
    <w:rsid w:val="00C4050E"/>
    <w:rsid w:val="00C4053D"/>
    <w:rsid w:val="00C40A2B"/>
    <w:rsid w:val="00C40BC6"/>
    <w:rsid w:val="00C40BCC"/>
    <w:rsid w:val="00C40E52"/>
    <w:rsid w:val="00C4154B"/>
    <w:rsid w:val="00C41DC7"/>
    <w:rsid w:val="00C41E2A"/>
    <w:rsid w:val="00C420E7"/>
    <w:rsid w:val="00C428C4"/>
    <w:rsid w:val="00C42BA1"/>
    <w:rsid w:val="00C42C27"/>
    <w:rsid w:val="00C433CB"/>
    <w:rsid w:val="00C43797"/>
    <w:rsid w:val="00C437DE"/>
    <w:rsid w:val="00C43BB5"/>
    <w:rsid w:val="00C43BCA"/>
    <w:rsid w:val="00C43C10"/>
    <w:rsid w:val="00C43DC4"/>
    <w:rsid w:val="00C441F9"/>
    <w:rsid w:val="00C444F0"/>
    <w:rsid w:val="00C44B3A"/>
    <w:rsid w:val="00C44C05"/>
    <w:rsid w:val="00C44C25"/>
    <w:rsid w:val="00C45782"/>
    <w:rsid w:val="00C45D4C"/>
    <w:rsid w:val="00C45E2C"/>
    <w:rsid w:val="00C45EBB"/>
    <w:rsid w:val="00C4633C"/>
    <w:rsid w:val="00C465DD"/>
    <w:rsid w:val="00C465E2"/>
    <w:rsid w:val="00C469D3"/>
    <w:rsid w:val="00C46DB6"/>
    <w:rsid w:val="00C46F3B"/>
    <w:rsid w:val="00C47261"/>
    <w:rsid w:val="00C47B80"/>
    <w:rsid w:val="00C47E93"/>
    <w:rsid w:val="00C50091"/>
    <w:rsid w:val="00C50479"/>
    <w:rsid w:val="00C506D8"/>
    <w:rsid w:val="00C50D1B"/>
    <w:rsid w:val="00C50EA5"/>
    <w:rsid w:val="00C512F7"/>
    <w:rsid w:val="00C51361"/>
    <w:rsid w:val="00C51757"/>
    <w:rsid w:val="00C51D1B"/>
    <w:rsid w:val="00C5209A"/>
    <w:rsid w:val="00C52167"/>
    <w:rsid w:val="00C524D8"/>
    <w:rsid w:val="00C525F3"/>
    <w:rsid w:val="00C52A9C"/>
    <w:rsid w:val="00C52ABA"/>
    <w:rsid w:val="00C52B4E"/>
    <w:rsid w:val="00C53078"/>
    <w:rsid w:val="00C53780"/>
    <w:rsid w:val="00C53907"/>
    <w:rsid w:val="00C53D8D"/>
    <w:rsid w:val="00C53EA5"/>
    <w:rsid w:val="00C5411E"/>
    <w:rsid w:val="00C5454B"/>
    <w:rsid w:val="00C54806"/>
    <w:rsid w:val="00C54DD4"/>
    <w:rsid w:val="00C552F0"/>
    <w:rsid w:val="00C555C3"/>
    <w:rsid w:val="00C5584F"/>
    <w:rsid w:val="00C55901"/>
    <w:rsid w:val="00C55B8E"/>
    <w:rsid w:val="00C55C64"/>
    <w:rsid w:val="00C55D45"/>
    <w:rsid w:val="00C55DC7"/>
    <w:rsid w:val="00C55F4A"/>
    <w:rsid w:val="00C55F5B"/>
    <w:rsid w:val="00C56290"/>
    <w:rsid w:val="00C571A8"/>
    <w:rsid w:val="00C572D3"/>
    <w:rsid w:val="00C57324"/>
    <w:rsid w:val="00C60076"/>
    <w:rsid w:val="00C60215"/>
    <w:rsid w:val="00C6047D"/>
    <w:rsid w:val="00C6096A"/>
    <w:rsid w:val="00C60A11"/>
    <w:rsid w:val="00C60D8D"/>
    <w:rsid w:val="00C60E6B"/>
    <w:rsid w:val="00C611EF"/>
    <w:rsid w:val="00C612CE"/>
    <w:rsid w:val="00C616A8"/>
    <w:rsid w:val="00C61783"/>
    <w:rsid w:val="00C617DC"/>
    <w:rsid w:val="00C61A06"/>
    <w:rsid w:val="00C61DCF"/>
    <w:rsid w:val="00C61FC5"/>
    <w:rsid w:val="00C62247"/>
    <w:rsid w:val="00C623AA"/>
    <w:rsid w:val="00C62539"/>
    <w:rsid w:val="00C6269C"/>
    <w:rsid w:val="00C62963"/>
    <w:rsid w:val="00C638F0"/>
    <w:rsid w:val="00C63D8C"/>
    <w:rsid w:val="00C644D3"/>
    <w:rsid w:val="00C6492A"/>
    <w:rsid w:val="00C64ABF"/>
    <w:rsid w:val="00C64AE6"/>
    <w:rsid w:val="00C64D24"/>
    <w:rsid w:val="00C64D79"/>
    <w:rsid w:val="00C64E7A"/>
    <w:rsid w:val="00C65173"/>
    <w:rsid w:val="00C65642"/>
    <w:rsid w:val="00C658C8"/>
    <w:rsid w:val="00C65CCC"/>
    <w:rsid w:val="00C65D44"/>
    <w:rsid w:val="00C65DCD"/>
    <w:rsid w:val="00C65EC8"/>
    <w:rsid w:val="00C662A1"/>
    <w:rsid w:val="00C66423"/>
    <w:rsid w:val="00C66E67"/>
    <w:rsid w:val="00C66F12"/>
    <w:rsid w:val="00C6743A"/>
    <w:rsid w:val="00C67658"/>
    <w:rsid w:val="00C67778"/>
    <w:rsid w:val="00C67898"/>
    <w:rsid w:val="00C67F0B"/>
    <w:rsid w:val="00C70134"/>
    <w:rsid w:val="00C70771"/>
    <w:rsid w:val="00C71006"/>
    <w:rsid w:val="00C711E6"/>
    <w:rsid w:val="00C712C9"/>
    <w:rsid w:val="00C7169D"/>
    <w:rsid w:val="00C7173D"/>
    <w:rsid w:val="00C71B0D"/>
    <w:rsid w:val="00C71E84"/>
    <w:rsid w:val="00C72207"/>
    <w:rsid w:val="00C72224"/>
    <w:rsid w:val="00C72514"/>
    <w:rsid w:val="00C72941"/>
    <w:rsid w:val="00C72DF8"/>
    <w:rsid w:val="00C72E2F"/>
    <w:rsid w:val="00C733C9"/>
    <w:rsid w:val="00C73525"/>
    <w:rsid w:val="00C73926"/>
    <w:rsid w:val="00C739D1"/>
    <w:rsid w:val="00C73A0C"/>
    <w:rsid w:val="00C74203"/>
    <w:rsid w:val="00C7440F"/>
    <w:rsid w:val="00C7464A"/>
    <w:rsid w:val="00C751CE"/>
    <w:rsid w:val="00C755B9"/>
    <w:rsid w:val="00C75694"/>
    <w:rsid w:val="00C75CF9"/>
    <w:rsid w:val="00C75F0C"/>
    <w:rsid w:val="00C76165"/>
    <w:rsid w:val="00C765EC"/>
    <w:rsid w:val="00C7670E"/>
    <w:rsid w:val="00C76B7E"/>
    <w:rsid w:val="00C76D41"/>
    <w:rsid w:val="00C775BD"/>
    <w:rsid w:val="00C777A0"/>
    <w:rsid w:val="00C778C1"/>
    <w:rsid w:val="00C77C66"/>
    <w:rsid w:val="00C77CE4"/>
    <w:rsid w:val="00C77E48"/>
    <w:rsid w:val="00C80088"/>
    <w:rsid w:val="00C80162"/>
    <w:rsid w:val="00C80A99"/>
    <w:rsid w:val="00C80B07"/>
    <w:rsid w:val="00C80B11"/>
    <w:rsid w:val="00C80C46"/>
    <w:rsid w:val="00C80F16"/>
    <w:rsid w:val="00C81B55"/>
    <w:rsid w:val="00C81D44"/>
    <w:rsid w:val="00C81FEF"/>
    <w:rsid w:val="00C8208F"/>
    <w:rsid w:val="00C821E9"/>
    <w:rsid w:val="00C82219"/>
    <w:rsid w:val="00C82377"/>
    <w:rsid w:val="00C8256D"/>
    <w:rsid w:val="00C82734"/>
    <w:rsid w:val="00C8294F"/>
    <w:rsid w:val="00C82C87"/>
    <w:rsid w:val="00C83481"/>
    <w:rsid w:val="00C83939"/>
    <w:rsid w:val="00C83E4F"/>
    <w:rsid w:val="00C843DE"/>
    <w:rsid w:val="00C84A4A"/>
    <w:rsid w:val="00C84ACA"/>
    <w:rsid w:val="00C84B65"/>
    <w:rsid w:val="00C84EF0"/>
    <w:rsid w:val="00C855F3"/>
    <w:rsid w:val="00C85682"/>
    <w:rsid w:val="00C85BEB"/>
    <w:rsid w:val="00C85E6C"/>
    <w:rsid w:val="00C85EF7"/>
    <w:rsid w:val="00C86234"/>
    <w:rsid w:val="00C8650B"/>
    <w:rsid w:val="00C86672"/>
    <w:rsid w:val="00C86927"/>
    <w:rsid w:val="00C86A60"/>
    <w:rsid w:val="00C86CF0"/>
    <w:rsid w:val="00C8732A"/>
    <w:rsid w:val="00C87492"/>
    <w:rsid w:val="00C874A9"/>
    <w:rsid w:val="00C8784D"/>
    <w:rsid w:val="00C8787D"/>
    <w:rsid w:val="00C87AF7"/>
    <w:rsid w:val="00C87C9F"/>
    <w:rsid w:val="00C87E8B"/>
    <w:rsid w:val="00C87F8D"/>
    <w:rsid w:val="00C900F0"/>
    <w:rsid w:val="00C90512"/>
    <w:rsid w:val="00C905A6"/>
    <w:rsid w:val="00C90DAC"/>
    <w:rsid w:val="00C913FC"/>
    <w:rsid w:val="00C915A9"/>
    <w:rsid w:val="00C91BDF"/>
    <w:rsid w:val="00C91D72"/>
    <w:rsid w:val="00C91E8A"/>
    <w:rsid w:val="00C9206C"/>
    <w:rsid w:val="00C92537"/>
    <w:rsid w:val="00C92DB4"/>
    <w:rsid w:val="00C92E5B"/>
    <w:rsid w:val="00C92F81"/>
    <w:rsid w:val="00C9316B"/>
    <w:rsid w:val="00C93207"/>
    <w:rsid w:val="00C93C21"/>
    <w:rsid w:val="00C93D9C"/>
    <w:rsid w:val="00C93FF8"/>
    <w:rsid w:val="00C9407A"/>
    <w:rsid w:val="00C9420D"/>
    <w:rsid w:val="00C942D7"/>
    <w:rsid w:val="00C94773"/>
    <w:rsid w:val="00C9480D"/>
    <w:rsid w:val="00C94BFC"/>
    <w:rsid w:val="00C94C0D"/>
    <w:rsid w:val="00C950AC"/>
    <w:rsid w:val="00C9558A"/>
    <w:rsid w:val="00C95ABE"/>
    <w:rsid w:val="00C95FBA"/>
    <w:rsid w:val="00C95FF4"/>
    <w:rsid w:val="00C96149"/>
    <w:rsid w:val="00C962F8"/>
    <w:rsid w:val="00C96411"/>
    <w:rsid w:val="00C96863"/>
    <w:rsid w:val="00C96C96"/>
    <w:rsid w:val="00C9778E"/>
    <w:rsid w:val="00C978B9"/>
    <w:rsid w:val="00C97A27"/>
    <w:rsid w:val="00C97EE5"/>
    <w:rsid w:val="00C97FA2"/>
    <w:rsid w:val="00CA0255"/>
    <w:rsid w:val="00CA09D5"/>
    <w:rsid w:val="00CA0D67"/>
    <w:rsid w:val="00CA1117"/>
    <w:rsid w:val="00CA1292"/>
    <w:rsid w:val="00CA12AC"/>
    <w:rsid w:val="00CA15A0"/>
    <w:rsid w:val="00CA15BD"/>
    <w:rsid w:val="00CA168E"/>
    <w:rsid w:val="00CA169D"/>
    <w:rsid w:val="00CA1B7E"/>
    <w:rsid w:val="00CA236D"/>
    <w:rsid w:val="00CA23B8"/>
    <w:rsid w:val="00CA2555"/>
    <w:rsid w:val="00CA25C1"/>
    <w:rsid w:val="00CA26C4"/>
    <w:rsid w:val="00CA299D"/>
    <w:rsid w:val="00CA29FE"/>
    <w:rsid w:val="00CA2AF4"/>
    <w:rsid w:val="00CA2D51"/>
    <w:rsid w:val="00CA2DCC"/>
    <w:rsid w:val="00CA2E5C"/>
    <w:rsid w:val="00CA3338"/>
    <w:rsid w:val="00CA34AA"/>
    <w:rsid w:val="00CA38CF"/>
    <w:rsid w:val="00CA3ADC"/>
    <w:rsid w:val="00CA3C2F"/>
    <w:rsid w:val="00CA410B"/>
    <w:rsid w:val="00CA4366"/>
    <w:rsid w:val="00CA4B89"/>
    <w:rsid w:val="00CA4C7A"/>
    <w:rsid w:val="00CA4D44"/>
    <w:rsid w:val="00CA4FD9"/>
    <w:rsid w:val="00CA4FE5"/>
    <w:rsid w:val="00CA513F"/>
    <w:rsid w:val="00CA515A"/>
    <w:rsid w:val="00CA5250"/>
    <w:rsid w:val="00CA52D8"/>
    <w:rsid w:val="00CA547F"/>
    <w:rsid w:val="00CA5C98"/>
    <w:rsid w:val="00CA5EED"/>
    <w:rsid w:val="00CA62C2"/>
    <w:rsid w:val="00CA64CA"/>
    <w:rsid w:val="00CA66DC"/>
    <w:rsid w:val="00CA67F9"/>
    <w:rsid w:val="00CA6AA7"/>
    <w:rsid w:val="00CA6B48"/>
    <w:rsid w:val="00CA6B69"/>
    <w:rsid w:val="00CA6BCA"/>
    <w:rsid w:val="00CA6C1D"/>
    <w:rsid w:val="00CA6D5C"/>
    <w:rsid w:val="00CA6DAD"/>
    <w:rsid w:val="00CA713D"/>
    <w:rsid w:val="00CA7585"/>
    <w:rsid w:val="00CA76DD"/>
    <w:rsid w:val="00CA77D9"/>
    <w:rsid w:val="00CA78F2"/>
    <w:rsid w:val="00CA7BA6"/>
    <w:rsid w:val="00CA7D92"/>
    <w:rsid w:val="00CA7F3E"/>
    <w:rsid w:val="00CA7F9A"/>
    <w:rsid w:val="00CB06B8"/>
    <w:rsid w:val="00CB09F7"/>
    <w:rsid w:val="00CB0AB3"/>
    <w:rsid w:val="00CB0D20"/>
    <w:rsid w:val="00CB1A0C"/>
    <w:rsid w:val="00CB1A82"/>
    <w:rsid w:val="00CB1A8C"/>
    <w:rsid w:val="00CB1C4A"/>
    <w:rsid w:val="00CB1C82"/>
    <w:rsid w:val="00CB205B"/>
    <w:rsid w:val="00CB2369"/>
    <w:rsid w:val="00CB2BAF"/>
    <w:rsid w:val="00CB2C04"/>
    <w:rsid w:val="00CB310D"/>
    <w:rsid w:val="00CB3307"/>
    <w:rsid w:val="00CB3596"/>
    <w:rsid w:val="00CB387F"/>
    <w:rsid w:val="00CB38A4"/>
    <w:rsid w:val="00CB3C34"/>
    <w:rsid w:val="00CB408D"/>
    <w:rsid w:val="00CB46BB"/>
    <w:rsid w:val="00CB4770"/>
    <w:rsid w:val="00CB47F0"/>
    <w:rsid w:val="00CB4C98"/>
    <w:rsid w:val="00CB50D9"/>
    <w:rsid w:val="00CB5331"/>
    <w:rsid w:val="00CB53EC"/>
    <w:rsid w:val="00CB571B"/>
    <w:rsid w:val="00CB583B"/>
    <w:rsid w:val="00CB62F1"/>
    <w:rsid w:val="00CB64F7"/>
    <w:rsid w:val="00CB6691"/>
    <w:rsid w:val="00CB6F0E"/>
    <w:rsid w:val="00CB6F4E"/>
    <w:rsid w:val="00CB6F63"/>
    <w:rsid w:val="00CB717B"/>
    <w:rsid w:val="00CB72B9"/>
    <w:rsid w:val="00CB7471"/>
    <w:rsid w:val="00CB7770"/>
    <w:rsid w:val="00CB7C7B"/>
    <w:rsid w:val="00CB7E6E"/>
    <w:rsid w:val="00CC0184"/>
    <w:rsid w:val="00CC05FE"/>
    <w:rsid w:val="00CC072C"/>
    <w:rsid w:val="00CC0A7C"/>
    <w:rsid w:val="00CC0A9F"/>
    <w:rsid w:val="00CC12F0"/>
    <w:rsid w:val="00CC15ED"/>
    <w:rsid w:val="00CC1BA5"/>
    <w:rsid w:val="00CC1EF3"/>
    <w:rsid w:val="00CC1F77"/>
    <w:rsid w:val="00CC2352"/>
    <w:rsid w:val="00CC253C"/>
    <w:rsid w:val="00CC264D"/>
    <w:rsid w:val="00CC2A0C"/>
    <w:rsid w:val="00CC2A63"/>
    <w:rsid w:val="00CC314E"/>
    <w:rsid w:val="00CC3C48"/>
    <w:rsid w:val="00CC4211"/>
    <w:rsid w:val="00CC4272"/>
    <w:rsid w:val="00CC46CD"/>
    <w:rsid w:val="00CC4B33"/>
    <w:rsid w:val="00CC4B90"/>
    <w:rsid w:val="00CC515B"/>
    <w:rsid w:val="00CC527F"/>
    <w:rsid w:val="00CC5515"/>
    <w:rsid w:val="00CC59FD"/>
    <w:rsid w:val="00CC5AED"/>
    <w:rsid w:val="00CC6197"/>
    <w:rsid w:val="00CC6B0A"/>
    <w:rsid w:val="00CC6CE9"/>
    <w:rsid w:val="00CC6D4B"/>
    <w:rsid w:val="00CC70BA"/>
    <w:rsid w:val="00CC72AF"/>
    <w:rsid w:val="00CC77A6"/>
    <w:rsid w:val="00CC7B5D"/>
    <w:rsid w:val="00CC7B8C"/>
    <w:rsid w:val="00CC7DE7"/>
    <w:rsid w:val="00CD0105"/>
    <w:rsid w:val="00CD013D"/>
    <w:rsid w:val="00CD02A5"/>
    <w:rsid w:val="00CD0485"/>
    <w:rsid w:val="00CD0551"/>
    <w:rsid w:val="00CD08AE"/>
    <w:rsid w:val="00CD096B"/>
    <w:rsid w:val="00CD1031"/>
    <w:rsid w:val="00CD10B6"/>
    <w:rsid w:val="00CD11C7"/>
    <w:rsid w:val="00CD19C1"/>
    <w:rsid w:val="00CD1C4B"/>
    <w:rsid w:val="00CD1E28"/>
    <w:rsid w:val="00CD1F2F"/>
    <w:rsid w:val="00CD1F95"/>
    <w:rsid w:val="00CD2691"/>
    <w:rsid w:val="00CD32F2"/>
    <w:rsid w:val="00CD3A96"/>
    <w:rsid w:val="00CD3F6D"/>
    <w:rsid w:val="00CD4268"/>
    <w:rsid w:val="00CD42F5"/>
    <w:rsid w:val="00CD5540"/>
    <w:rsid w:val="00CD5710"/>
    <w:rsid w:val="00CD5E07"/>
    <w:rsid w:val="00CD5EF7"/>
    <w:rsid w:val="00CD5F0B"/>
    <w:rsid w:val="00CD5FD4"/>
    <w:rsid w:val="00CD63EF"/>
    <w:rsid w:val="00CD6414"/>
    <w:rsid w:val="00CD67E2"/>
    <w:rsid w:val="00CD6B7F"/>
    <w:rsid w:val="00CD70BB"/>
    <w:rsid w:val="00CD71E0"/>
    <w:rsid w:val="00CD72E5"/>
    <w:rsid w:val="00CD75D9"/>
    <w:rsid w:val="00CD78AA"/>
    <w:rsid w:val="00CE0240"/>
    <w:rsid w:val="00CE05A6"/>
    <w:rsid w:val="00CE089E"/>
    <w:rsid w:val="00CE0A61"/>
    <w:rsid w:val="00CE0E94"/>
    <w:rsid w:val="00CE155B"/>
    <w:rsid w:val="00CE16A6"/>
    <w:rsid w:val="00CE17F8"/>
    <w:rsid w:val="00CE1CE6"/>
    <w:rsid w:val="00CE1DD2"/>
    <w:rsid w:val="00CE268A"/>
    <w:rsid w:val="00CE2DC7"/>
    <w:rsid w:val="00CE35C9"/>
    <w:rsid w:val="00CE3942"/>
    <w:rsid w:val="00CE3D3A"/>
    <w:rsid w:val="00CE3FC2"/>
    <w:rsid w:val="00CE44C3"/>
    <w:rsid w:val="00CE4519"/>
    <w:rsid w:val="00CE4890"/>
    <w:rsid w:val="00CE48E3"/>
    <w:rsid w:val="00CE5162"/>
    <w:rsid w:val="00CE558E"/>
    <w:rsid w:val="00CE55C8"/>
    <w:rsid w:val="00CE574D"/>
    <w:rsid w:val="00CE5C09"/>
    <w:rsid w:val="00CE6678"/>
    <w:rsid w:val="00CE68A3"/>
    <w:rsid w:val="00CE68F5"/>
    <w:rsid w:val="00CE6975"/>
    <w:rsid w:val="00CE6C0A"/>
    <w:rsid w:val="00CE6DFF"/>
    <w:rsid w:val="00CE6EAF"/>
    <w:rsid w:val="00CE73EE"/>
    <w:rsid w:val="00CE7789"/>
    <w:rsid w:val="00CE798E"/>
    <w:rsid w:val="00CE7C53"/>
    <w:rsid w:val="00CF0041"/>
    <w:rsid w:val="00CF0503"/>
    <w:rsid w:val="00CF0B3B"/>
    <w:rsid w:val="00CF0E35"/>
    <w:rsid w:val="00CF0F30"/>
    <w:rsid w:val="00CF1935"/>
    <w:rsid w:val="00CF1B0E"/>
    <w:rsid w:val="00CF1E7E"/>
    <w:rsid w:val="00CF2015"/>
    <w:rsid w:val="00CF2155"/>
    <w:rsid w:val="00CF215E"/>
    <w:rsid w:val="00CF24B6"/>
    <w:rsid w:val="00CF271C"/>
    <w:rsid w:val="00CF2830"/>
    <w:rsid w:val="00CF2E5C"/>
    <w:rsid w:val="00CF3378"/>
    <w:rsid w:val="00CF33BB"/>
    <w:rsid w:val="00CF380A"/>
    <w:rsid w:val="00CF424D"/>
    <w:rsid w:val="00CF427C"/>
    <w:rsid w:val="00CF42CB"/>
    <w:rsid w:val="00CF43E1"/>
    <w:rsid w:val="00CF45FE"/>
    <w:rsid w:val="00CF47E8"/>
    <w:rsid w:val="00CF4C8F"/>
    <w:rsid w:val="00CF4D12"/>
    <w:rsid w:val="00CF4D29"/>
    <w:rsid w:val="00CF518F"/>
    <w:rsid w:val="00CF51DC"/>
    <w:rsid w:val="00CF53E0"/>
    <w:rsid w:val="00CF562C"/>
    <w:rsid w:val="00CF58B7"/>
    <w:rsid w:val="00CF5A12"/>
    <w:rsid w:val="00CF5A75"/>
    <w:rsid w:val="00CF5B40"/>
    <w:rsid w:val="00CF5E9C"/>
    <w:rsid w:val="00CF609F"/>
    <w:rsid w:val="00CF6170"/>
    <w:rsid w:val="00CF6258"/>
    <w:rsid w:val="00CF6763"/>
    <w:rsid w:val="00CF6899"/>
    <w:rsid w:val="00CF7137"/>
    <w:rsid w:val="00CF7DB5"/>
    <w:rsid w:val="00CF7E50"/>
    <w:rsid w:val="00CF7E78"/>
    <w:rsid w:val="00D0007D"/>
    <w:rsid w:val="00D00494"/>
    <w:rsid w:val="00D00979"/>
    <w:rsid w:val="00D009F4"/>
    <w:rsid w:val="00D00A19"/>
    <w:rsid w:val="00D00AF1"/>
    <w:rsid w:val="00D00D75"/>
    <w:rsid w:val="00D0177C"/>
    <w:rsid w:val="00D01BBF"/>
    <w:rsid w:val="00D01DFE"/>
    <w:rsid w:val="00D01EA7"/>
    <w:rsid w:val="00D023BD"/>
    <w:rsid w:val="00D024C8"/>
    <w:rsid w:val="00D0251E"/>
    <w:rsid w:val="00D0298E"/>
    <w:rsid w:val="00D02A8F"/>
    <w:rsid w:val="00D02CB1"/>
    <w:rsid w:val="00D02E0E"/>
    <w:rsid w:val="00D02F2F"/>
    <w:rsid w:val="00D030CC"/>
    <w:rsid w:val="00D03605"/>
    <w:rsid w:val="00D0369B"/>
    <w:rsid w:val="00D0384D"/>
    <w:rsid w:val="00D03D83"/>
    <w:rsid w:val="00D03E82"/>
    <w:rsid w:val="00D04230"/>
    <w:rsid w:val="00D042DB"/>
    <w:rsid w:val="00D04678"/>
    <w:rsid w:val="00D049F4"/>
    <w:rsid w:val="00D05316"/>
    <w:rsid w:val="00D0566D"/>
    <w:rsid w:val="00D05A05"/>
    <w:rsid w:val="00D05A2E"/>
    <w:rsid w:val="00D05AE1"/>
    <w:rsid w:val="00D05FB4"/>
    <w:rsid w:val="00D06106"/>
    <w:rsid w:val="00D06D01"/>
    <w:rsid w:val="00D06FE0"/>
    <w:rsid w:val="00D07375"/>
    <w:rsid w:val="00D078F6"/>
    <w:rsid w:val="00D07BB8"/>
    <w:rsid w:val="00D07E88"/>
    <w:rsid w:val="00D101AD"/>
    <w:rsid w:val="00D10250"/>
    <w:rsid w:val="00D103F7"/>
    <w:rsid w:val="00D105C4"/>
    <w:rsid w:val="00D10670"/>
    <w:rsid w:val="00D10680"/>
    <w:rsid w:val="00D1069A"/>
    <w:rsid w:val="00D108FF"/>
    <w:rsid w:val="00D10A97"/>
    <w:rsid w:val="00D10C52"/>
    <w:rsid w:val="00D113BF"/>
    <w:rsid w:val="00D1162F"/>
    <w:rsid w:val="00D11A99"/>
    <w:rsid w:val="00D12232"/>
    <w:rsid w:val="00D1254F"/>
    <w:rsid w:val="00D12605"/>
    <w:rsid w:val="00D126A5"/>
    <w:rsid w:val="00D12A81"/>
    <w:rsid w:val="00D12CE7"/>
    <w:rsid w:val="00D13789"/>
    <w:rsid w:val="00D13DA5"/>
    <w:rsid w:val="00D13F28"/>
    <w:rsid w:val="00D1416E"/>
    <w:rsid w:val="00D141FD"/>
    <w:rsid w:val="00D147A4"/>
    <w:rsid w:val="00D148A2"/>
    <w:rsid w:val="00D14E63"/>
    <w:rsid w:val="00D14EC4"/>
    <w:rsid w:val="00D15064"/>
    <w:rsid w:val="00D152C4"/>
    <w:rsid w:val="00D15703"/>
    <w:rsid w:val="00D1575D"/>
    <w:rsid w:val="00D15964"/>
    <w:rsid w:val="00D15982"/>
    <w:rsid w:val="00D15D4F"/>
    <w:rsid w:val="00D16406"/>
    <w:rsid w:val="00D1671E"/>
    <w:rsid w:val="00D1699D"/>
    <w:rsid w:val="00D169C1"/>
    <w:rsid w:val="00D16A0A"/>
    <w:rsid w:val="00D17325"/>
    <w:rsid w:val="00D201E0"/>
    <w:rsid w:val="00D201EB"/>
    <w:rsid w:val="00D204CE"/>
    <w:rsid w:val="00D20B50"/>
    <w:rsid w:val="00D20BEA"/>
    <w:rsid w:val="00D20E38"/>
    <w:rsid w:val="00D21205"/>
    <w:rsid w:val="00D21326"/>
    <w:rsid w:val="00D2140E"/>
    <w:rsid w:val="00D218BB"/>
    <w:rsid w:val="00D22C14"/>
    <w:rsid w:val="00D22EDE"/>
    <w:rsid w:val="00D22F10"/>
    <w:rsid w:val="00D23461"/>
    <w:rsid w:val="00D234D0"/>
    <w:rsid w:val="00D234F9"/>
    <w:rsid w:val="00D23580"/>
    <w:rsid w:val="00D23AA9"/>
    <w:rsid w:val="00D23E79"/>
    <w:rsid w:val="00D2407C"/>
    <w:rsid w:val="00D240EA"/>
    <w:rsid w:val="00D24102"/>
    <w:rsid w:val="00D24384"/>
    <w:rsid w:val="00D24397"/>
    <w:rsid w:val="00D24658"/>
    <w:rsid w:val="00D24BD3"/>
    <w:rsid w:val="00D25352"/>
    <w:rsid w:val="00D25457"/>
    <w:rsid w:val="00D2576C"/>
    <w:rsid w:val="00D25D7D"/>
    <w:rsid w:val="00D262FD"/>
    <w:rsid w:val="00D26689"/>
    <w:rsid w:val="00D26B02"/>
    <w:rsid w:val="00D26E1F"/>
    <w:rsid w:val="00D2720B"/>
    <w:rsid w:val="00D27211"/>
    <w:rsid w:val="00D27A81"/>
    <w:rsid w:val="00D27AC6"/>
    <w:rsid w:val="00D27DB5"/>
    <w:rsid w:val="00D3013E"/>
    <w:rsid w:val="00D30738"/>
    <w:rsid w:val="00D308E7"/>
    <w:rsid w:val="00D30971"/>
    <w:rsid w:val="00D30E5D"/>
    <w:rsid w:val="00D31149"/>
    <w:rsid w:val="00D314B6"/>
    <w:rsid w:val="00D31693"/>
    <w:rsid w:val="00D31E4E"/>
    <w:rsid w:val="00D31ECF"/>
    <w:rsid w:val="00D31FCC"/>
    <w:rsid w:val="00D321C8"/>
    <w:rsid w:val="00D32355"/>
    <w:rsid w:val="00D3256E"/>
    <w:rsid w:val="00D329D6"/>
    <w:rsid w:val="00D32D90"/>
    <w:rsid w:val="00D32DB5"/>
    <w:rsid w:val="00D3369E"/>
    <w:rsid w:val="00D3386D"/>
    <w:rsid w:val="00D33964"/>
    <w:rsid w:val="00D340DA"/>
    <w:rsid w:val="00D345B0"/>
    <w:rsid w:val="00D34946"/>
    <w:rsid w:val="00D34EDA"/>
    <w:rsid w:val="00D34F23"/>
    <w:rsid w:val="00D351C1"/>
    <w:rsid w:val="00D35211"/>
    <w:rsid w:val="00D3559E"/>
    <w:rsid w:val="00D35681"/>
    <w:rsid w:val="00D35731"/>
    <w:rsid w:val="00D358D4"/>
    <w:rsid w:val="00D35C6D"/>
    <w:rsid w:val="00D35EFB"/>
    <w:rsid w:val="00D35F40"/>
    <w:rsid w:val="00D36216"/>
    <w:rsid w:val="00D362A5"/>
    <w:rsid w:val="00D36399"/>
    <w:rsid w:val="00D363AD"/>
    <w:rsid w:val="00D36722"/>
    <w:rsid w:val="00D3698E"/>
    <w:rsid w:val="00D36A9B"/>
    <w:rsid w:val="00D36E48"/>
    <w:rsid w:val="00D37002"/>
    <w:rsid w:val="00D3707D"/>
    <w:rsid w:val="00D37308"/>
    <w:rsid w:val="00D37568"/>
    <w:rsid w:val="00D37835"/>
    <w:rsid w:val="00D3792C"/>
    <w:rsid w:val="00D37E5D"/>
    <w:rsid w:val="00D4012C"/>
    <w:rsid w:val="00D4013C"/>
    <w:rsid w:val="00D40210"/>
    <w:rsid w:val="00D4021C"/>
    <w:rsid w:val="00D403BC"/>
    <w:rsid w:val="00D40AB5"/>
    <w:rsid w:val="00D40AE7"/>
    <w:rsid w:val="00D40C1A"/>
    <w:rsid w:val="00D41213"/>
    <w:rsid w:val="00D415D8"/>
    <w:rsid w:val="00D41A9D"/>
    <w:rsid w:val="00D41E34"/>
    <w:rsid w:val="00D41FB7"/>
    <w:rsid w:val="00D42087"/>
    <w:rsid w:val="00D421E6"/>
    <w:rsid w:val="00D42941"/>
    <w:rsid w:val="00D42984"/>
    <w:rsid w:val="00D42A67"/>
    <w:rsid w:val="00D42AF6"/>
    <w:rsid w:val="00D43035"/>
    <w:rsid w:val="00D4315D"/>
    <w:rsid w:val="00D43168"/>
    <w:rsid w:val="00D431D1"/>
    <w:rsid w:val="00D4362B"/>
    <w:rsid w:val="00D4408A"/>
    <w:rsid w:val="00D44326"/>
    <w:rsid w:val="00D445FE"/>
    <w:rsid w:val="00D44763"/>
    <w:rsid w:val="00D447C6"/>
    <w:rsid w:val="00D4491F"/>
    <w:rsid w:val="00D44D38"/>
    <w:rsid w:val="00D44DB0"/>
    <w:rsid w:val="00D44F59"/>
    <w:rsid w:val="00D4514C"/>
    <w:rsid w:val="00D45212"/>
    <w:rsid w:val="00D45454"/>
    <w:rsid w:val="00D455EE"/>
    <w:rsid w:val="00D456D8"/>
    <w:rsid w:val="00D45AEF"/>
    <w:rsid w:val="00D45B7C"/>
    <w:rsid w:val="00D45F6F"/>
    <w:rsid w:val="00D45FF9"/>
    <w:rsid w:val="00D46289"/>
    <w:rsid w:val="00D46651"/>
    <w:rsid w:val="00D46B8F"/>
    <w:rsid w:val="00D46C86"/>
    <w:rsid w:val="00D46E37"/>
    <w:rsid w:val="00D46E5F"/>
    <w:rsid w:val="00D470BC"/>
    <w:rsid w:val="00D4769B"/>
    <w:rsid w:val="00D4778C"/>
    <w:rsid w:val="00D47D55"/>
    <w:rsid w:val="00D47E05"/>
    <w:rsid w:val="00D50076"/>
    <w:rsid w:val="00D500B8"/>
    <w:rsid w:val="00D500F7"/>
    <w:rsid w:val="00D504B3"/>
    <w:rsid w:val="00D506E7"/>
    <w:rsid w:val="00D50FA3"/>
    <w:rsid w:val="00D51260"/>
    <w:rsid w:val="00D51677"/>
    <w:rsid w:val="00D516D8"/>
    <w:rsid w:val="00D517DF"/>
    <w:rsid w:val="00D51A42"/>
    <w:rsid w:val="00D51F9B"/>
    <w:rsid w:val="00D52307"/>
    <w:rsid w:val="00D526F6"/>
    <w:rsid w:val="00D52FCC"/>
    <w:rsid w:val="00D535C0"/>
    <w:rsid w:val="00D53E88"/>
    <w:rsid w:val="00D54339"/>
    <w:rsid w:val="00D54426"/>
    <w:rsid w:val="00D544D9"/>
    <w:rsid w:val="00D54914"/>
    <w:rsid w:val="00D553F4"/>
    <w:rsid w:val="00D55419"/>
    <w:rsid w:val="00D555EC"/>
    <w:rsid w:val="00D55961"/>
    <w:rsid w:val="00D56088"/>
    <w:rsid w:val="00D5616B"/>
    <w:rsid w:val="00D56419"/>
    <w:rsid w:val="00D56A07"/>
    <w:rsid w:val="00D56C47"/>
    <w:rsid w:val="00D56D5C"/>
    <w:rsid w:val="00D56E7F"/>
    <w:rsid w:val="00D56FED"/>
    <w:rsid w:val="00D57554"/>
    <w:rsid w:val="00D5759A"/>
    <w:rsid w:val="00D57B4D"/>
    <w:rsid w:val="00D6017A"/>
    <w:rsid w:val="00D60817"/>
    <w:rsid w:val="00D60CC9"/>
    <w:rsid w:val="00D60F7C"/>
    <w:rsid w:val="00D60FCA"/>
    <w:rsid w:val="00D61253"/>
    <w:rsid w:val="00D612B9"/>
    <w:rsid w:val="00D61A7D"/>
    <w:rsid w:val="00D61BB4"/>
    <w:rsid w:val="00D61F0E"/>
    <w:rsid w:val="00D61FBD"/>
    <w:rsid w:val="00D62197"/>
    <w:rsid w:val="00D6244D"/>
    <w:rsid w:val="00D62761"/>
    <w:rsid w:val="00D62988"/>
    <w:rsid w:val="00D62B1D"/>
    <w:rsid w:val="00D62B85"/>
    <w:rsid w:val="00D62BDD"/>
    <w:rsid w:val="00D63438"/>
    <w:rsid w:val="00D634FF"/>
    <w:rsid w:val="00D635E4"/>
    <w:rsid w:val="00D64064"/>
    <w:rsid w:val="00D649AF"/>
    <w:rsid w:val="00D64A6D"/>
    <w:rsid w:val="00D64DDA"/>
    <w:rsid w:val="00D65701"/>
    <w:rsid w:val="00D65C35"/>
    <w:rsid w:val="00D65E05"/>
    <w:rsid w:val="00D65FD0"/>
    <w:rsid w:val="00D665B7"/>
    <w:rsid w:val="00D66E07"/>
    <w:rsid w:val="00D66ED7"/>
    <w:rsid w:val="00D67350"/>
    <w:rsid w:val="00D673C5"/>
    <w:rsid w:val="00D67460"/>
    <w:rsid w:val="00D67620"/>
    <w:rsid w:val="00D67930"/>
    <w:rsid w:val="00D67E7E"/>
    <w:rsid w:val="00D67F00"/>
    <w:rsid w:val="00D7005C"/>
    <w:rsid w:val="00D7009B"/>
    <w:rsid w:val="00D70374"/>
    <w:rsid w:val="00D70933"/>
    <w:rsid w:val="00D70C2A"/>
    <w:rsid w:val="00D70D47"/>
    <w:rsid w:val="00D711C2"/>
    <w:rsid w:val="00D712D8"/>
    <w:rsid w:val="00D71784"/>
    <w:rsid w:val="00D7183B"/>
    <w:rsid w:val="00D72121"/>
    <w:rsid w:val="00D72123"/>
    <w:rsid w:val="00D72212"/>
    <w:rsid w:val="00D7239A"/>
    <w:rsid w:val="00D72856"/>
    <w:rsid w:val="00D7289B"/>
    <w:rsid w:val="00D72AFB"/>
    <w:rsid w:val="00D72DE1"/>
    <w:rsid w:val="00D730F4"/>
    <w:rsid w:val="00D73420"/>
    <w:rsid w:val="00D7370A"/>
    <w:rsid w:val="00D73975"/>
    <w:rsid w:val="00D73A7B"/>
    <w:rsid w:val="00D73D62"/>
    <w:rsid w:val="00D746C1"/>
    <w:rsid w:val="00D747A3"/>
    <w:rsid w:val="00D74875"/>
    <w:rsid w:val="00D74A54"/>
    <w:rsid w:val="00D74C75"/>
    <w:rsid w:val="00D74FA4"/>
    <w:rsid w:val="00D75124"/>
    <w:rsid w:val="00D7537A"/>
    <w:rsid w:val="00D753FE"/>
    <w:rsid w:val="00D756AB"/>
    <w:rsid w:val="00D75C55"/>
    <w:rsid w:val="00D761E6"/>
    <w:rsid w:val="00D763E7"/>
    <w:rsid w:val="00D76991"/>
    <w:rsid w:val="00D76B79"/>
    <w:rsid w:val="00D77019"/>
    <w:rsid w:val="00D770AE"/>
    <w:rsid w:val="00D7717B"/>
    <w:rsid w:val="00D77593"/>
    <w:rsid w:val="00D778A8"/>
    <w:rsid w:val="00D77C2A"/>
    <w:rsid w:val="00D77C60"/>
    <w:rsid w:val="00D80134"/>
    <w:rsid w:val="00D80237"/>
    <w:rsid w:val="00D80338"/>
    <w:rsid w:val="00D80686"/>
    <w:rsid w:val="00D8069E"/>
    <w:rsid w:val="00D80940"/>
    <w:rsid w:val="00D80AB6"/>
    <w:rsid w:val="00D80DCB"/>
    <w:rsid w:val="00D80E28"/>
    <w:rsid w:val="00D80FA8"/>
    <w:rsid w:val="00D811CB"/>
    <w:rsid w:val="00D81233"/>
    <w:rsid w:val="00D8154D"/>
    <w:rsid w:val="00D81550"/>
    <w:rsid w:val="00D81695"/>
    <w:rsid w:val="00D81ACD"/>
    <w:rsid w:val="00D81CA5"/>
    <w:rsid w:val="00D81DAD"/>
    <w:rsid w:val="00D822C9"/>
    <w:rsid w:val="00D826AB"/>
    <w:rsid w:val="00D827B4"/>
    <w:rsid w:val="00D8284D"/>
    <w:rsid w:val="00D828BF"/>
    <w:rsid w:val="00D82A3E"/>
    <w:rsid w:val="00D82EDB"/>
    <w:rsid w:val="00D830FA"/>
    <w:rsid w:val="00D834CD"/>
    <w:rsid w:val="00D838C3"/>
    <w:rsid w:val="00D838CA"/>
    <w:rsid w:val="00D839C5"/>
    <w:rsid w:val="00D83A72"/>
    <w:rsid w:val="00D83F5C"/>
    <w:rsid w:val="00D84514"/>
    <w:rsid w:val="00D84924"/>
    <w:rsid w:val="00D84FA1"/>
    <w:rsid w:val="00D84FAD"/>
    <w:rsid w:val="00D8516D"/>
    <w:rsid w:val="00D8532F"/>
    <w:rsid w:val="00D8647B"/>
    <w:rsid w:val="00D86ACB"/>
    <w:rsid w:val="00D86BF0"/>
    <w:rsid w:val="00D86D8F"/>
    <w:rsid w:val="00D8701D"/>
    <w:rsid w:val="00D870FC"/>
    <w:rsid w:val="00D87305"/>
    <w:rsid w:val="00D87547"/>
    <w:rsid w:val="00D87638"/>
    <w:rsid w:val="00D878A8"/>
    <w:rsid w:val="00D87D8A"/>
    <w:rsid w:val="00D87E6F"/>
    <w:rsid w:val="00D90243"/>
    <w:rsid w:val="00D902DC"/>
    <w:rsid w:val="00D90486"/>
    <w:rsid w:val="00D9095E"/>
    <w:rsid w:val="00D90BDA"/>
    <w:rsid w:val="00D90CE7"/>
    <w:rsid w:val="00D90CED"/>
    <w:rsid w:val="00D912A3"/>
    <w:rsid w:val="00D91300"/>
    <w:rsid w:val="00D9148D"/>
    <w:rsid w:val="00D91584"/>
    <w:rsid w:val="00D91E4E"/>
    <w:rsid w:val="00D92911"/>
    <w:rsid w:val="00D92C4E"/>
    <w:rsid w:val="00D92D8A"/>
    <w:rsid w:val="00D92E59"/>
    <w:rsid w:val="00D93258"/>
    <w:rsid w:val="00D9326C"/>
    <w:rsid w:val="00D93449"/>
    <w:rsid w:val="00D934D5"/>
    <w:rsid w:val="00D93BC7"/>
    <w:rsid w:val="00D93C60"/>
    <w:rsid w:val="00D93CE8"/>
    <w:rsid w:val="00D94311"/>
    <w:rsid w:val="00D9448C"/>
    <w:rsid w:val="00D946B7"/>
    <w:rsid w:val="00D946DA"/>
    <w:rsid w:val="00D94843"/>
    <w:rsid w:val="00D94BD4"/>
    <w:rsid w:val="00D94F95"/>
    <w:rsid w:val="00D9521E"/>
    <w:rsid w:val="00D95304"/>
    <w:rsid w:val="00D955A7"/>
    <w:rsid w:val="00D955DF"/>
    <w:rsid w:val="00D95F1D"/>
    <w:rsid w:val="00D96041"/>
    <w:rsid w:val="00D960B8"/>
    <w:rsid w:val="00D9629A"/>
    <w:rsid w:val="00D96513"/>
    <w:rsid w:val="00D96751"/>
    <w:rsid w:val="00D96871"/>
    <w:rsid w:val="00D969F3"/>
    <w:rsid w:val="00D96AE0"/>
    <w:rsid w:val="00D96B5A"/>
    <w:rsid w:val="00D96BE2"/>
    <w:rsid w:val="00D96D0E"/>
    <w:rsid w:val="00D96DFD"/>
    <w:rsid w:val="00D96E1C"/>
    <w:rsid w:val="00D975B6"/>
    <w:rsid w:val="00D97AA0"/>
    <w:rsid w:val="00D97BF7"/>
    <w:rsid w:val="00D97C85"/>
    <w:rsid w:val="00D97E69"/>
    <w:rsid w:val="00D97FA9"/>
    <w:rsid w:val="00DA009E"/>
    <w:rsid w:val="00DA0796"/>
    <w:rsid w:val="00DA1341"/>
    <w:rsid w:val="00DA14E1"/>
    <w:rsid w:val="00DA1872"/>
    <w:rsid w:val="00DA1C60"/>
    <w:rsid w:val="00DA2475"/>
    <w:rsid w:val="00DA2720"/>
    <w:rsid w:val="00DA28A5"/>
    <w:rsid w:val="00DA2C8B"/>
    <w:rsid w:val="00DA2CD5"/>
    <w:rsid w:val="00DA34E6"/>
    <w:rsid w:val="00DA351B"/>
    <w:rsid w:val="00DA3FA9"/>
    <w:rsid w:val="00DA451D"/>
    <w:rsid w:val="00DA459D"/>
    <w:rsid w:val="00DA4806"/>
    <w:rsid w:val="00DA489E"/>
    <w:rsid w:val="00DA4BB3"/>
    <w:rsid w:val="00DA4BDA"/>
    <w:rsid w:val="00DA4DB5"/>
    <w:rsid w:val="00DA4DF8"/>
    <w:rsid w:val="00DA4F7C"/>
    <w:rsid w:val="00DA542E"/>
    <w:rsid w:val="00DA5A9E"/>
    <w:rsid w:val="00DA5ABC"/>
    <w:rsid w:val="00DA5AD9"/>
    <w:rsid w:val="00DA5D08"/>
    <w:rsid w:val="00DA6283"/>
    <w:rsid w:val="00DA6295"/>
    <w:rsid w:val="00DA6296"/>
    <w:rsid w:val="00DA6512"/>
    <w:rsid w:val="00DA6535"/>
    <w:rsid w:val="00DA6A27"/>
    <w:rsid w:val="00DA6D51"/>
    <w:rsid w:val="00DA6DAA"/>
    <w:rsid w:val="00DA6ED9"/>
    <w:rsid w:val="00DA7153"/>
    <w:rsid w:val="00DA786D"/>
    <w:rsid w:val="00DA7950"/>
    <w:rsid w:val="00DA7A28"/>
    <w:rsid w:val="00DA7DD6"/>
    <w:rsid w:val="00DB0C49"/>
    <w:rsid w:val="00DB0C60"/>
    <w:rsid w:val="00DB0DA9"/>
    <w:rsid w:val="00DB0E10"/>
    <w:rsid w:val="00DB1042"/>
    <w:rsid w:val="00DB15EC"/>
    <w:rsid w:val="00DB1802"/>
    <w:rsid w:val="00DB1907"/>
    <w:rsid w:val="00DB1B6C"/>
    <w:rsid w:val="00DB1C00"/>
    <w:rsid w:val="00DB1E40"/>
    <w:rsid w:val="00DB1E74"/>
    <w:rsid w:val="00DB23FF"/>
    <w:rsid w:val="00DB28A9"/>
    <w:rsid w:val="00DB29F4"/>
    <w:rsid w:val="00DB2FA6"/>
    <w:rsid w:val="00DB3021"/>
    <w:rsid w:val="00DB3296"/>
    <w:rsid w:val="00DB351E"/>
    <w:rsid w:val="00DB358F"/>
    <w:rsid w:val="00DB3D89"/>
    <w:rsid w:val="00DB3EC4"/>
    <w:rsid w:val="00DB4150"/>
    <w:rsid w:val="00DB4224"/>
    <w:rsid w:val="00DB464C"/>
    <w:rsid w:val="00DB4663"/>
    <w:rsid w:val="00DB47E5"/>
    <w:rsid w:val="00DB4848"/>
    <w:rsid w:val="00DB520E"/>
    <w:rsid w:val="00DB55F1"/>
    <w:rsid w:val="00DB568A"/>
    <w:rsid w:val="00DB5C48"/>
    <w:rsid w:val="00DB5F3E"/>
    <w:rsid w:val="00DB5FC2"/>
    <w:rsid w:val="00DB61DC"/>
    <w:rsid w:val="00DB62EA"/>
    <w:rsid w:val="00DB6462"/>
    <w:rsid w:val="00DB6A5B"/>
    <w:rsid w:val="00DB6EF9"/>
    <w:rsid w:val="00DB7951"/>
    <w:rsid w:val="00DB7A46"/>
    <w:rsid w:val="00DB7BAC"/>
    <w:rsid w:val="00DB7ECB"/>
    <w:rsid w:val="00DC01EC"/>
    <w:rsid w:val="00DC0F86"/>
    <w:rsid w:val="00DC1237"/>
    <w:rsid w:val="00DC13F7"/>
    <w:rsid w:val="00DC158B"/>
    <w:rsid w:val="00DC1A63"/>
    <w:rsid w:val="00DC1A67"/>
    <w:rsid w:val="00DC1AE2"/>
    <w:rsid w:val="00DC2050"/>
    <w:rsid w:val="00DC227C"/>
    <w:rsid w:val="00DC2938"/>
    <w:rsid w:val="00DC2AFE"/>
    <w:rsid w:val="00DC2D17"/>
    <w:rsid w:val="00DC33BB"/>
    <w:rsid w:val="00DC33EC"/>
    <w:rsid w:val="00DC359D"/>
    <w:rsid w:val="00DC3F76"/>
    <w:rsid w:val="00DC4041"/>
    <w:rsid w:val="00DC4496"/>
    <w:rsid w:val="00DC479E"/>
    <w:rsid w:val="00DC4A10"/>
    <w:rsid w:val="00DC4B34"/>
    <w:rsid w:val="00DC4B99"/>
    <w:rsid w:val="00DC4DDC"/>
    <w:rsid w:val="00DC4E5A"/>
    <w:rsid w:val="00DC4F67"/>
    <w:rsid w:val="00DC5642"/>
    <w:rsid w:val="00DC5CC0"/>
    <w:rsid w:val="00DC5D8F"/>
    <w:rsid w:val="00DC6176"/>
    <w:rsid w:val="00DC6263"/>
    <w:rsid w:val="00DC63D4"/>
    <w:rsid w:val="00DC6A42"/>
    <w:rsid w:val="00DC6D13"/>
    <w:rsid w:val="00DC6D6D"/>
    <w:rsid w:val="00DC6F1C"/>
    <w:rsid w:val="00DC6F90"/>
    <w:rsid w:val="00DC7294"/>
    <w:rsid w:val="00DC769D"/>
    <w:rsid w:val="00DC7BC2"/>
    <w:rsid w:val="00DC7CC5"/>
    <w:rsid w:val="00DC7FF5"/>
    <w:rsid w:val="00DD0346"/>
    <w:rsid w:val="00DD0A82"/>
    <w:rsid w:val="00DD109A"/>
    <w:rsid w:val="00DD10A3"/>
    <w:rsid w:val="00DD10A6"/>
    <w:rsid w:val="00DD14D2"/>
    <w:rsid w:val="00DD15EA"/>
    <w:rsid w:val="00DD1918"/>
    <w:rsid w:val="00DD1A15"/>
    <w:rsid w:val="00DD1BA9"/>
    <w:rsid w:val="00DD1D1D"/>
    <w:rsid w:val="00DD1EC6"/>
    <w:rsid w:val="00DD2366"/>
    <w:rsid w:val="00DD25B8"/>
    <w:rsid w:val="00DD2C17"/>
    <w:rsid w:val="00DD351F"/>
    <w:rsid w:val="00DD3551"/>
    <w:rsid w:val="00DD36C0"/>
    <w:rsid w:val="00DD370B"/>
    <w:rsid w:val="00DD3BEA"/>
    <w:rsid w:val="00DD3CEF"/>
    <w:rsid w:val="00DD4114"/>
    <w:rsid w:val="00DD4646"/>
    <w:rsid w:val="00DD4A05"/>
    <w:rsid w:val="00DD4AB5"/>
    <w:rsid w:val="00DD4D21"/>
    <w:rsid w:val="00DD4E05"/>
    <w:rsid w:val="00DD4F85"/>
    <w:rsid w:val="00DD549A"/>
    <w:rsid w:val="00DD5762"/>
    <w:rsid w:val="00DD5D9C"/>
    <w:rsid w:val="00DD621F"/>
    <w:rsid w:val="00DD6230"/>
    <w:rsid w:val="00DD6253"/>
    <w:rsid w:val="00DD626E"/>
    <w:rsid w:val="00DD65F6"/>
    <w:rsid w:val="00DD66C2"/>
    <w:rsid w:val="00DD6A3E"/>
    <w:rsid w:val="00DD6CC8"/>
    <w:rsid w:val="00DD6D52"/>
    <w:rsid w:val="00DD70C2"/>
    <w:rsid w:val="00DD70E4"/>
    <w:rsid w:val="00DD715C"/>
    <w:rsid w:val="00DD725C"/>
    <w:rsid w:val="00DD749A"/>
    <w:rsid w:val="00DD7817"/>
    <w:rsid w:val="00DD7999"/>
    <w:rsid w:val="00DD7BF8"/>
    <w:rsid w:val="00DE0066"/>
    <w:rsid w:val="00DE015B"/>
    <w:rsid w:val="00DE0201"/>
    <w:rsid w:val="00DE0285"/>
    <w:rsid w:val="00DE0384"/>
    <w:rsid w:val="00DE045A"/>
    <w:rsid w:val="00DE070D"/>
    <w:rsid w:val="00DE0962"/>
    <w:rsid w:val="00DE0BA8"/>
    <w:rsid w:val="00DE0CA2"/>
    <w:rsid w:val="00DE0EB8"/>
    <w:rsid w:val="00DE0FB4"/>
    <w:rsid w:val="00DE119D"/>
    <w:rsid w:val="00DE12D2"/>
    <w:rsid w:val="00DE1A13"/>
    <w:rsid w:val="00DE1D00"/>
    <w:rsid w:val="00DE2437"/>
    <w:rsid w:val="00DE30D8"/>
    <w:rsid w:val="00DE382C"/>
    <w:rsid w:val="00DE3901"/>
    <w:rsid w:val="00DE3A13"/>
    <w:rsid w:val="00DE3A80"/>
    <w:rsid w:val="00DE3BD0"/>
    <w:rsid w:val="00DE425E"/>
    <w:rsid w:val="00DE43A1"/>
    <w:rsid w:val="00DE4A1B"/>
    <w:rsid w:val="00DE52DB"/>
    <w:rsid w:val="00DE5444"/>
    <w:rsid w:val="00DE57D5"/>
    <w:rsid w:val="00DE5944"/>
    <w:rsid w:val="00DE5A12"/>
    <w:rsid w:val="00DE5BFD"/>
    <w:rsid w:val="00DE6340"/>
    <w:rsid w:val="00DE65C5"/>
    <w:rsid w:val="00DE6623"/>
    <w:rsid w:val="00DE67B4"/>
    <w:rsid w:val="00DE6C2B"/>
    <w:rsid w:val="00DE7080"/>
    <w:rsid w:val="00DE7139"/>
    <w:rsid w:val="00DE71DA"/>
    <w:rsid w:val="00DE72B7"/>
    <w:rsid w:val="00DE76E9"/>
    <w:rsid w:val="00DE7866"/>
    <w:rsid w:val="00DE7BDD"/>
    <w:rsid w:val="00DF0045"/>
    <w:rsid w:val="00DF00FB"/>
    <w:rsid w:val="00DF0423"/>
    <w:rsid w:val="00DF0F77"/>
    <w:rsid w:val="00DF1061"/>
    <w:rsid w:val="00DF10A2"/>
    <w:rsid w:val="00DF1F48"/>
    <w:rsid w:val="00DF2010"/>
    <w:rsid w:val="00DF2966"/>
    <w:rsid w:val="00DF2A5B"/>
    <w:rsid w:val="00DF3C0E"/>
    <w:rsid w:val="00DF3C95"/>
    <w:rsid w:val="00DF3EB5"/>
    <w:rsid w:val="00DF40CF"/>
    <w:rsid w:val="00DF41D5"/>
    <w:rsid w:val="00DF44B1"/>
    <w:rsid w:val="00DF496C"/>
    <w:rsid w:val="00DF4C6F"/>
    <w:rsid w:val="00DF5571"/>
    <w:rsid w:val="00DF583C"/>
    <w:rsid w:val="00DF5878"/>
    <w:rsid w:val="00DF5941"/>
    <w:rsid w:val="00DF5942"/>
    <w:rsid w:val="00DF59D7"/>
    <w:rsid w:val="00DF6115"/>
    <w:rsid w:val="00DF6A00"/>
    <w:rsid w:val="00DF6A9C"/>
    <w:rsid w:val="00DF720B"/>
    <w:rsid w:val="00DF7234"/>
    <w:rsid w:val="00DF759B"/>
    <w:rsid w:val="00DF77E2"/>
    <w:rsid w:val="00DF7882"/>
    <w:rsid w:val="00DF79DE"/>
    <w:rsid w:val="00DF7A99"/>
    <w:rsid w:val="00DF7AFC"/>
    <w:rsid w:val="00DF7B68"/>
    <w:rsid w:val="00DF7C3E"/>
    <w:rsid w:val="00DF7D4F"/>
    <w:rsid w:val="00E00446"/>
    <w:rsid w:val="00E0075E"/>
    <w:rsid w:val="00E00ED0"/>
    <w:rsid w:val="00E0111D"/>
    <w:rsid w:val="00E012CB"/>
    <w:rsid w:val="00E01798"/>
    <w:rsid w:val="00E0195F"/>
    <w:rsid w:val="00E0249B"/>
    <w:rsid w:val="00E027F0"/>
    <w:rsid w:val="00E02A6D"/>
    <w:rsid w:val="00E03430"/>
    <w:rsid w:val="00E03A34"/>
    <w:rsid w:val="00E03C46"/>
    <w:rsid w:val="00E04458"/>
    <w:rsid w:val="00E049F1"/>
    <w:rsid w:val="00E04B7C"/>
    <w:rsid w:val="00E04BB4"/>
    <w:rsid w:val="00E051D7"/>
    <w:rsid w:val="00E0559A"/>
    <w:rsid w:val="00E05B9C"/>
    <w:rsid w:val="00E05CD9"/>
    <w:rsid w:val="00E05D16"/>
    <w:rsid w:val="00E0608B"/>
    <w:rsid w:val="00E065D5"/>
    <w:rsid w:val="00E06649"/>
    <w:rsid w:val="00E06A58"/>
    <w:rsid w:val="00E06B0D"/>
    <w:rsid w:val="00E071B7"/>
    <w:rsid w:val="00E071F6"/>
    <w:rsid w:val="00E0783B"/>
    <w:rsid w:val="00E10407"/>
    <w:rsid w:val="00E105C0"/>
    <w:rsid w:val="00E1079F"/>
    <w:rsid w:val="00E108D0"/>
    <w:rsid w:val="00E109A0"/>
    <w:rsid w:val="00E109E4"/>
    <w:rsid w:val="00E10A5A"/>
    <w:rsid w:val="00E10CD2"/>
    <w:rsid w:val="00E114EE"/>
    <w:rsid w:val="00E11AD3"/>
    <w:rsid w:val="00E11B15"/>
    <w:rsid w:val="00E11D60"/>
    <w:rsid w:val="00E11F55"/>
    <w:rsid w:val="00E1245D"/>
    <w:rsid w:val="00E12491"/>
    <w:rsid w:val="00E125BB"/>
    <w:rsid w:val="00E12A4C"/>
    <w:rsid w:val="00E12BFF"/>
    <w:rsid w:val="00E12C9B"/>
    <w:rsid w:val="00E12FA7"/>
    <w:rsid w:val="00E1303F"/>
    <w:rsid w:val="00E13572"/>
    <w:rsid w:val="00E1384A"/>
    <w:rsid w:val="00E13AFF"/>
    <w:rsid w:val="00E13C36"/>
    <w:rsid w:val="00E13D91"/>
    <w:rsid w:val="00E13F8E"/>
    <w:rsid w:val="00E142E6"/>
    <w:rsid w:val="00E145D2"/>
    <w:rsid w:val="00E148C7"/>
    <w:rsid w:val="00E14BEC"/>
    <w:rsid w:val="00E15122"/>
    <w:rsid w:val="00E151A4"/>
    <w:rsid w:val="00E159A1"/>
    <w:rsid w:val="00E15E1E"/>
    <w:rsid w:val="00E15F2D"/>
    <w:rsid w:val="00E1605C"/>
    <w:rsid w:val="00E16379"/>
    <w:rsid w:val="00E1643F"/>
    <w:rsid w:val="00E16BB1"/>
    <w:rsid w:val="00E16C09"/>
    <w:rsid w:val="00E16D86"/>
    <w:rsid w:val="00E16E11"/>
    <w:rsid w:val="00E17151"/>
    <w:rsid w:val="00E17636"/>
    <w:rsid w:val="00E17FDC"/>
    <w:rsid w:val="00E20054"/>
    <w:rsid w:val="00E205C4"/>
    <w:rsid w:val="00E20D9E"/>
    <w:rsid w:val="00E215DA"/>
    <w:rsid w:val="00E21970"/>
    <w:rsid w:val="00E21B00"/>
    <w:rsid w:val="00E222A5"/>
    <w:rsid w:val="00E222BE"/>
    <w:rsid w:val="00E227EA"/>
    <w:rsid w:val="00E22A3F"/>
    <w:rsid w:val="00E22B23"/>
    <w:rsid w:val="00E22CE3"/>
    <w:rsid w:val="00E23038"/>
    <w:rsid w:val="00E23264"/>
    <w:rsid w:val="00E23657"/>
    <w:rsid w:val="00E23E99"/>
    <w:rsid w:val="00E24C64"/>
    <w:rsid w:val="00E24CD8"/>
    <w:rsid w:val="00E24D2C"/>
    <w:rsid w:val="00E24DC8"/>
    <w:rsid w:val="00E24EE4"/>
    <w:rsid w:val="00E25166"/>
    <w:rsid w:val="00E251F2"/>
    <w:rsid w:val="00E2551A"/>
    <w:rsid w:val="00E2558D"/>
    <w:rsid w:val="00E256EB"/>
    <w:rsid w:val="00E259C3"/>
    <w:rsid w:val="00E25AC5"/>
    <w:rsid w:val="00E25D29"/>
    <w:rsid w:val="00E260C6"/>
    <w:rsid w:val="00E26194"/>
    <w:rsid w:val="00E2697F"/>
    <w:rsid w:val="00E26C1C"/>
    <w:rsid w:val="00E26C72"/>
    <w:rsid w:val="00E26CBD"/>
    <w:rsid w:val="00E2728C"/>
    <w:rsid w:val="00E276AC"/>
    <w:rsid w:val="00E279A7"/>
    <w:rsid w:val="00E27AD1"/>
    <w:rsid w:val="00E27B55"/>
    <w:rsid w:val="00E27E01"/>
    <w:rsid w:val="00E27E36"/>
    <w:rsid w:val="00E27EC0"/>
    <w:rsid w:val="00E30131"/>
    <w:rsid w:val="00E301A2"/>
    <w:rsid w:val="00E30256"/>
    <w:rsid w:val="00E30541"/>
    <w:rsid w:val="00E30638"/>
    <w:rsid w:val="00E30B55"/>
    <w:rsid w:val="00E30E18"/>
    <w:rsid w:val="00E31113"/>
    <w:rsid w:val="00E311FD"/>
    <w:rsid w:val="00E3127C"/>
    <w:rsid w:val="00E31362"/>
    <w:rsid w:val="00E31DF5"/>
    <w:rsid w:val="00E3256F"/>
    <w:rsid w:val="00E32711"/>
    <w:rsid w:val="00E32824"/>
    <w:rsid w:val="00E32D50"/>
    <w:rsid w:val="00E32F0D"/>
    <w:rsid w:val="00E3350C"/>
    <w:rsid w:val="00E336D0"/>
    <w:rsid w:val="00E3375A"/>
    <w:rsid w:val="00E33DC2"/>
    <w:rsid w:val="00E33F55"/>
    <w:rsid w:val="00E33FC8"/>
    <w:rsid w:val="00E34479"/>
    <w:rsid w:val="00E34BAC"/>
    <w:rsid w:val="00E34CD3"/>
    <w:rsid w:val="00E35073"/>
    <w:rsid w:val="00E354A9"/>
    <w:rsid w:val="00E355C4"/>
    <w:rsid w:val="00E35ABE"/>
    <w:rsid w:val="00E35B6F"/>
    <w:rsid w:val="00E3608D"/>
    <w:rsid w:val="00E360A2"/>
    <w:rsid w:val="00E3687F"/>
    <w:rsid w:val="00E36C61"/>
    <w:rsid w:val="00E36D0E"/>
    <w:rsid w:val="00E3731B"/>
    <w:rsid w:val="00E373A8"/>
    <w:rsid w:val="00E37408"/>
    <w:rsid w:val="00E37457"/>
    <w:rsid w:val="00E3785B"/>
    <w:rsid w:val="00E37FD2"/>
    <w:rsid w:val="00E405B4"/>
    <w:rsid w:val="00E40E8A"/>
    <w:rsid w:val="00E40E94"/>
    <w:rsid w:val="00E41226"/>
    <w:rsid w:val="00E4139E"/>
    <w:rsid w:val="00E41908"/>
    <w:rsid w:val="00E41B51"/>
    <w:rsid w:val="00E41E4A"/>
    <w:rsid w:val="00E42309"/>
    <w:rsid w:val="00E42404"/>
    <w:rsid w:val="00E427A4"/>
    <w:rsid w:val="00E42B5D"/>
    <w:rsid w:val="00E4325F"/>
    <w:rsid w:val="00E432D6"/>
    <w:rsid w:val="00E438F4"/>
    <w:rsid w:val="00E43D34"/>
    <w:rsid w:val="00E440B8"/>
    <w:rsid w:val="00E44923"/>
    <w:rsid w:val="00E44D0F"/>
    <w:rsid w:val="00E44D85"/>
    <w:rsid w:val="00E45528"/>
    <w:rsid w:val="00E45A11"/>
    <w:rsid w:val="00E45B22"/>
    <w:rsid w:val="00E45C63"/>
    <w:rsid w:val="00E46219"/>
    <w:rsid w:val="00E46952"/>
    <w:rsid w:val="00E46ACF"/>
    <w:rsid w:val="00E46BF5"/>
    <w:rsid w:val="00E46C81"/>
    <w:rsid w:val="00E4735A"/>
    <w:rsid w:val="00E475AC"/>
    <w:rsid w:val="00E4786A"/>
    <w:rsid w:val="00E47E49"/>
    <w:rsid w:val="00E5000E"/>
    <w:rsid w:val="00E50290"/>
    <w:rsid w:val="00E502F1"/>
    <w:rsid w:val="00E50B55"/>
    <w:rsid w:val="00E51079"/>
    <w:rsid w:val="00E51563"/>
    <w:rsid w:val="00E51585"/>
    <w:rsid w:val="00E51920"/>
    <w:rsid w:val="00E51CF3"/>
    <w:rsid w:val="00E52409"/>
    <w:rsid w:val="00E53311"/>
    <w:rsid w:val="00E53577"/>
    <w:rsid w:val="00E5389E"/>
    <w:rsid w:val="00E53C76"/>
    <w:rsid w:val="00E540A9"/>
    <w:rsid w:val="00E54233"/>
    <w:rsid w:val="00E5484A"/>
    <w:rsid w:val="00E549A5"/>
    <w:rsid w:val="00E54CF4"/>
    <w:rsid w:val="00E558DB"/>
    <w:rsid w:val="00E55946"/>
    <w:rsid w:val="00E55993"/>
    <w:rsid w:val="00E55C6E"/>
    <w:rsid w:val="00E55CD0"/>
    <w:rsid w:val="00E55FCC"/>
    <w:rsid w:val="00E56086"/>
    <w:rsid w:val="00E5619F"/>
    <w:rsid w:val="00E56567"/>
    <w:rsid w:val="00E56ADA"/>
    <w:rsid w:val="00E56DD2"/>
    <w:rsid w:val="00E56DDE"/>
    <w:rsid w:val="00E56EAD"/>
    <w:rsid w:val="00E5705E"/>
    <w:rsid w:val="00E572AE"/>
    <w:rsid w:val="00E57504"/>
    <w:rsid w:val="00E5755D"/>
    <w:rsid w:val="00E578EC"/>
    <w:rsid w:val="00E5792B"/>
    <w:rsid w:val="00E57950"/>
    <w:rsid w:val="00E5799D"/>
    <w:rsid w:val="00E57A40"/>
    <w:rsid w:val="00E602CC"/>
    <w:rsid w:val="00E60417"/>
    <w:rsid w:val="00E609D1"/>
    <w:rsid w:val="00E60E5A"/>
    <w:rsid w:val="00E6146B"/>
    <w:rsid w:val="00E617BF"/>
    <w:rsid w:val="00E6218D"/>
    <w:rsid w:val="00E622C5"/>
    <w:rsid w:val="00E6236B"/>
    <w:rsid w:val="00E629B3"/>
    <w:rsid w:val="00E62CD5"/>
    <w:rsid w:val="00E62E25"/>
    <w:rsid w:val="00E62F0D"/>
    <w:rsid w:val="00E6329E"/>
    <w:rsid w:val="00E63301"/>
    <w:rsid w:val="00E63E91"/>
    <w:rsid w:val="00E6405D"/>
    <w:rsid w:val="00E64120"/>
    <w:rsid w:val="00E641F4"/>
    <w:rsid w:val="00E642B6"/>
    <w:rsid w:val="00E64575"/>
    <w:rsid w:val="00E651A7"/>
    <w:rsid w:val="00E656A0"/>
    <w:rsid w:val="00E65CB2"/>
    <w:rsid w:val="00E65CF9"/>
    <w:rsid w:val="00E65F43"/>
    <w:rsid w:val="00E65F44"/>
    <w:rsid w:val="00E66093"/>
    <w:rsid w:val="00E660A1"/>
    <w:rsid w:val="00E660FD"/>
    <w:rsid w:val="00E66121"/>
    <w:rsid w:val="00E6687C"/>
    <w:rsid w:val="00E66CC2"/>
    <w:rsid w:val="00E6728C"/>
    <w:rsid w:val="00E672FE"/>
    <w:rsid w:val="00E67706"/>
    <w:rsid w:val="00E6783C"/>
    <w:rsid w:val="00E67B2A"/>
    <w:rsid w:val="00E67D21"/>
    <w:rsid w:val="00E702FD"/>
    <w:rsid w:val="00E7033D"/>
    <w:rsid w:val="00E7048D"/>
    <w:rsid w:val="00E7054D"/>
    <w:rsid w:val="00E70729"/>
    <w:rsid w:val="00E70986"/>
    <w:rsid w:val="00E710E2"/>
    <w:rsid w:val="00E71916"/>
    <w:rsid w:val="00E719C0"/>
    <w:rsid w:val="00E721FC"/>
    <w:rsid w:val="00E72217"/>
    <w:rsid w:val="00E72AE9"/>
    <w:rsid w:val="00E72D72"/>
    <w:rsid w:val="00E732DF"/>
    <w:rsid w:val="00E7362A"/>
    <w:rsid w:val="00E7396C"/>
    <w:rsid w:val="00E73AE7"/>
    <w:rsid w:val="00E73DA4"/>
    <w:rsid w:val="00E74017"/>
    <w:rsid w:val="00E7446A"/>
    <w:rsid w:val="00E74C70"/>
    <w:rsid w:val="00E74F51"/>
    <w:rsid w:val="00E75275"/>
    <w:rsid w:val="00E753DC"/>
    <w:rsid w:val="00E7566E"/>
    <w:rsid w:val="00E759E3"/>
    <w:rsid w:val="00E75B60"/>
    <w:rsid w:val="00E76158"/>
    <w:rsid w:val="00E76315"/>
    <w:rsid w:val="00E7651C"/>
    <w:rsid w:val="00E76740"/>
    <w:rsid w:val="00E768E7"/>
    <w:rsid w:val="00E76F47"/>
    <w:rsid w:val="00E773F2"/>
    <w:rsid w:val="00E7751A"/>
    <w:rsid w:val="00E777AB"/>
    <w:rsid w:val="00E77A2A"/>
    <w:rsid w:val="00E77A4E"/>
    <w:rsid w:val="00E77B79"/>
    <w:rsid w:val="00E77FFE"/>
    <w:rsid w:val="00E80453"/>
    <w:rsid w:val="00E810B2"/>
    <w:rsid w:val="00E813E3"/>
    <w:rsid w:val="00E8151B"/>
    <w:rsid w:val="00E819C4"/>
    <w:rsid w:val="00E81CF2"/>
    <w:rsid w:val="00E82215"/>
    <w:rsid w:val="00E82A44"/>
    <w:rsid w:val="00E82A73"/>
    <w:rsid w:val="00E82D86"/>
    <w:rsid w:val="00E82FFF"/>
    <w:rsid w:val="00E83021"/>
    <w:rsid w:val="00E83177"/>
    <w:rsid w:val="00E8355F"/>
    <w:rsid w:val="00E8372D"/>
    <w:rsid w:val="00E8393C"/>
    <w:rsid w:val="00E83A7E"/>
    <w:rsid w:val="00E83BC7"/>
    <w:rsid w:val="00E84122"/>
    <w:rsid w:val="00E84756"/>
    <w:rsid w:val="00E847BB"/>
    <w:rsid w:val="00E847FF"/>
    <w:rsid w:val="00E848BC"/>
    <w:rsid w:val="00E84A26"/>
    <w:rsid w:val="00E84D59"/>
    <w:rsid w:val="00E84E3F"/>
    <w:rsid w:val="00E85122"/>
    <w:rsid w:val="00E851C4"/>
    <w:rsid w:val="00E85388"/>
    <w:rsid w:val="00E85397"/>
    <w:rsid w:val="00E8565D"/>
    <w:rsid w:val="00E856A1"/>
    <w:rsid w:val="00E858AB"/>
    <w:rsid w:val="00E858D9"/>
    <w:rsid w:val="00E85A48"/>
    <w:rsid w:val="00E85C2B"/>
    <w:rsid w:val="00E85CD8"/>
    <w:rsid w:val="00E85E34"/>
    <w:rsid w:val="00E85E35"/>
    <w:rsid w:val="00E85EB7"/>
    <w:rsid w:val="00E85F95"/>
    <w:rsid w:val="00E860B7"/>
    <w:rsid w:val="00E86D46"/>
    <w:rsid w:val="00E870A1"/>
    <w:rsid w:val="00E87212"/>
    <w:rsid w:val="00E87303"/>
    <w:rsid w:val="00E8790C"/>
    <w:rsid w:val="00E87973"/>
    <w:rsid w:val="00E87E40"/>
    <w:rsid w:val="00E907F5"/>
    <w:rsid w:val="00E909C4"/>
    <w:rsid w:val="00E90CEE"/>
    <w:rsid w:val="00E90E22"/>
    <w:rsid w:val="00E910B6"/>
    <w:rsid w:val="00E91268"/>
    <w:rsid w:val="00E91845"/>
    <w:rsid w:val="00E91A10"/>
    <w:rsid w:val="00E91B0B"/>
    <w:rsid w:val="00E91B0D"/>
    <w:rsid w:val="00E922FC"/>
    <w:rsid w:val="00E925A0"/>
    <w:rsid w:val="00E92D88"/>
    <w:rsid w:val="00E932FC"/>
    <w:rsid w:val="00E9360C"/>
    <w:rsid w:val="00E9384F"/>
    <w:rsid w:val="00E93932"/>
    <w:rsid w:val="00E93A69"/>
    <w:rsid w:val="00E93BD6"/>
    <w:rsid w:val="00E93DE7"/>
    <w:rsid w:val="00E94654"/>
    <w:rsid w:val="00E94A6A"/>
    <w:rsid w:val="00E95342"/>
    <w:rsid w:val="00E953BC"/>
    <w:rsid w:val="00E95511"/>
    <w:rsid w:val="00E957FD"/>
    <w:rsid w:val="00E95811"/>
    <w:rsid w:val="00E95F2A"/>
    <w:rsid w:val="00E95F87"/>
    <w:rsid w:val="00E96059"/>
    <w:rsid w:val="00E9647F"/>
    <w:rsid w:val="00E965B9"/>
    <w:rsid w:val="00E968C5"/>
    <w:rsid w:val="00E969BD"/>
    <w:rsid w:val="00E96B9F"/>
    <w:rsid w:val="00E96C23"/>
    <w:rsid w:val="00E96DCC"/>
    <w:rsid w:val="00E972EA"/>
    <w:rsid w:val="00E97531"/>
    <w:rsid w:val="00E97559"/>
    <w:rsid w:val="00E97739"/>
    <w:rsid w:val="00E97794"/>
    <w:rsid w:val="00E97A6A"/>
    <w:rsid w:val="00E97BFD"/>
    <w:rsid w:val="00E97E80"/>
    <w:rsid w:val="00E97FB5"/>
    <w:rsid w:val="00EA06D6"/>
    <w:rsid w:val="00EA0733"/>
    <w:rsid w:val="00EA0995"/>
    <w:rsid w:val="00EA0FC7"/>
    <w:rsid w:val="00EA10C9"/>
    <w:rsid w:val="00EA11EB"/>
    <w:rsid w:val="00EA1693"/>
    <w:rsid w:val="00EA17CE"/>
    <w:rsid w:val="00EA21CC"/>
    <w:rsid w:val="00EA2550"/>
    <w:rsid w:val="00EA26AD"/>
    <w:rsid w:val="00EA2984"/>
    <w:rsid w:val="00EA2AB7"/>
    <w:rsid w:val="00EA2CF7"/>
    <w:rsid w:val="00EA2F36"/>
    <w:rsid w:val="00EA30E9"/>
    <w:rsid w:val="00EA3151"/>
    <w:rsid w:val="00EA3324"/>
    <w:rsid w:val="00EA37E8"/>
    <w:rsid w:val="00EA3EC6"/>
    <w:rsid w:val="00EA43AC"/>
    <w:rsid w:val="00EA470C"/>
    <w:rsid w:val="00EA4A0D"/>
    <w:rsid w:val="00EA4C81"/>
    <w:rsid w:val="00EA4FB4"/>
    <w:rsid w:val="00EA500D"/>
    <w:rsid w:val="00EA5128"/>
    <w:rsid w:val="00EA55C5"/>
    <w:rsid w:val="00EA5724"/>
    <w:rsid w:val="00EA579A"/>
    <w:rsid w:val="00EA5E56"/>
    <w:rsid w:val="00EA61C3"/>
    <w:rsid w:val="00EA6293"/>
    <w:rsid w:val="00EA62E5"/>
    <w:rsid w:val="00EA6321"/>
    <w:rsid w:val="00EA67C0"/>
    <w:rsid w:val="00EA6CE0"/>
    <w:rsid w:val="00EA6DEE"/>
    <w:rsid w:val="00EA6F3B"/>
    <w:rsid w:val="00EA7033"/>
    <w:rsid w:val="00EA7679"/>
    <w:rsid w:val="00EA790F"/>
    <w:rsid w:val="00EA7BD6"/>
    <w:rsid w:val="00EA7CD7"/>
    <w:rsid w:val="00EB034E"/>
    <w:rsid w:val="00EB096F"/>
    <w:rsid w:val="00EB1130"/>
    <w:rsid w:val="00EB1700"/>
    <w:rsid w:val="00EB1C29"/>
    <w:rsid w:val="00EB1C93"/>
    <w:rsid w:val="00EB1E24"/>
    <w:rsid w:val="00EB23C0"/>
    <w:rsid w:val="00EB2430"/>
    <w:rsid w:val="00EB248E"/>
    <w:rsid w:val="00EB2750"/>
    <w:rsid w:val="00EB2800"/>
    <w:rsid w:val="00EB2B5B"/>
    <w:rsid w:val="00EB2D9D"/>
    <w:rsid w:val="00EB32A0"/>
    <w:rsid w:val="00EB3432"/>
    <w:rsid w:val="00EB3486"/>
    <w:rsid w:val="00EB34ED"/>
    <w:rsid w:val="00EB35C4"/>
    <w:rsid w:val="00EB3787"/>
    <w:rsid w:val="00EB3971"/>
    <w:rsid w:val="00EB3FF1"/>
    <w:rsid w:val="00EB4393"/>
    <w:rsid w:val="00EB49B2"/>
    <w:rsid w:val="00EB4C91"/>
    <w:rsid w:val="00EB4F4B"/>
    <w:rsid w:val="00EB5102"/>
    <w:rsid w:val="00EB51FD"/>
    <w:rsid w:val="00EB5377"/>
    <w:rsid w:val="00EB53FD"/>
    <w:rsid w:val="00EB54E1"/>
    <w:rsid w:val="00EB557F"/>
    <w:rsid w:val="00EB58CF"/>
    <w:rsid w:val="00EB59E2"/>
    <w:rsid w:val="00EB59E6"/>
    <w:rsid w:val="00EB5AA2"/>
    <w:rsid w:val="00EB5CC0"/>
    <w:rsid w:val="00EB5E6E"/>
    <w:rsid w:val="00EB676C"/>
    <w:rsid w:val="00EB69E3"/>
    <w:rsid w:val="00EB6BF8"/>
    <w:rsid w:val="00EB6E4E"/>
    <w:rsid w:val="00EB72E1"/>
    <w:rsid w:val="00EB7792"/>
    <w:rsid w:val="00EB7D55"/>
    <w:rsid w:val="00EC0185"/>
    <w:rsid w:val="00EC028B"/>
    <w:rsid w:val="00EC05AA"/>
    <w:rsid w:val="00EC0AF7"/>
    <w:rsid w:val="00EC0B96"/>
    <w:rsid w:val="00EC12FB"/>
    <w:rsid w:val="00EC1A70"/>
    <w:rsid w:val="00EC1C57"/>
    <w:rsid w:val="00EC1E70"/>
    <w:rsid w:val="00EC1EA5"/>
    <w:rsid w:val="00EC1FEC"/>
    <w:rsid w:val="00EC2167"/>
    <w:rsid w:val="00EC2174"/>
    <w:rsid w:val="00EC25ED"/>
    <w:rsid w:val="00EC2BA8"/>
    <w:rsid w:val="00EC2D1D"/>
    <w:rsid w:val="00EC2DFD"/>
    <w:rsid w:val="00EC2F02"/>
    <w:rsid w:val="00EC2F23"/>
    <w:rsid w:val="00EC30B1"/>
    <w:rsid w:val="00EC3581"/>
    <w:rsid w:val="00EC3790"/>
    <w:rsid w:val="00EC3B04"/>
    <w:rsid w:val="00EC3BEA"/>
    <w:rsid w:val="00EC42B0"/>
    <w:rsid w:val="00EC475B"/>
    <w:rsid w:val="00EC47DF"/>
    <w:rsid w:val="00EC494D"/>
    <w:rsid w:val="00EC4C1B"/>
    <w:rsid w:val="00EC4F16"/>
    <w:rsid w:val="00EC4F23"/>
    <w:rsid w:val="00EC4FFE"/>
    <w:rsid w:val="00EC54C5"/>
    <w:rsid w:val="00EC5A2D"/>
    <w:rsid w:val="00EC5C2B"/>
    <w:rsid w:val="00EC5EF7"/>
    <w:rsid w:val="00EC6249"/>
    <w:rsid w:val="00EC651F"/>
    <w:rsid w:val="00EC6BD2"/>
    <w:rsid w:val="00EC7324"/>
    <w:rsid w:val="00EC759B"/>
    <w:rsid w:val="00EC7A83"/>
    <w:rsid w:val="00EC7CC8"/>
    <w:rsid w:val="00EC7FBA"/>
    <w:rsid w:val="00ED0378"/>
    <w:rsid w:val="00ED0419"/>
    <w:rsid w:val="00ED0E34"/>
    <w:rsid w:val="00ED0F2F"/>
    <w:rsid w:val="00ED15B0"/>
    <w:rsid w:val="00ED2016"/>
    <w:rsid w:val="00ED2342"/>
    <w:rsid w:val="00ED2472"/>
    <w:rsid w:val="00ED2837"/>
    <w:rsid w:val="00ED2AE2"/>
    <w:rsid w:val="00ED2E7A"/>
    <w:rsid w:val="00ED32F0"/>
    <w:rsid w:val="00ED34C5"/>
    <w:rsid w:val="00ED38E1"/>
    <w:rsid w:val="00ED3CB4"/>
    <w:rsid w:val="00ED3E26"/>
    <w:rsid w:val="00ED400D"/>
    <w:rsid w:val="00ED41AF"/>
    <w:rsid w:val="00ED4250"/>
    <w:rsid w:val="00ED48F4"/>
    <w:rsid w:val="00ED4A32"/>
    <w:rsid w:val="00ED4F60"/>
    <w:rsid w:val="00ED5108"/>
    <w:rsid w:val="00ED5247"/>
    <w:rsid w:val="00ED5409"/>
    <w:rsid w:val="00ED5464"/>
    <w:rsid w:val="00ED5725"/>
    <w:rsid w:val="00ED5818"/>
    <w:rsid w:val="00ED5A40"/>
    <w:rsid w:val="00ED5F12"/>
    <w:rsid w:val="00ED616C"/>
    <w:rsid w:val="00ED6631"/>
    <w:rsid w:val="00ED6C21"/>
    <w:rsid w:val="00ED6D34"/>
    <w:rsid w:val="00ED6E6D"/>
    <w:rsid w:val="00ED7229"/>
    <w:rsid w:val="00ED7248"/>
    <w:rsid w:val="00ED73CF"/>
    <w:rsid w:val="00ED74BA"/>
    <w:rsid w:val="00ED768F"/>
    <w:rsid w:val="00ED7B91"/>
    <w:rsid w:val="00EE03A7"/>
    <w:rsid w:val="00EE03E2"/>
    <w:rsid w:val="00EE0E76"/>
    <w:rsid w:val="00EE1104"/>
    <w:rsid w:val="00EE1496"/>
    <w:rsid w:val="00EE15D8"/>
    <w:rsid w:val="00EE1610"/>
    <w:rsid w:val="00EE172A"/>
    <w:rsid w:val="00EE17A5"/>
    <w:rsid w:val="00EE1859"/>
    <w:rsid w:val="00EE1914"/>
    <w:rsid w:val="00EE194F"/>
    <w:rsid w:val="00EE19D1"/>
    <w:rsid w:val="00EE1E35"/>
    <w:rsid w:val="00EE20B3"/>
    <w:rsid w:val="00EE247A"/>
    <w:rsid w:val="00EE264D"/>
    <w:rsid w:val="00EE289C"/>
    <w:rsid w:val="00EE2A8F"/>
    <w:rsid w:val="00EE2D14"/>
    <w:rsid w:val="00EE2DE1"/>
    <w:rsid w:val="00EE3211"/>
    <w:rsid w:val="00EE34B0"/>
    <w:rsid w:val="00EE38DE"/>
    <w:rsid w:val="00EE3B33"/>
    <w:rsid w:val="00EE3BAB"/>
    <w:rsid w:val="00EE3BFA"/>
    <w:rsid w:val="00EE3D52"/>
    <w:rsid w:val="00EE4389"/>
    <w:rsid w:val="00EE4963"/>
    <w:rsid w:val="00EE4AD6"/>
    <w:rsid w:val="00EE4DEB"/>
    <w:rsid w:val="00EE4F16"/>
    <w:rsid w:val="00EE520F"/>
    <w:rsid w:val="00EE52EF"/>
    <w:rsid w:val="00EE539B"/>
    <w:rsid w:val="00EE5946"/>
    <w:rsid w:val="00EE5E13"/>
    <w:rsid w:val="00EE6224"/>
    <w:rsid w:val="00EE63A2"/>
    <w:rsid w:val="00EE6701"/>
    <w:rsid w:val="00EE6EAC"/>
    <w:rsid w:val="00EE748C"/>
    <w:rsid w:val="00EE7514"/>
    <w:rsid w:val="00EE7980"/>
    <w:rsid w:val="00EE7AA7"/>
    <w:rsid w:val="00EE7D3A"/>
    <w:rsid w:val="00EE7FA1"/>
    <w:rsid w:val="00EF0335"/>
    <w:rsid w:val="00EF06D2"/>
    <w:rsid w:val="00EF0D5E"/>
    <w:rsid w:val="00EF0DF7"/>
    <w:rsid w:val="00EF0E96"/>
    <w:rsid w:val="00EF1334"/>
    <w:rsid w:val="00EF227D"/>
    <w:rsid w:val="00EF2291"/>
    <w:rsid w:val="00EF25E9"/>
    <w:rsid w:val="00EF27DB"/>
    <w:rsid w:val="00EF3020"/>
    <w:rsid w:val="00EF3036"/>
    <w:rsid w:val="00EF3075"/>
    <w:rsid w:val="00EF3C8D"/>
    <w:rsid w:val="00EF3DD7"/>
    <w:rsid w:val="00EF3FC3"/>
    <w:rsid w:val="00EF41C7"/>
    <w:rsid w:val="00EF41D4"/>
    <w:rsid w:val="00EF41F4"/>
    <w:rsid w:val="00EF446E"/>
    <w:rsid w:val="00EF468F"/>
    <w:rsid w:val="00EF5034"/>
    <w:rsid w:val="00EF5297"/>
    <w:rsid w:val="00EF58A0"/>
    <w:rsid w:val="00EF5ABD"/>
    <w:rsid w:val="00EF5DD2"/>
    <w:rsid w:val="00EF611F"/>
    <w:rsid w:val="00EF66B7"/>
    <w:rsid w:val="00EF6E67"/>
    <w:rsid w:val="00EF7399"/>
    <w:rsid w:val="00EF73A6"/>
    <w:rsid w:val="00EF78AA"/>
    <w:rsid w:val="00EF79D5"/>
    <w:rsid w:val="00EF7B5F"/>
    <w:rsid w:val="00EF7D21"/>
    <w:rsid w:val="00F003B6"/>
    <w:rsid w:val="00F009E3"/>
    <w:rsid w:val="00F01AA2"/>
    <w:rsid w:val="00F022C3"/>
    <w:rsid w:val="00F02A79"/>
    <w:rsid w:val="00F02BD4"/>
    <w:rsid w:val="00F02D55"/>
    <w:rsid w:val="00F0313C"/>
    <w:rsid w:val="00F038A5"/>
    <w:rsid w:val="00F03A3D"/>
    <w:rsid w:val="00F03BD8"/>
    <w:rsid w:val="00F03E4F"/>
    <w:rsid w:val="00F03EC5"/>
    <w:rsid w:val="00F04664"/>
    <w:rsid w:val="00F04ACD"/>
    <w:rsid w:val="00F04CE1"/>
    <w:rsid w:val="00F04D5D"/>
    <w:rsid w:val="00F04E97"/>
    <w:rsid w:val="00F05568"/>
    <w:rsid w:val="00F055F1"/>
    <w:rsid w:val="00F05D8B"/>
    <w:rsid w:val="00F062A6"/>
    <w:rsid w:val="00F0636B"/>
    <w:rsid w:val="00F064F9"/>
    <w:rsid w:val="00F0650B"/>
    <w:rsid w:val="00F0650E"/>
    <w:rsid w:val="00F06714"/>
    <w:rsid w:val="00F06803"/>
    <w:rsid w:val="00F0689E"/>
    <w:rsid w:val="00F068BB"/>
    <w:rsid w:val="00F06926"/>
    <w:rsid w:val="00F069ED"/>
    <w:rsid w:val="00F06C51"/>
    <w:rsid w:val="00F071D5"/>
    <w:rsid w:val="00F0764E"/>
    <w:rsid w:val="00F07A47"/>
    <w:rsid w:val="00F07B8E"/>
    <w:rsid w:val="00F07BA3"/>
    <w:rsid w:val="00F10254"/>
    <w:rsid w:val="00F105EE"/>
    <w:rsid w:val="00F11069"/>
    <w:rsid w:val="00F1113A"/>
    <w:rsid w:val="00F111D4"/>
    <w:rsid w:val="00F11278"/>
    <w:rsid w:val="00F1127B"/>
    <w:rsid w:val="00F11967"/>
    <w:rsid w:val="00F11BEC"/>
    <w:rsid w:val="00F1204D"/>
    <w:rsid w:val="00F1239C"/>
    <w:rsid w:val="00F123A2"/>
    <w:rsid w:val="00F125A5"/>
    <w:rsid w:val="00F12638"/>
    <w:rsid w:val="00F1265A"/>
    <w:rsid w:val="00F128AA"/>
    <w:rsid w:val="00F12B59"/>
    <w:rsid w:val="00F12CCB"/>
    <w:rsid w:val="00F131DD"/>
    <w:rsid w:val="00F132F0"/>
    <w:rsid w:val="00F13C1F"/>
    <w:rsid w:val="00F1431D"/>
    <w:rsid w:val="00F1445A"/>
    <w:rsid w:val="00F144C5"/>
    <w:rsid w:val="00F145BE"/>
    <w:rsid w:val="00F145FC"/>
    <w:rsid w:val="00F147FC"/>
    <w:rsid w:val="00F148F6"/>
    <w:rsid w:val="00F14C4C"/>
    <w:rsid w:val="00F14D10"/>
    <w:rsid w:val="00F14DE7"/>
    <w:rsid w:val="00F1539B"/>
    <w:rsid w:val="00F153A8"/>
    <w:rsid w:val="00F157A9"/>
    <w:rsid w:val="00F158CF"/>
    <w:rsid w:val="00F1597F"/>
    <w:rsid w:val="00F15FC1"/>
    <w:rsid w:val="00F160B1"/>
    <w:rsid w:val="00F16353"/>
    <w:rsid w:val="00F16566"/>
    <w:rsid w:val="00F1688A"/>
    <w:rsid w:val="00F16B92"/>
    <w:rsid w:val="00F16CBF"/>
    <w:rsid w:val="00F16CEB"/>
    <w:rsid w:val="00F16DD6"/>
    <w:rsid w:val="00F170AE"/>
    <w:rsid w:val="00F1724C"/>
    <w:rsid w:val="00F175D7"/>
    <w:rsid w:val="00F17B8C"/>
    <w:rsid w:val="00F17D76"/>
    <w:rsid w:val="00F17ECA"/>
    <w:rsid w:val="00F204AD"/>
    <w:rsid w:val="00F2058D"/>
    <w:rsid w:val="00F205B3"/>
    <w:rsid w:val="00F20F90"/>
    <w:rsid w:val="00F21200"/>
    <w:rsid w:val="00F21299"/>
    <w:rsid w:val="00F216AC"/>
    <w:rsid w:val="00F217F7"/>
    <w:rsid w:val="00F219CE"/>
    <w:rsid w:val="00F21CC9"/>
    <w:rsid w:val="00F21DA7"/>
    <w:rsid w:val="00F21EA1"/>
    <w:rsid w:val="00F220E9"/>
    <w:rsid w:val="00F22443"/>
    <w:rsid w:val="00F225E5"/>
    <w:rsid w:val="00F22897"/>
    <w:rsid w:val="00F22B12"/>
    <w:rsid w:val="00F22BBB"/>
    <w:rsid w:val="00F22EBE"/>
    <w:rsid w:val="00F23763"/>
    <w:rsid w:val="00F2399A"/>
    <w:rsid w:val="00F23D5E"/>
    <w:rsid w:val="00F23D6D"/>
    <w:rsid w:val="00F23EBE"/>
    <w:rsid w:val="00F23EC2"/>
    <w:rsid w:val="00F241EB"/>
    <w:rsid w:val="00F24EB3"/>
    <w:rsid w:val="00F2500A"/>
    <w:rsid w:val="00F251FF"/>
    <w:rsid w:val="00F25300"/>
    <w:rsid w:val="00F253F0"/>
    <w:rsid w:val="00F254C1"/>
    <w:rsid w:val="00F25A00"/>
    <w:rsid w:val="00F25F31"/>
    <w:rsid w:val="00F26661"/>
    <w:rsid w:val="00F2679B"/>
    <w:rsid w:val="00F26CA6"/>
    <w:rsid w:val="00F26CC1"/>
    <w:rsid w:val="00F26DEC"/>
    <w:rsid w:val="00F26E35"/>
    <w:rsid w:val="00F26E43"/>
    <w:rsid w:val="00F271B6"/>
    <w:rsid w:val="00F2740E"/>
    <w:rsid w:val="00F2764D"/>
    <w:rsid w:val="00F278AD"/>
    <w:rsid w:val="00F279C2"/>
    <w:rsid w:val="00F27C42"/>
    <w:rsid w:val="00F27C47"/>
    <w:rsid w:val="00F27FE7"/>
    <w:rsid w:val="00F30088"/>
    <w:rsid w:val="00F30738"/>
    <w:rsid w:val="00F30A51"/>
    <w:rsid w:val="00F30C7F"/>
    <w:rsid w:val="00F312DB"/>
    <w:rsid w:val="00F3186A"/>
    <w:rsid w:val="00F31F33"/>
    <w:rsid w:val="00F31F5F"/>
    <w:rsid w:val="00F32064"/>
    <w:rsid w:val="00F3208A"/>
    <w:rsid w:val="00F3271D"/>
    <w:rsid w:val="00F32D91"/>
    <w:rsid w:val="00F32E33"/>
    <w:rsid w:val="00F3343E"/>
    <w:rsid w:val="00F33721"/>
    <w:rsid w:val="00F340BB"/>
    <w:rsid w:val="00F345E9"/>
    <w:rsid w:val="00F34F04"/>
    <w:rsid w:val="00F35051"/>
    <w:rsid w:val="00F35183"/>
    <w:rsid w:val="00F35287"/>
    <w:rsid w:val="00F355BF"/>
    <w:rsid w:val="00F3595D"/>
    <w:rsid w:val="00F35CD4"/>
    <w:rsid w:val="00F3621D"/>
    <w:rsid w:val="00F363A5"/>
    <w:rsid w:val="00F3643D"/>
    <w:rsid w:val="00F367F8"/>
    <w:rsid w:val="00F36858"/>
    <w:rsid w:val="00F36879"/>
    <w:rsid w:val="00F36A4D"/>
    <w:rsid w:val="00F36F50"/>
    <w:rsid w:val="00F36FC5"/>
    <w:rsid w:val="00F36FD7"/>
    <w:rsid w:val="00F37307"/>
    <w:rsid w:val="00F375C3"/>
    <w:rsid w:val="00F37775"/>
    <w:rsid w:val="00F379C1"/>
    <w:rsid w:val="00F37FDF"/>
    <w:rsid w:val="00F40064"/>
    <w:rsid w:val="00F40142"/>
    <w:rsid w:val="00F403CF"/>
    <w:rsid w:val="00F411DF"/>
    <w:rsid w:val="00F4150D"/>
    <w:rsid w:val="00F418C3"/>
    <w:rsid w:val="00F41D5D"/>
    <w:rsid w:val="00F41EC2"/>
    <w:rsid w:val="00F42187"/>
    <w:rsid w:val="00F42435"/>
    <w:rsid w:val="00F4262F"/>
    <w:rsid w:val="00F426E2"/>
    <w:rsid w:val="00F42DBE"/>
    <w:rsid w:val="00F4327E"/>
    <w:rsid w:val="00F43A43"/>
    <w:rsid w:val="00F4414A"/>
    <w:rsid w:val="00F443ED"/>
    <w:rsid w:val="00F4480C"/>
    <w:rsid w:val="00F44A03"/>
    <w:rsid w:val="00F44BF3"/>
    <w:rsid w:val="00F44D63"/>
    <w:rsid w:val="00F44E9A"/>
    <w:rsid w:val="00F44FC1"/>
    <w:rsid w:val="00F45982"/>
    <w:rsid w:val="00F45BA9"/>
    <w:rsid w:val="00F46030"/>
    <w:rsid w:val="00F461E4"/>
    <w:rsid w:val="00F461E5"/>
    <w:rsid w:val="00F46695"/>
    <w:rsid w:val="00F46BD4"/>
    <w:rsid w:val="00F46DD1"/>
    <w:rsid w:val="00F47384"/>
    <w:rsid w:val="00F47A71"/>
    <w:rsid w:val="00F5007F"/>
    <w:rsid w:val="00F5016E"/>
    <w:rsid w:val="00F502D0"/>
    <w:rsid w:val="00F50305"/>
    <w:rsid w:val="00F506C5"/>
    <w:rsid w:val="00F511A7"/>
    <w:rsid w:val="00F51292"/>
    <w:rsid w:val="00F513D3"/>
    <w:rsid w:val="00F5169A"/>
    <w:rsid w:val="00F51D87"/>
    <w:rsid w:val="00F52165"/>
    <w:rsid w:val="00F52499"/>
    <w:rsid w:val="00F53113"/>
    <w:rsid w:val="00F532C7"/>
    <w:rsid w:val="00F53611"/>
    <w:rsid w:val="00F538E7"/>
    <w:rsid w:val="00F539BE"/>
    <w:rsid w:val="00F539E9"/>
    <w:rsid w:val="00F53C76"/>
    <w:rsid w:val="00F53CEF"/>
    <w:rsid w:val="00F54112"/>
    <w:rsid w:val="00F5431E"/>
    <w:rsid w:val="00F544AC"/>
    <w:rsid w:val="00F548C2"/>
    <w:rsid w:val="00F54924"/>
    <w:rsid w:val="00F54969"/>
    <w:rsid w:val="00F54973"/>
    <w:rsid w:val="00F554A5"/>
    <w:rsid w:val="00F55617"/>
    <w:rsid w:val="00F557D3"/>
    <w:rsid w:val="00F5581A"/>
    <w:rsid w:val="00F55CCA"/>
    <w:rsid w:val="00F55CD0"/>
    <w:rsid w:val="00F56127"/>
    <w:rsid w:val="00F5625B"/>
    <w:rsid w:val="00F562FE"/>
    <w:rsid w:val="00F5676A"/>
    <w:rsid w:val="00F5698F"/>
    <w:rsid w:val="00F56BB1"/>
    <w:rsid w:val="00F56EEE"/>
    <w:rsid w:val="00F56F61"/>
    <w:rsid w:val="00F5777C"/>
    <w:rsid w:val="00F57939"/>
    <w:rsid w:val="00F57B72"/>
    <w:rsid w:val="00F604EC"/>
    <w:rsid w:val="00F60678"/>
    <w:rsid w:val="00F60B5F"/>
    <w:rsid w:val="00F60B96"/>
    <w:rsid w:val="00F60DA2"/>
    <w:rsid w:val="00F610AF"/>
    <w:rsid w:val="00F616CB"/>
    <w:rsid w:val="00F61C8D"/>
    <w:rsid w:val="00F61E8E"/>
    <w:rsid w:val="00F620DC"/>
    <w:rsid w:val="00F6232C"/>
    <w:rsid w:val="00F62575"/>
    <w:rsid w:val="00F62680"/>
    <w:rsid w:val="00F62898"/>
    <w:rsid w:val="00F62901"/>
    <w:rsid w:val="00F62909"/>
    <w:rsid w:val="00F629FF"/>
    <w:rsid w:val="00F62A4D"/>
    <w:rsid w:val="00F62A7D"/>
    <w:rsid w:val="00F62BC1"/>
    <w:rsid w:val="00F62F49"/>
    <w:rsid w:val="00F62FDC"/>
    <w:rsid w:val="00F63183"/>
    <w:rsid w:val="00F6333F"/>
    <w:rsid w:val="00F63561"/>
    <w:rsid w:val="00F63658"/>
    <w:rsid w:val="00F637B3"/>
    <w:rsid w:val="00F63B96"/>
    <w:rsid w:val="00F63F7D"/>
    <w:rsid w:val="00F64278"/>
    <w:rsid w:val="00F6447B"/>
    <w:rsid w:val="00F6455E"/>
    <w:rsid w:val="00F64617"/>
    <w:rsid w:val="00F65470"/>
    <w:rsid w:val="00F65745"/>
    <w:rsid w:val="00F659E1"/>
    <w:rsid w:val="00F65C55"/>
    <w:rsid w:val="00F65DA7"/>
    <w:rsid w:val="00F66512"/>
    <w:rsid w:val="00F665CB"/>
    <w:rsid w:val="00F6677E"/>
    <w:rsid w:val="00F66961"/>
    <w:rsid w:val="00F66C2A"/>
    <w:rsid w:val="00F66ED4"/>
    <w:rsid w:val="00F6731C"/>
    <w:rsid w:val="00F67448"/>
    <w:rsid w:val="00F679BA"/>
    <w:rsid w:val="00F67CA9"/>
    <w:rsid w:val="00F67DEB"/>
    <w:rsid w:val="00F701D0"/>
    <w:rsid w:val="00F70412"/>
    <w:rsid w:val="00F70BFB"/>
    <w:rsid w:val="00F70F33"/>
    <w:rsid w:val="00F70F3F"/>
    <w:rsid w:val="00F71056"/>
    <w:rsid w:val="00F7117F"/>
    <w:rsid w:val="00F71256"/>
    <w:rsid w:val="00F714FE"/>
    <w:rsid w:val="00F7163D"/>
    <w:rsid w:val="00F71746"/>
    <w:rsid w:val="00F719D5"/>
    <w:rsid w:val="00F71D42"/>
    <w:rsid w:val="00F71DC7"/>
    <w:rsid w:val="00F7200E"/>
    <w:rsid w:val="00F720A7"/>
    <w:rsid w:val="00F7283B"/>
    <w:rsid w:val="00F7309E"/>
    <w:rsid w:val="00F73271"/>
    <w:rsid w:val="00F74361"/>
    <w:rsid w:val="00F74610"/>
    <w:rsid w:val="00F74612"/>
    <w:rsid w:val="00F74EC1"/>
    <w:rsid w:val="00F752D1"/>
    <w:rsid w:val="00F7577E"/>
    <w:rsid w:val="00F769E1"/>
    <w:rsid w:val="00F76A83"/>
    <w:rsid w:val="00F76BE4"/>
    <w:rsid w:val="00F76CCD"/>
    <w:rsid w:val="00F76DF1"/>
    <w:rsid w:val="00F76E9C"/>
    <w:rsid w:val="00F76EEC"/>
    <w:rsid w:val="00F76F72"/>
    <w:rsid w:val="00F770F3"/>
    <w:rsid w:val="00F7727C"/>
    <w:rsid w:val="00F772C0"/>
    <w:rsid w:val="00F7791A"/>
    <w:rsid w:val="00F77CDA"/>
    <w:rsid w:val="00F804DF"/>
    <w:rsid w:val="00F805AD"/>
    <w:rsid w:val="00F80654"/>
    <w:rsid w:val="00F8080D"/>
    <w:rsid w:val="00F80924"/>
    <w:rsid w:val="00F80AB8"/>
    <w:rsid w:val="00F80D41"/>
    <w:rsid w:val="00F80F2A"/>
    <w:rsid w:val="00F81077"/>
    <w:rsid w:val="00F81438"/>
    <w:rsid w:val="00F818B0"/>
    <w:rsid w:val="00F819DA"/>
    <w:rsid w:val="00F81DA8"/>
    <w:rsid w:val="00F82568"/>
    <w:rsid w:val="00F82737"/>
    <w:rsid w:val="00F82DDB"/>
    <w:rsid w:val="00F82E7B"/>
    <w:rsid w:val="00F8345A"/>
    <w:rsid w:val="00F83573"/>
    <w:rsid w:val="00F8398C"/>
    <w:rsid w:val="00F83C1E"/>
    <w:rsid w:val="00F83C26"/>
    <w:rsid w:val="00F83C2F"/>
    <w:rsid w:val="00F83E43"/>
    <w:rsid w:val="00F8404A"/>
    <w:rsid w:val="00F8407B"/>
    <w:rsid w:val="00F84270"/>
    <w:rsid w:val="00F844F0"/>
    <w:rsid w:val="00F845B7"/>
    <w:rsid w:val="00F84DC6"/>
    <w:rsid w:val="00F853DE"/>
    <w:rsid w:val="00F8555C"/>
    <w:rsid w:val="00F85AF5"/>
    <w:rsid w:val="00F85DBF"/>
    <w:rsid w:val="00F860D7"/>
    <w:rsid w:val="00F86139"/>
    <w:rsid w:val="00F865AB"/>
    <w:rsid w:val="00F86D11"/>
    <w:rsid w:val="00F86DB4"/>
    <w:rsid w:val="00F86DC6"/>
    <w:rsid w:val="00F86FA4"/>
    <w:rsid w:val="00F871A8"/>
    <w:rsid w:val="00F871BB"/>
    <w:rsid w:val="00F87231"/>
    <w:rsid w:val="00F87281"/>
    <w:rsid w:val="00F872E1"/>
    <w:rsid w:val="00F875A5"/>
    <w:rsid w:val="00F9005A"/>
    <w:rsid w:val="00F90320"/>
    <w:rsid w:val="00F90358"/>
    <w:rsid w:val="00F9052A"/>
    <w:rsid w:val="00F9085F"/>
    <w:rsid w:val="00F90CF9"/>
    <w:rsid w:val="00F90F92"/>
    <w:rsid w:val="00F9186D"/>
    <w:rsid w:val="00F918CF"/>
    <w:rsid w:val="00F91BAC"/>
    <w:rsid w:val="00F91F28"/>
    <w:rsid w:val="00F924C9"/>
    <w:rsid w:val="00F92860"/>
    <w:rsid w:val="00F9287F"/>
    <w:rsid w:val="00F9288E"/>
    <w:rsid w:val="00F931C8"/>
    <w:rsid w:val="00F93239"/>
    <w:rsid w:val="00F937A0"/>
    <w:rsid w:val="00F937DF"/>
    <w:rsid w:val="00F93C5D"/>
    <w:rsid w:val="00F940D0"/>
    <w:rsid w:val="00F940FB"/>
    <w:rsid w:val="00F94110"/>
    <w:rsid w:val="00F9433E"/>
    <w:rsid w:val="00F94658"/>
    <w:rsid w:val="00F94D22"/>
    <w:rsid w:val="00F94F10"/>
    <w:rsid w:val="00F94F70"/>
    <w:rsid w:val="00F94FA5"/>
    <w:rsid w:val="00F953BC"/>
    <w:rsid w:val="00F953DA"/>
    <w:rsid w:val="00F95B80"/>
    <w:rsid w:val="00F95E54"/>
    <w:rsid w:val="00F96123"/>
    <w:rsid w:val="00F9627B"/>
    <w:rsid w:val="00F965BF"/>
    <w:rsid w:val="00F967CC"/>
    <w:rsid w:val="00F9728D"/>
    <w:rsid w:val="00F976D4"/>
    <w:rsid w:val="00F978FB"/>
    <w:rsid w:val="00F97962"/>
    <w:rsid w:val="00F97DE5"/>
    <w:rsid w:val="00F97F2C"/>
    <w:rsid w:val="00FA003B"/>
    <w:rsid w:val="00FA019D"/>
    <w:rsid w:val="00FA0221"/>
    <w:rsid w:val="00FA02EE"/>
    <w:rsid w:val="00FA04C6"/>
    <w:rsid w:val="00FA078E"/>
    <w:rsid w:val="00FA0936"/>
    <w:rsid w:val="00FA09A5"/>
    <w:rsid w:val="00FA0D4B"/>
    <w:rsid w:val="00FA0E06"/>
    <w:rsid w:val="00FA11D8"/>
    <w:rsid w:val="00FA11D9"/>
    <w:rsid w:val="00FA13F1"/>
    <w:rsid w:val="00FA1AAD"/>
    <w:rsid w:val="00FA1DA7"/>
    <w:rsid w:val="00FA23F9"/>
    <w:rsid w:val="00FA28DD"/>
    <w:rsid w:val="00FA2C5A"/>
    <w:rsid w:val="00FA2F16"/>
    <w:rsid w:val="00FA2F93"/>
    <w:rsid w:val="00FA2FA3"/>
    <w:rsid w:val="00FA3066"/>
    <w:rsid w:val="00FA3430"/>
    <w:rsid w:val="00FA34AA"/>
    <w:rsid w:val="00FA38C6"/>
    <w:rsid w:val="00FA3995"/>
    <w:rsid w:val="00FA3F60"/>
    <w:rsid w:val="00FA432A"/>
    <w:rsid w:val="00FA4693"/>
    <w:rsid w:val="00FA4B83"/>
    <w:rsid w:val="00FA4D2B"/>
    <w:rsid w:val="00FA502D"/>
    <w:rsid w:val="00FA56B4"/>
    <w:rsid w:val="00FA5703"/>
    <w:rsid w:val="00FA5B0A"/>
    <w:rsid w:val="00FA5DB1"/>
    <w:rsid w:val="00FA5EA3"/>
    <w:rsid w:val="00FA63DB"/>
    <w:rsid w:val="00FA64B0"/>
    <w:rsid w:val="00FA6777"/>
    <w:rsid w:val="00FA705B"/>
    <w:rsid w:val="00FA7199"/>
    <w:rsid w:val="00FA7764"/>
    <w:rsid w:val="00FA7F73"/>
    <w:rsid w:val="00FB0211"/>
    <w:rsid w:val="00FB0232"/>
    <w:rsid w:val="00FB0A60"/>
    <w:rsid w:val="00FB0CBC"/>
    <w:rsid w:val="00FB0FD6"/>
    <w:rsid w:val="00FB128F"/>
    <w:rsid w:val="00FB2502"/>
    <w:rsid w:val="00FB250F"/>
    <w:rsid w:val="00FB2AB9"/>
    <w:rsid w:val="00FB2B35"/>
    <w:rsid w:val="00FB2DD9"/>
    <w:rsid w:val="00FB2E9D"/>
    <w:rsid w:val="00FB2EF4"/>
    <w:rsid w:val="00FB2FCC"/>
    <w:rsid w:val="00FB33E7"/>
    <w:rsid w:val="00FB3775"/>
    <w:rsid w:val="00FB3CE4"/>
    <w:rsid w:val="00FB3E5B"/>
    <w:rsid w:val="00FB41DE"/>
    <w:rsid w:val="00FB42B7"/>
    <w:rsid w:val="00FB4983"/>
    <w:rsid w:val="00FB4A8D"/>
    <w:rsid w:val="00FB4BA4"/>
    <w:rsid w:val="00FB52AF"/>
    <w:rsid w:val="00FB5375"/>
    <w:rsid w:val="00FB569B"/>
    <w:rsid w:val="00FB5CF7"/>
    <w:rsid w:val="00FB6252"/>
    <w:rsid w:val="00FB6543"/>
    <w:rsid w:val="00FB6D31"/>
    <w:rsid w:val="00FB6E27"/>
    <w:rsid w:val="00FB6F4F"/>
    <w:rsid w:val="00FB6F86"/>
    <w:rsid w:val="00FB753A"/>
    <w:rsid w:val="00FB7C7C"/>
    <w:rsid w:val="00FB7FF0"/>
    <w:rsid w:val="00FC001A"/>
    <w:rsid w:val="00FC021D"/>
    <w:rsid w:val="00FC02EB"/>
    <w:rsid w:val="00FC0623"/>
    <w:rsid w:val="00FC0728"/>
    <w:rsid w:val="00FC07B9"/>
    <w:rsid w:val="00FC0D61"/>
    <w:rsid w:val="00FC11D7"/>
    <w:rsid w:val="00FC125D"/>
    <w:rsid w:val="00FC19C1"/>
    <w:rsid w:val="00FC1B9E"/>
    <w:rsid w:val="00FC201C"/>
    <w:rsid w:val="00FC20E8"/>
    <w:rsid w:val="00FC23C1"/>
    <w:rsid w:val="00FC23D7"/>
    <w:rsid w:val="00FC2549"/>
    <w:rsid w:val="00FC270D"/>
    <w:rsid w:val="00FC2D11"/>
    <w:rsid w:val="00FC3019"/>
    <w:rsid w:val="00FC3259"/>
    <w:rsid w:val="00FC3421"/>
    <w:rsid w:val="00FC34A7"/>
    <w:rsid w:val="00FC35AE"/>
    <w:rsid w:val="00FC36A8"/>
    <w:rsid w:val="00FC3880"/>
    <w:rsid w:val="00FC397E"/>
    <w:rsid w:val="00FC4015"/>
    <w:rsid w:val="00FC40D6"/>
    <w:rsid w:val="00FC4172"/>
    <w:rsid w:val="00FC43FC"/>
    <w:rsid w:val="00FC466A"/>
    <w:rsid w:val="00FC4824"/>
    <w:rsid w:val="00FC490A"/>
    <w:rsid w:val="00FC4B76"/>
    <w:rsid w:val="00FC4C08"/>
    <w:rsid w:val="00FC4EA5"/>
    <w:rsid w:val="00FC50FE"/>
    <w:rsid w:val="00FC52E8"/>
    <w:rsid w:val="00FC541C"/>
    <w:rsid w:val="00FC5817"/>
    <w:rsid w:val="00FC5D40"/>
    <w:rsid w:val="00FC5E5E"/>
    <w:rsid w:val="00FC5F48"/>
    <w:rsid w:val="00FC6166"/>
    <w:rsid w:val="00FC6230"/>
    <w:rsid w:val="00FC6E17"/>
    <w:rsid w:val="00FC6FD6"/>
    <w:rsid w:val="00FC7582"/>
    <w:rsid w:val="00FC78D3"/>
    <w:rsid w:val="00FC7B1C"/>
    <w:rsid w:val="00FC7D02"/>
    <w:rsid w:val="00FC7D6E"/>
    <w:rsid w:val="00FD080A"/>
    <w:rsid w:val="00FD0974"/>
    <w:rsid w:val="00FD0BA7"/>
    <w:rsid w:val="00FD100F"/>
    <w:rsid w:val="00FD102B"/>
    <w:rsid w:val="00FD1085"/>
    <w:rsid w:val="00FD12B0"/>
    <w:rsid w:val="00FD12F9"/>
    <w:rsid w:val="00FD1561"/>
    <w:rsid w:val="00FD15FA"/>
    <w:rsid w:val="00FD1762"/>
    <w:rsid w:val="00FD18EB"/>
    <w:rsid w:val="00FD19A3"/>
    <w:rsid w:val="00FD2048"/>
    <w:rsid w:val="00FD23F0"/>
    <w:rsid w:val="00FD25C2"/>
    <w:rsid w:val="00FD292B"/>
    <w:rsid w:val="00FD2E09"/>
    <w:rsid w:val="00FD3CD4"/>
    <w:rsid w:val="00FD3E1B"/>
    <w:rsid w:val="00FD3EB7"/>
    <w:rsid w:val="00FD3F0C"/>
    <w:rsid w:val="00FD41E1"/>
    <w:rsid w:val="00FD4B9E"/>
    <w:rsid w:val="00FD4DA0"/>
    <w:rsid w:val="00FD4E29"/>
    <w:rsid w:val="00FD4F01"/>
    <w:rsid w:val="00FD5231"/>
    <w:rsid w:val="00FD5975"/>
    <w:rsid w:val="00FD5B33"/>
    <w:rsid w:val="00FD5D54"/>
    <w:rsid w:val="00FD5E6E"/>
    <w:rsid w:val="00FD5E77"/>
    <w:rsid w:val="00FD630F"/>
    <w:rsid w:val="00FD682C"/>
    <w:rsid w:val="00FD687F"/>
    <w:rsid w:val="00FD68B0"/>
    <w:rsid w:val="00FD692C"/>
    <w:rsid w:val="00FD6DEF"/>
    <w:rsid w:val="00FD75E1"/>
    <w:rsid w:val="00FD7686"/>
    <w:rsid w:val="00FD7F65"/>
    <w:rsid w:val="00FE0204"/>
    <w:rsid w:val="00FE048B"/>
    <w:rsid w:val="00FE0556"/>
    <w:rsid w:val="00FE0751"/>
    <w:rsid w:val="00FE07FD"/>
    <w:rsid w:val="00FE08C7"/>
    <w:rsid w:val="00FE0A3D"/>
    <w:rsid w:val="00FE0BAB"/>
    <w:rsid w:val="00FE0C15"/>
    <w:rsid w:val="00FE0F42"/>
    <w:rsid w:val="00FE231D"/>
    <w:rsid w:val="00FE2448"/>
    <w:rsid w:val="00FE2452"/>
    <w:rsid w:val="00FE2482"/>
    <w:rsid w:val="00FE256E"/>
    <w:rsid w:val="00FE2AE3"/>
    <w:rsid w:val="00FE2E60"/>
    <w:rsid w:val="00FE2EB7"/>
    <w:rsid w:val="00FE322F"/>
    <w:rsid w:val="00FE3935"/>
    <w:rsid w:val="00FE3D38"/>
    <w:rsid w:val="00FE3DCE"/>
    <w:rsid w:val="00FE4190"/>
    <w:rsid w:val="00FE43D3"/>
    <w:rsid w:val="00FE45D1"/>
    <w:rsid w:val="00FE4649"/>
    <w:rsid w:val="00FE4CCF"/>
    <w:rsid w:val="00FE4DE8"/>
    <w:rsid w:val="00FE5109"/>
    <w:rsid w:val="00FE55F6"/>
    <w:rsid w:val="00FE5774"/>
    <w:rsid w:val="00FE5D41"/>
    <w:rsid w:val="00FE63F6"/>
    <w:rsid w:val="00FE6543"/>
    <w:rsid w:val="00FE6987"/>
    <w:rsid w:val="00FE6CAB"/>
    <w:rsid w:val="00FE6CC3"/>
    <w:rsid w:val="00FE701A"/>
    <w:rsid w:val="00FE71AE"/>
    <w:rsid w:val="00FE73A8"/>
    <w:rsid w:val="00FE7CAD"/>
    <w:rsid w:val="00FE7DE3"/>
    <w:rsid w:val="00FF0534"/>
    <w:rsid w:val="00FF09D7"/>
    <w:rsid w:val="00FF0B9A"/>
    <w:rsid w:val="00FF1512"/>
    <w:rsid w:val="00FF156C"/>
    <w:rsid w:val="00FF16F6"/>
    <w:rsid w:val="00FF1989"/>
    <w:rsid w:val="00FF1C60"/>
    <w:rsid w:val="00FF1E89"/>
    <w:rsid w:val="00FF29A4"/>
    <w:rsid w:val="00FF2B10"/>
    <w:rsid w:val="00FF32A3"/>
    <w:rsid w:val="00FF33E6"/>
    <w:rsid w:val="00FF3859"/>
    <w:rsid w:val="00FF3953"/>
    <w:rsid w:val="00FF3BA1"/>
    <w:rsid w:val="00FF3CC9"/>
    <w:rsid w:val="00FF477E"/>
    <w:rsid w:val="00FF4EF5"/>
    <w:rsid w:val="00FF4F11"/>
    <w:rsid w:val="00FF4F47"/>
    <w:rsid w:val="00FF4F69"/>
    <w:rsid w:val="00FF4FEE"/>
    <w:rsid w:val="00FF53E9"/>
    <w:rsid w:val="00FF54BF"/>
    <w:rsid w:val="00FF61E7"/>
    <w:rsid w:val="00FF64CF"/>
    <w:rsid w:val="00FF6696"/>
    <w:rsid w:val="00FF6DF8"/>
    <w:rsid w:val="00FF7222"/>
    <w:rsid w:val="00FF778D"/>
    <w:rsid w:val="00FF78F4"/>
    <w:rsid w:val="00FF7E87"/>
    <w:rsid w:val="00FF7F6D"/>
    <w:rsid w:val="01DC6E76"/>
    <w:rsid w:val="07BBF0EE"/>
    <w:rsid w:val="0910C1D7"/>
    <w:rsid w:val="0AE1F0A4"/>
    <w:rsid w:val="0C848C13"/>
    <w:rsid w:val="10100F39"/>
    <w:rsid w:val="10BFC426"/>
    <w:rsid w:val="114ADD31"/>
    <w:rsid w:val="13F1777F"/>
    <w:rsid w:val="14902766"/>
    <w:rsid w:val="1495F33C"/>
    <w:rsid w:val="193D0CFD"/>
    <w:rsid w:val="1A19B539"/>
    <w:rsid w:val="1ABF8308"/>
    <w:rsid w:val="1F12430A"/>
    <w:rsid w:val="218A1508"/>
    <w:rsid w:val="238EC9FA"/>
    <w:rsid w:val="24BF8C23"/>
    <w:rsid w:val="2680F3A2"/>
    <w:rsid w:val="2B3B4BC0"/>
    <w:rsid w:val="2D8EA701"/>
    <w:rsid w:val="31D44BF2"/>
    <w:rsid w:val="31FD632B"/>
    <w:rsid w:val="39CF5279"/>
    <w:rsid w:val="3C0D1A37"/>
    <w:rsid w:val="3C31683A"/>
    <w:rsid w:val="3C485BC9"/>
    <w:rsid w:val="4118F4EA"/>
    <w:rsid w:val="447AC08E"/>
    <w:rsid w:val="4726D368"/>
    <w:rsid w:val="47D7919E"/>
    <w:rsid w:val="48C50619"/>
    <w:rsid w:val="491FE6DD"/>
    <w:rsid w:val="49CC73C7"/>
    <w:rsid w:val="4CC4860B"/>
    <w:rsid w:val="4CFCAC8E"/>
    <w:rsid w:val="52E5F889"/>
    <w:rsid w:val="54F631D6"/>
    <w:rsid w:val="5590D5DB"/>
    <w:rsid w:val="55AC5137"/>
    <w:rsid w:val="56E213DA"/>
    <w:rsid w:val="57D279EF"/>
    <w:rsid w:val="5816A1BA"/>
    <w:rsid w:val="58C0242D"/>
    <w:rsid w:val="5CCB647B"/>
    <w:rsid w:val="5DE9D95A"/>
    <w:rsid w:val="5F655E96"/>
    <w:rsid w:val="612D4DF7"/>
    <w:rsid w:val="61DC7D98"/>
    <w:rsid w:val="652DFC7F"/>
    <w:rsid w:val="656545EE"/>
    <w:rsid w:val="659AA977"/>
    <w:rsid w:val="671C5D91"/>
    <w:rsid w:val="67685D80"/>
    <w:rsid w:val="6D642106"/>
    <w:rsid w:val="6DD89655"/>
    <w:rsid w:val="6E51F4DD"/>
    <w:rsid w:val="6F8709ED"/>
    <w:rsid w:val="70923EAD"/>
    <w:rsid w:val="72A2D1DD"/>
    <w:rsid w:val="73287A1A"/>
    <w:rsid w:val="73C04750"/>
    <w:rsid w:val="749618A6"/>
    <w:rsid w:val="77248A87"/>
    <w:rsid w:val="77CE1B15"/>
    <w:rsid w:val="77D6138E"/>
    <w:rsid w:val="785AFF3B"/>
    <w:rsid w:val="7B234568"/>
    <w:rsid w:val="7D5E507C"/>
    <w:rsid w:val="7DFF1EEA"/>
    <w:rsid w:val="7EF057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C42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9"/>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iPriority="99"/>
    <w:lsdException w:name="List Number 4" w:semiHidden="1"/>
    <w:lsdException w:name="List Number 5" w:semiHidden="1"/>
    <w:lsdException w:name="Title" w:uiPriority="10" w:qFormat="1"/>
    <w:lsdException w:name="Closing" w:semiHidden="1"/>
    <w:lsdException w:name="Signature" w:semiHidden="1"/>
    <w:lsdException w:name="Body Text" w:semiHidden="1" w:uiPriority="99"/>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543"/>
  </w:style>
  <w:style w:type="paragraph" w:styleId="Heading1">
    <w:name w:val="heading 1"/>
    <w:basedOn w:val="Normal"/>
    <w:next w:val="Normal"/>
    <w:link w:val="Heading1Char"/>
    <w:uiPriority w:val="9"/>
    <w:qFormat/>
    <w:rsid w:val="00DC1A63"/>
    <w:pPr>
      <w:keepNext/>
      <w:numPr>
        <w:numId w:val="6"/>
      </w:numPr>
      <w:spacing w:before="240" w:after="120" w:line="360" w:lineRule="auto"/>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uiPriority w:val="9"/>
    <w:unhideWhenUsed/>
    <w:qFormat/>
    <w:rsid w:val="00EA6321"/>
    <w:pPr>
      <w:keepNext/>
      <w:numPr>
        <w:ilvl w:val="1"/>
        <w:numId w:val="21"/>
      </w:numPr>
      <w:spacing w:before="240" w:after="60" w:line="360" w:lineRule="auto"/>
      <w:outlineLvl w:val="1"/>
    </w:pPr>
    <w:rPr>
      <w:rFonts w:ascii="Arial" w:eastAsia="Times New Roman" w:hAnsi="Arial" w:cs="Arial"/>
      <w:b/>
      <w:bCs/>
      <w:color w:val="228096"/>
      <w:sz w:val="28"/>
      <w:szCs w:val="28"/>
      <w:lang w:eastAsia="en-US"/>
    </w:rPr>
  </w:style>
  <w:style w:type="paragraph" w:styleId="Heading3">
    <w:name w:val="heading 3"/>
    <w:basedOn w:val="Normal"/>
    <w:next w:val="Normal"/>
    <w:link w:val="Heading3Char"/>
    <w:uiPriority w:val="9"/>
    <w:unhideWhenUsed/>
    <w:qFormat/>
    <w:rsid w:val="007406E4"/>
    <w:pPr>
      <w:keepNext/>
      <w:spacing w:before="240" w:after="60" w:line="360" w:lineRule="auto"/>
      <w:outlineLvl w:val="2"/>
    </w:pPr>
    <w:rPr>
      <w:rFonts w:ascii="Arial" w:eastAsia="Times New Roman" w:hAnsi="Arial" w:cs="Arial"/>
      <w:b/>
      <w:bCs/>
      <w:sz w:val="26"/>
      <w:szCs w:val="24"/>
      <w:lang w:eastAsia="en-US"/>
    </w:rPr>
  </w:style>
  <w:style w:type="paragraph" w:styleId="Heading4">
    <w:name w:val="heading 4"/>
    <w:basedOn w:val="Normal"/>
    <w:next w:val="Normal"/>
    <w:link w:val="Heading4Char"/>
    <w:uiPriority w:val="9"/>
    <w:unhideWhenUsed/>
    <w:qFormat/>
    <w:rsid w:val="00A56376"/>
    <w:pPr>
      <w:keepNext/>
      <w:keepLines/>
      <w:numPr>
        <w:ilvl w:val="3"/>
        <w:numId w:val="21"/>
      </w:numPr>
      <w:tabs>
        <w:tab w:val="num" w:pos="360"/>
      </w:tabs>
      <w:spacing w:before="40" w:after="0"/>
      <w:ind w:left="0" w:firstLine="0"/>
      <w:outlineLvl w:val="3"/>
    </w:pPr>
    <w:rPr>
      <w:rFonts w:asciiTheme="majorHAnsi" w:eastAsiaTheme="majorEastAsia" w:hAnsiTheme="majorHAnsi" w:cstheme="majorBidi"/>
      <w:color w:val="195F70" w:themeColor="accent1" w:themeShade="BF"/>
      <w:sz w:val="24"/>
      <w:szCs w:val="24"/>
    </w:rPr>
  </w:style>
  <w:style w:type="paragraph" w:styleId="Heading5">
    <w:name w:val="heading 5"/>
    <w:basedOn w:val="Normal"/>
    <w:next w:val="Normal"/>
    <w:link w:val="Heading5Char"/>
    <w:uiPriority w:val="9"/>
    <w:unhideWhenUsed/>
    <w:qFormat/>
    <w:rsid w:val="00A56376"/>
    <w:pPr>
      <w:keepNext/>
      <w:keepLines/>
      <w:numPr>
        <w:ilvl w:val="4"/>
        <w:numId w:val="21"/>
      </w:numPr>
      <w:tabs>
        <w:tab w:val="num" w:pos="360"/>
      </w:tabs>
      <w:spacing w:before="40" w:after="0"/>
      <w:ind w:left="0" w:firstLine="0"/>
      <w:outlineLvl w:val="4"/>
    </w:pPr>
    <w:rPr>
      <w:rFonts w:asciiTheme="majorHAnsi" w:eastAsiaTheme="majorEastAsia" w:hAnsiTheme="majorHAnsi" w:cstheme="majorBidi"/>
      <w:caps/>
      <w:color w:val="195F70" w:themeColor="accent1" w:themeShade="BF"/>
    </w:rPr>
  </w:style>
  <w:style w:type="paragraph" w:styleId="Heading6">
    <w:name w:val="heading 6"/>
    <w:basedOn w:val="Normal"/>
    <w:next w:val="Normal"/>
    <w:link w:val="Heading6Char"/>
    <w:uiPriority w:val="9"/>
    <w:unhideWhenUsed/>
    <w:qFormat/>
    <w:rsid w:val="00A56376"/>
    <w:pPr>
      <w:keepNext/>
      <w:keepLines/>
      <w:numPr>
        <w:ilvl w:val="5"/>
        <w:numId w:val="21"/>
      </w:numPr>
      <w:tabs>
        <w:tab w:val="num" w:pos="360"/>
      </w:tabs>
      <w:spacing w:before="40" w:after="0"/>
      <w:ind w:left="0" w:firstLine="0"/>
      <w:outlineLvl w:val="5"/>
    </w:pPr>
    <w:rPr>
      <w:rFonts w:asciiTheme="majorHAnsi" w:eastAsiaTheme="majorEastAsia" w:hAnsiTheme="majorHAnsi" w:cstheme="majorBidi"/>
      <w:i/>
      <w:iCs/>
      <w:caps/>
      <w:color w:val="11404B" w:themeColor="accent1" w:themeShade="80"/>
    </w:rPr>
  </w:style>
  <w:style w:type="paragraph" w:styleId="Heading7">
    <w:name w:val="heading 7"/>
    <w:basedOn w:val="Normal"/>
    <w:next w:val="Normal"/>
    <w:link w:val="Heading7Char"/>
    <w:uiPriority w:val="9"/>
    <w:unhideWhenUsed/>
    <w:qFormat/>
    <w:rsid w:val="00A56376"/>
    <w:pPr>
      <w:keepNext/>
      <w:keepLines/>
      <w:numPr>
        <w:ilvl w:val="6"/>
        <w:numId w:val="21"/>
      </w:numPr>
      <w:tabs>
        <w:tab w:val="num" w:pos="360"/>
      </w:tabs>
      <w:spacing w:before="40" w:after="0"/>
      <w:ind w:left="0" w:firstLine="0"/>
      <w:outlineLvl w:val="6"/>
    </w:pPr>
    <w:rPr>
      <w:rFonts w:asciiTheme="majorHAnsi" w:eastAsiaTheme="majorEastAsia" w:hAnsiTheme="majorHAnsi" w:cstheme="majorBidi"/>
      <w:b/>
      <w:bCs/>
      <w:color w:val="11404B" w:themeColor="accent1" w:themeShade="80"/>
    </w:rPr>
  </w:style>
  <w:style w:type="paragraph" w:styleId="Heading8">
    <w:name w:val="heading 8"/>
    <w:basedOn w:val="Normal"/>
    <w:next w:val="Normal"/>
    <w:link w:val="Heading8Char"/>
    <w:uiPriority w:val="9"/>
    <w:unhideWhenUsed/>
    <w:qFormat/>
    <w:rsid w:val="00A56376"/>
    <w:pPr>
      <w:keepNext/>
      <w:keepLines/>
      <w:numPr>
        <w:ilvl w:val="7"/>
        <w:numId w:val="21"/>
      </w:numPr>
      <w:tabs>
        <w:tab w:val="num" w:pos="360"/>
      </w:tabs>
      <w:spacing w:before="40" w:after="0"/>
      <w:ind w:left="0" w:firstLine="0"/>
      <w:outlineLvl w:val="7"/>
    </w:pPr>
    <w:rPr>
      <w:rFonts w:asciiTheme="majorHAnsi" w:eastAsiaTheme="majorEastAsia" w:hAnsiTheme="majorHAnsi" w:cstheme="majorBidi"/>
      <w:b/>
      <w:bCs/>
      <w:i/>
      <w:iCs/>
      <w:color w:val="11404B" w:themeColor="accent1" w:themeShade="80"/>
    </w:rPr>
  </w:style>
  <w:style w:type="paragraph" w:styleId="Heading9">
    <w:name w:val="heading 9"/>
    <w:basedOn w:val="Normal"/>
    <w:next w:val="Normal"/>
    <w:link w:val="Heading9Char"/>
    <w:uiPriority w:val="9"/>
    <w:unhideWhenUsed/>
    <w:qFormat/>
    <w:rsid w:val="00A56376"/>
    <w:pPr>
      <w:keepNext/>
      <w:keepLines/>
      <w:numPr>
        <w:ilvl w:val="8"/>
        <w:numId w:val="21"/>
      </w:numPr>
      <w:tabs>
        <w:tab w:val="num" w:pos="360"/>
      </w:tabs>
      <w:spacing w:before="40" w:after="0"/>
      <w:ind w:left="0" w:firstLine="0"/>
      <w:outlineLvl w:val="8"/>
    </w:pPr>
    <w:rPr>
      <w:rFonts w:asciiTheme="majorHAnsi" w:eastAsiaTheme="majorEastAsia" w:hAnsiTheme="majorHAnsi" w:cstheme="majorBidi"/>
      <w:i/>
      <w:iCs/>
      <w:color w:val="11404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rsid w:val="00624140"/>
    <w:pPr>
      <w:numPr>
        <w:numId w:val="1"/>
      </w:numPr>
      <w:tabs>
        <w:tab w:val="left" w:pos="426"/>
      </w:tabs>
      <w:spacing w:after="240" w:line="360" w:lineRule="auto"/>
    </w:pPr>
    <w:rPr>
      <w:rFonts w:ascii="Arial" w:hAnsi="Arial"/>
      <w:lang w:eastAsia="en-US"/>
    </w:rPr>
  </w:style>
  <w:style w:type="paragraph" w:styleId="Title">
    <w:name w:val="Title"/>
    <w:basedOn w:val="Normal"/>
    <w:next w:val="Normal"/>
    <w:link w:val="TitleChar"/>
    <w:uiPriority w:val="10"/>
    <w:qFormat/>
    <w:rsid w:val="00A56376"/>
    <w:pPr>
      <w:spacing w:after="0" w:line="204" w:lineRule="auto"/>
      <w:contextualSpacing/>
    </w:pPr>
    <w:rPr>
      <w:rFonts w:asciiTheme="majorHAnsi" w:eastAsiaTheme="majorEastAsia" w:hAnsiTheme="majorHAnsi" w:cstheme="majorBidi"/>
      <w:caps/>
      <w:color w:val="00436C" w:themeColor="text2"/>
      <w:spacing w:val="-15"/>
      <w:sz w:val="72"/>
      <w:szCs w:val="72"/>
    </w:rPr>
  </w:style>
  <w:style w:type="character" w:customStyle="1" w:styleId="TitleChar">
    <w:name w:val="Title Char"/>
    <w:basedOn w:val="DefaultParagraphFont"/>
    <w:link w:val="Title"/>
    <w:uiPriority w:val="10"/>
    <w:rsid w:val="00A56376"/>
    <w:rPr>
      <w:rFonts w:asciiTheme="majorHAnsi" w:eastAsiaTheme="majorEastAsia" w:hAnsiTheme="majorHAnsi" w:cstheme="majorBidi"/>
      <w:caps/>
      <w:color w:val="00436C" w:themeColor="text2"/>
      <w:spacing w:val="-15"/>
      <w:sz w:val="72"/>
      <w:szCs w:val="72"/>
    </w:rPr>
  </w:style>
  <w:style w:type="character" w:customStyle="1" w:styleId="Heading1Char">
    <w:name w:val="Heading 1 Char"/>
    <w:basedOn w:val="DefaultParagraphFont"/>
    <w:link w:val="Heading1"/>
    <w:uiPriority w:val="9"/>
    <w:rsid w:val="00A56376"/>
    <w:rPr>
      <w:rFonts w:ascii="Arial" w:eastAsia="Times New Roman" w:hAnsi="Arial" w:cs="Arial"/>
      <w:b/>
      <w:bCs/>
      <w:kern w:val="32"/>
      <w:sz w:val="32"/>
      <w:szCs w:val="32"/>
      <w:lang w:eastAsia="en-US"/>
    </w:rPr>
  </w:style>
  <w:style w:type="paragraph" w:customStyle="1" w:styleId="Bullets">
    <w:name w:val="Bullets"/>
    <w:basedOn w:val="Normal"/>
    <w:uiPriority w:val="5"/>
    <w:rsid w:val="00C85682"/>
    <w:pPr>
      <w:numPr>
        <w:numId w:val="2"/>
      </w:numPr>
      <w:tabs>
        <w:tab w:val="left" w:pos="993"/>
      </w:tabs>
      <w:spacing w:line="360" w:lineRule="auto"/>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9"/>
    <w:rsid w:val="00A56376"/>
    <w:rPr>
      <w:rFonts w:ascii="Arial" w:eastAsia="Times New Roman" w:hAnsi="Arial" w:cs="Arial"/>
      <w:b/>
      <w:bCs/>
      <w:color w:val="228096"/>
      <w:sz w:val="28"/>
      <w:szCs w:val="28"/>
      <w:lang w:eastAsia="en-US"/>
    </w:rPr>
  </w:style>
  <w:style w:type="character" w:customStyle="1" w:styleId="Heading3Char">
    <w:name w:val="Heading 3 Char"/>
    <w:basedOn w:val="DefaultParagraphFont"/>
    <w:link w:val="Heading3"/>
    <w:uiPriority w:val="9"/>
    <w:rsid w:val="004C771D"/>
    <w:rPr>
      <w:rFonts w:ascii="Arial" w:eastAsia="Times New Roman" w:hAnsi="Arial" w:cs="Arial"/>
      <w:b/>
      <w:bCs/>
      <w:sz w:val="26"/>
      <w:szCs w:val="24"/>
      <w:lang w:eastAsia="en-US"/>
    </w:rPr>
  </w:style>
  <w:style w:type="paragraph" w:customStyle="1" w:styleId="Subbullets">
    <w:name w:val="Sub bullets"/>
    <w:basedOn w:val="Normal"/>
    <w:uiPriority w:val="6"/>
    <w:rsid w:val="00C85682"/>
    <w:pPr>
      <w:numPr>
        <w:numId w:val="3"/>
      </w:numPr>
      <w:tabs>
        <w:tab w:val="left" w:pos="1276"/>
      </w:tabs>
      <w:spacing w:line="360" w:lineRule="auto"/>
    </w:pPr>
    <w:rPr>
      <w:rFonts w:ascii="Arial" w:hAnsi="Arial"/>
    </w:rPr>
  </w:style>
  <w:style w:type="paragraph" w:customStyle="1" w:styleId="Paragraph">
    <w:name w:val="Paragraph"/>
    <w:basedOn w:val="Normal"/>
    <w:qFormat/>
    <w:rsid w:val="003442C7"/>
    <w:pPr>
      <w:spacing w:after="240" w:line="360" w:lineRule="auto"/>
    </w:pPr>
    <w:rPr>
      <w:lang w:eastAsia="en-US"/>
    </w:rPr>
  </w:style>
  <w:style w:type="paragraph" w:styleId="TOC1">
    <w:name w:val="toc 1"/>
    <w:aliases w:val="Heading"/>
    <w:basedOn w:val="Normal"/>
    <w:next w:val="Normal"/>
    <w:autoRedefine/>
    <w:uiPriority w:val="39"/>
    <w:rsid w:val="002B7735"/>
    <w:pPr>
      <w:tabs>
        <w:tab w:val="left" w:pos="480"/>
        <w:tab w:val="right" w:leader="dot" w:pos="14112"/>
      </w:tabs>
      <w:spacing w:before="180" w:after="60" w:line="240" w:lineRule="auto"/>
    </w:pPr>
    <w:rPr>
      <w:rFonts w:ascii="Inter" w:hAnsi="Inter"/>
      <w:b/>
    </w:rPr>
  </w:style>
  <w:style w:type="paragraph" w:styleId="TOC2">
    <w:name w:val="toc 2"/>
    <w:basedOn w:val="Normal"/>
    <w:next w:val="Normal"/>
    <w:autoRedefine/>
    <w:uiPriority w:val="39"/>
    <w:rsid w:val="009D45C6"/>
    <w:pPr>
      <w:spacing w:after="0" w:line="240" w:lineRule="auto"/>
      <w:ind w:left="238"/>
    </w:pPr>
    <w:rPr>
      <w:rFonts w:ascii="Inter" w:hAnsi="Inter"/>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uiPriority w:val="9"/>
    <w:rsid w:val="00A56376"/>
    <w:rPr>
      <w:rFonts w:asciiTheme="majorHAnsi" w:eastAsiaTheme="majorEastAsia" w:hAnsiTheme="majorHAnsi" w:cstheme="majorBidi"/>
      <w:color w:val="195F70" w:themeColor="accent1" w:themeShade="BF"/>
      <w:sz w:val="24"/>
      <w:szCs w:val="24"/>
    </w:rPr>
  </w:style>
  <w:style w:type="paragraph" w:styleId="Caption">
    <w:name w:val="caption"/>
    <w:basedOn w:val="Normal"/>
    <w:next w:val="Normal"/>
    <w:uiPriority w:val="35"/>
    <w:unhideWhenUsed/>
    <w:qFormat/>
    <w:rsid w:val="00A56376"/>
    <w:pPr>
      <w:spacing w:line="240" w:lineRule="auto"/>
    </w:pPr>
    <w:rPr>
      <w:b/>
      <w:bCs/>
      <w:smallCaps/>
      <w:color w:val="00436C" w:themeColor="text2"/>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lang w:eastAsia="en-US"/>
    </w:rPr>
  </w:style>
  <w:style w:type="paragraph" w:customStyle="1" w:styleId="Tablebullet">
    <w:name w:val="Table bullet"/>
    <w:basedOn w:val="Tabletext"/>
    <w:rsid w:val="00833D8A"/>
    <w:pPr>
      <w:numPr>
        <w:numId w:val="4"/>
      </w:numPr>
    </w:pPr>
  </w:style>
  <w:style w:type="table" w:styleId="TableGrid">
    <w:name w:val="Table Grid"/>
    <w:basedOn w:val="TableNormal"/>
    <w:uiPriority w:val="3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rsid w:val="00C85682"/>
    <w:pPr>
      <w:numPr>
        <w:numId w:val="5"/>
      </w:numPr>
    </w:pPr>
  </w:style>
  <w:style w:type="paragraph" w:customStyle="1" w:styleId="Panelwhitetext">
    <w:name w:val="Panel white text"/>
    <w:basedOn w:val="Paragraph"/>
    <w:rsid w:val="00D1699D"/>
    <w:rPr>
      <w:b/>
      <w:color w:val="FFFFFF"/>
    </w:rPr>
  </w:style>
  <w:style w:type="paragraph" w:customStyle="1" w:styleId="Title2">
    <w:name w:val="Title 2"/>
    <w:basedOn w:val="Title"/>
    <w:rsid w:val="00157BBE"/>
    <w:rPr>
      <w:color w:val="228096" w:themeColor="accent1"/>
      <w:sz w:val="32"/>
    </w:rPr>
  </w:style>
  <w:style w:type="paragraph" w:customStyle="1" w:styleId="Paragraphindent">
    <w:name w:val="Paragraph indent"/>
    <w:basedOn w:val="Paragraph"/>
    <w:next w:val="Paragraph"/>
    <w:rsid w:val="001A6635"/>
    <w:pPr>
      <w:tabs>
        <w:tab w:val="left" w:pos="567"/>
      </w:tabs>
      <w:ind w:left="567"/>
    </w:pPr>
  </w:style>
  <w:style w:type="paragraph" w:styleId="TOCHeading">
    <w:name w:val="TOC Heading"/>
    <w:basedOn w:val="Title"/>
    <w:next w:val="Normal"/>
    <w:uiPriority w:val="39"/>
    <w:unhideWhenUsed/>
    <w:qFormat/>
    <w:rsid w:val="00A56376"/>
  </w:style>
  <w:style w:type="paragraph" w:customStyle="1" w:styleId="Pullquote">
    <w:name w:val="Pull quote"/>
    <w:basedOn w:val="Paragraph"/>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uiPriority w:val="9"/>
    <w:rsid w:val="00A56376"/>
    <w:rPr>
      <w:rFonts w:asciiTheme="majorHAnsi" w:eastAsiaTheme="majorEastAsia" w:hAnsiTheme="majorHAnsi" w:cstheme="majorBidi"/>
      <w:caps/>
      <w:color w:val="195F70" w:themeColor="accent1" w:themeShade="BF"/>
    </w:rPr>
  </w:style>
  <w:style w:type="character" w:customStyle="1" w:styleId="Heading6Char">
    <w:name w:val="Heading 6 Char"/>
    <w:basedOn w:val="DefaultParagraphFont"/>
    <w:link w:val="Heading6"/>
    <w:uiPriority w:val="9"/>
    <w:rsid w:val="00A56376"/>
    <w:rPr>
      <w:rFonts w:asciiTheme="majorHAnsi" w:eastAsiaTheme="majorEastAsia" w:hAnsiTheme="majorHAnsi" w:cstheme="majorBidi"/>
      <w:i/>
      <w:iCs/>
      <w:caps/>
      <w:color w:val="11404B" w:themeColor="accent1" w:themeShade="80"/>
    </w:rPr>
  </w:style>
  <w:style w:type="character" w:customStyle="1" w:styleId="Heading7Char">
    <w:name w:val="Heading 7 Char"/>
    <w:basedOn w:val="DefaultParagraphFont"/>
    <w:link w:val="Heading7"/>
    <w:uiPriority w:val="9"/>
    <w:rsid w:val="00A56376"/>
    <w:rPr>
      <w:rFonts w:asciiTheme="majorHAnsi" w:eastAsiaTheme="majorEastAsia" w:hAnsiTheme="majorHAnsi" w:cstheme="majorBidi"/>
      <w:b/>
      <w:bCs/>
      <w:color w:val="11404B" w:themeColor="accent1" w:themeShade="80"/>
    </w:rPr>
  </w:style>
  <w:style w:type="character" w:customStyle="1" w:styleId="Heading8Char">
    <w:name w:val="Heading 8 Char"/>
    <w:basedOn w:val="DefaultParagraphFont"/>
    <w:link w:val="Heading8"/>
    <w:uiPriority w:val="9"/>
    <w:rsid w:val="00A56376"/>
    <w:rPr>
      <w:rFonts w:asciiTheme="majorHAnsi" w:eastAsiaTheme="majorEastAsia" w:hAnsiTheme="majorHAnsi" w:cstheme="majorBidi"/>
      <w:b/>
      <w:bCs/>
      <w:i/>
      <w:iCs/>
      <w:color w:val="11404B" w:themeColor="accent1" w:themeShade="80"/>
    </w:rPr>
  </w:style>
  <w:style w:type="character" w:customStyle="1" w:styleId="Heading9Char">
    <w:name w:val="Heading 9 Char"/>
    <w:basedOn w:val="DefaultParagraphFont"/>
    <w:link w:val="Heading9"/>
    <w:uiPriority w:val="9"/>
    <w:rsid w:val="00A56376"/>
    <w:rPr>
      <w:rFonts w:asciiTheme="majorHAnsi" w:eastAsiaTheme="majorEastAsia" w:hAnsiTheme="majorHAnsi" w:cstheme="majorBidi"/>
      <w:i/>
      <w:iCs/>
      <w:color w:val="11404B" w:themeColor="accent1" w:themeShade="80"/>
    </w:rPr>
  </w:style>
  <w:style w:type="paragraph" w:styleId="Subtitle">
    <w:name w:val="Subtitle"/>
    <w:basedOn w:val="Normal"/>
    <w:next w:val="Normal"/>
    <w:link w:val="SubtitleChar"/>
    <w:uiPriority w:val="11"/>
    <w:qFormat/>
    <w:rsid w:val="00A56376"/>
    <w:pPr>
      <w:numPr>
        <w:ilvl w:val="1"/>
      </w:numPr>
      <w:spacing w:after="240" w:line="240" w:lineRule="auto"/>
    </w:pPr>
    <w:rPr>
      <w:rFonts w:asciiTheme="majorHAnsi" w:eastAsiaTheme="majorEastAsia" w:hAnsiTheme="majorHAnsi" w:cstheme="majorBidi"/>
      <w:color w:val="228096" w:themeColor="accent1"/>
      <w:sz w:val="28"/>
      <w:szCs w:val="28"/>
    </w:rPr>
  </w:style>
  <w:style w:type="character" w:customStyle="1" w:styleId="SubtitleChar">
    <w:name w:val="Subtitle Char"/>
    <w:basedOn w:val="DefaultParagraphFont"/>
    <w:link w:val="Subtitle"/>
    <w:uiPriority w:val="11"/>
    <w:rsid w:val="00A56376"/>
    <w:rPr>
      <w:rFonts w:asciiTheme="majorHAnsi" w:eastAsiaTheme="majorEastAsia" w:hAnsiTheme="majorHAnsi" w:cstheme="majorBidi"/>
      <w:color w:val="228096" w:themeColor="accent1"/>
      <w:sz w:val="28"/>
      <w:szCs w:val="28"/>
    </w:rPr>
  </w:style>
  <w:style w:type="paragraph" w:styleId="Quote">
    <w:name w:val="Quote"/>
    <w:basedOn w:val="Normal"/>
    <w:next w:val="Normal"/>
    <w:link w:val="QuoteChar"/>
    <w:uiPriority w:val="29"/>
    <w:qFormat/>
    <w:rsid w:val="00A56376"/>
    <w:pPr>
      <w:spacing w:before="120" w:after="120"/>
      <w:ind w:left="720"/>
    </w:pPr>
    <w:rPr>
      <w:color w:val="00436C" w:themeColor="text2"/>
      <w:sz w:val="24"/>
      <w:szCs w:val="24"/>
    </w:rPr>
  </w:style>
  <w:style w:type="character" w:customStyle="1" w:styleId="QuoteChar">
    <w:name w:val="Quote Char"/>
    <w:basedOn w:val="DefaultParagraphFont"/>
    <w:link w:val="Quote"/>
    <w:uiPriority w:val="29"/>
    <w:rsid w:val="00A56376"/>
    <w:rPr>
      <w:color w:val="00436C" w:themeColor="text2"/>
      <w:sz w:val="24"/>
      <w:szCs w:val="24"/>
    </w:rPr>
  </w:style>
  <w:style w:type="paragraph" w:styleId="ListParagraph">
    <w:name w:val="List Paragraph"/>
    <w:basedOn w:val="Normal"/>
    <w:uiPriority w:val="34"/>
    <w:qFormat/>
    <w:rsid w:val="00B96318"/>
    <w:pPr>
      <w:ind w:left="720"/>
      <w:contextualSpacing/>
    </w:pPr>
  </w:style>
  <w:style w:type="character" w:styleId="IntenseEmphasis">
    <w:name w:val="Intense Emphasis"/>
    <w:basedOn w:val="DefaultParagraphFont"/>
    <w:uiPriority w:val="21"/>
    <w:qFormat/>
    <w:rsid w:val="00A56376"/>
    <w:rPr>
      <w:b/>
      <w:bCs/>
      <w:i/>
      <w:iCs/>
    </w:rPr>
  </w:style>
  <w:style w:type="paragraph" w:styleId="IntenseQuote">
    <w:name w:val="Intense Quote"/>
    <w:basedOn w:val="Normal"/>
    <w:next w:val="Normal"/>
    <w:link w:val="IntenseQuoteChar"/>
    <w:uiPriority w:val="30"/>
    <w:qFormat/>
    <w:rsid w:val="00A56376"/>
    <w:pPr>
      <w:spacing w:before="100" w:beforeAutospacing="1" w:after="240" w:line="240" w:lineRule="auto"/>
      <w:ind w:left="720"/>
      <w:jc w:val="center"/>
    </w:pPr>
    <w:rPr>
      <w:rFonts w:asciiTheme="majorHAnsi" w:eastAsiaTheme="majorEastAsia" w:hAnsiTheme="majorHAnsi" w:cstheme="majorBidi"/>
      <w:color w:val="00436C" w:themeColor="text2"/>
      <w:spacing w:val="-6"/>
      <w:sz w:val="32"/>
      <w:szCs w:val="32"/>
    </w:rPr>
  </w:style>
  <w:style w:type="character" w:customStyle="1" w:styleId="IntenseQuoteChar">
    <w:name w:val="Intense Quote Char"/>
    <w:basedOn w:val="DefaultParagraphFont"/>
    <w:link w:val="IntenseQuote"/>
    <w:uiPriority w:val="30"/>
    <w:rsid w:val="00A56376"/>
    <w:rPr>
      <w:rFonts w:asciiTheme="majorHAnsi" w:eastAsiaTheme="majorEastAsia" w:hAnsiTheme="majorHAnsi" w:cstheme="majorBidi"/>
      <w:color w:val="00436C" w:themeColor="text2"/>
      <w:spacing w:val="-6"/>
      <w:sz w:val="32"/>
      <w:szCs w:val="32"/>
    </w:rPr>
  </w:style>
  <w:style w:type="character" w:styleId="IntenseReference">
    <w:name w:val="Intense Reference"/>
    <w:basedOn w:val="DefaultParagraphFont"/>
    <w:uiPriority w:val="32"/>
    <w:qFormat/>
    <w:rsid w:val="00A56376"/>
    <w:rPr>
      <w:b/>
      <w:bCs/>
      <w:smallCaps/>
      <w:color w:val="00436C" w:themeColor="text2"/>
      <w:u w:val="single"/>
    </w:rPr>
  </w:style>
  <w:style w:type="character" w:styleId="Strong">
    <w:name w:val="Strong"/>
    <w:basedOn w:val="DefaultParagraphFont"/>
    <w:uiPriority w:val="22"/>
    <w:qFormat/>
    <w:rsid w:val="00A56376"/>
    <w:rPr>
      <w:b/>
      <w:bCs/>
    </w:rPr>
  </w:style>
  <w:style w:type="character" w:styleId="Emphasis">
    <w:name w:val="Emphasis"/>
    <w:basedOn w:val="DefaultParagraphFont"/>
    <w:uiPriority w:val="20"/>
    <w:qFormat/>
    <w:rsid w:val="00A56376"/>
    <w:rPr>
      <w:i/>
      <w:iCs/>
    </w:rPr>
  </w:style>
  <w:style w:type="paragraph" w:styleId="NoSpacing">
    <w:name w:val="No Spacing"/>
    <w:uiPriority w:val="1"/>
    <w:qFormat/>
    <w:rsid w:val="00A56376"/>
    <w:pPr>
      <w:spacing w:after="0" w:line="240" w:lineRule="auto"/>
    </w:pPr>
  </w:style>
  <w:style w:type="character" w:styleId="SubtleEmphasis">
    <w:name w:val="Subtle Emphasis"/>
    <w:basedOn w:val="DefaultParagraphFont"/>
    <w:uiPriority w:val="19"/>
    <w:qFormat/>
    <w:rsid w:val="00A56376"/>
    <w:rPr>
      <w:i/>
      <w:iCs/>
      <w:color w:val="595959" w:themeColor="text1" w:themeTint="A6"/>
    </w:rPr>
  </w:style>
  <w:style w:type="character" w:styleId="SubtleReference">
    <w:name w:val="Subtle Reference"/>
    <w:basedOn w:val="DefaultParagraphFont"/>
    <w:uiPriority w:val="31"/>
    <w:qFormat/>
    <w:rsid w:val="00A5637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A56376"/>
    <w:rPr>
      <w:b/>
      <w:bCs/>
      <w:smallCaps/>
      <w:spacing w:val="10"/>
    </w:rPr>
  </w:style>
  <w:style w:type="paragraph" w:styleId="FootnoteText">
    <w:name w:val="footnote text"/>
    <w:basedOn w:val="Normal"/>
    <w:link w:val="FootnoteTextChar"/>
    <w:semiHidden/>
    <w:rsid w:val="007A521B"/>
    <w:pPr>
      <w:spacing w:after="0" w:line="240" w:lineRule="auto"/>
    </w:pPr>
    <w:rPr>
      <w:sz w:val="20"/>
      <w:szCs w:val="20"/>
    </w:rPr>
  </w:style>
  <w:style w:type="character" w:customStyle="1" w:styleId="FootnoteTextChar">
    <w:name w:val="Footnote Text Char"/>
    <w:basedOn w:val="DefaultParagraphFont"/>
    <w:link w:val="FootnoteText"/>
    <w:semiHidden/>
    <w:rsid w:val="007A521B"/>
    <w:rPr>
      <w:sz w:val="20"/>
      <w:szCs w:val="20"/>
    </w:rPr>
  </w:style>
  <w:style w:type="character" w:styleId="FootnoteReference">
    <w:name w:val="footnote reference"/>
    <w:basedOn w:val="DefaultParagraphFont"/>
    <w:semiHidden/>
    <w:rsid w:val="007A521B"/>
    <w:rPr>
      <w:vertAlign w:val="superscript"/>
    </w:rPr>
  </w:style>
  <w:style w:type="character" w:styleId="PlaceholderText">
    <w:name w:val="Placeholder Text"/>
    <w:basedOn w:val="DefaultParagraphFont"/>
    <w:uiPriority w:val="99"/>
    <w:semiHidden/>
    <w:rsid w:val="00994C3D"/>
    <w:rPr>
      <w:color w:val="666666"/>
    </w:rPr>
  </w:style>
  <w:style w:type="paragraph" w:styleId="NormalWeb">
    <w:name w:val="Normal (Web)"/>
    <w:basedOn w:val="Normal"/>
    <w:uiPriority w:val="99"/>
    <w:unhideWhenUsed/>
    <w:rsid w:val="0062637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927BF"/>
    <w:pPr>
      <w:spacing w:after="0" w:line="240" w:lineRule="auto"/>
    </w:pPr>
  </w:style>
  <w:style w:type="character" w:styleId="Mention">
    <w:name w:val="Mention"/>
    <w:basedOn w:val="DefaultParagraphFont"/>
    <w:uiPriority w:val="99"/>
    <w:unhideWhenUsed/>
    <w:rsid w:val="00AE7067"/>
    <w:rPr>
      <w:color w:val="2B579A"/>
      <w:shd w:val="clear" w:color="auto" w:fill="E1DFDD"/>
    </w:rPr>
  </w:style>
  <w:style w:type="paragraph" w:styleId="BodyText">
    <w:name w:val="Body Text"/>
    <w:basedOn w:val="Normal"/>
    <w:link w:val="BodyTextChar"/>
    <w:uiPriority w:val="99"/>
    <w:unhideWhenUsed/>
    <w:rsid w:val="002F142D"/>
    <w:pPr>
      <w:spacing w:after="120" w:line="276" w:lineRule="auto"/>
    </w:pPr>
    <w:rPr>
      <w:rFonts w:ascii="Inter" w:hAnsi="Inter"/>
      <w:lang w:val="en-US" w:eastAsia="en-US"/>
    </w:rPr>
  </w:style>
  <w:style w:type="character" w:customStyle="1" w:styleId="BodyTextChar">
    <w:name w:val="Body Text Char"/>
    <w:basedOn w:val="DefaultParagraphFont"/>
    <w:link w:val="BodyText"/>
    <w:uiPriority w:val="99"/>
    <w:rsid w:val="002F142D"/>
    <w:rPr>
      <w:rFonts w:ascii="Inter" w:hAnsi="Inter"/>
      <w:lang w:val="en-US" w:eastAsia="en-US"/>
    </w:rPr>
  </w:style>
  <w:style w:type="paragraph" w:styleId="ListBullet">
    <w:name w:val="List Bullet"/>
    <w:basedOn w:val="Normal"/>
    <w:uiPriority w:val="99"/>
    <w:unhideWhenUsed/>
    <w:rsid w:val="002F142D"/>
    <w:pPr>
      <w:numPr>
        <w:numId w:val="23"/>
      </w:numPr>
      <w:spacing w:after="200" w:line="276" w:lineRule="auto"/>
      <w:contextualSpacing/>
    </w:pPr>
    <w:rPr>
      <w:rFonts w:ascii="Inter" w:hAnsi="Inter"/>
      <w:lang w:val="en-US" w:eastAsia="en-US"/>
    </w:rPr>
  </w:style>
  <w:style w:type="paragraph" w:styleId="ListNumber3">
    <w:name w:val="List Number 3"/>
    <w:basedOn w:val="Normal"/>
    <w:uiPriority w:val="99"/>
    <w:unhideWhenUsed/>
    <w:rsid w:val="002F142D"/>
    <w:pPr>
      <w:numPr>
        <w:numId w:val="24"/>
      </w:numPr>
      <w:spacing w:after="200" w:line="276" w:lineRule="auto"/>
      <w:contextualSpacing/>
    </w:pPr>
    <w:rPr>
      <w:rFonts w:ascii="Inter" w:hAnsi="Inter"/>
      <w:lang w:val="en-US" w:eastAsia="en-US"/>
    </w:rPr>
  </w:style>
  <w:style w:type="character" w:styleId="UnresolvedMention">
    <w:name w:val="Unresolved Mention"/>
    <w:basedOn w:val="DefaultParagraphFont"/>
    <w:uiPriority w:val="99"/>
    <w:semiHidden/>
    <w:unhideWhenUsed/>
    <w:rsid w:val="00FB0FD6"/>
    <w:rPr>
      <w:color w:val="605E5C"/>
      <w:shd w:val="clear" w:color="auto" w:fill="E1DFDD"/>
    </w:rPr>
  </w:style>
  <w:style w:type="paragraph" w:customStyle="1" w:styleId="NICEnormal">
    <w:name w:val="NICE normal"/>
    <w:link w:val="NICEnormalChar"/>
    <w:qFormat/>
    <w:rsid w:val="00F71D42"/>
    <w:pPr>
      <w:spacing w:after="240" w:line="360" w:lineRule="auto"/>
    </w:pPr>
    <w:rPr>
      <w:rFonts w:ascii="Arial" w:eastAsia="Times New Roman" w:hAnsi="Arial" w:cs="Times New Roman"/>
      <w:sz w:val="24"/>
      <w:szCs w:val="24"/>
      <w:lang w:eastAsia="en-US"/>
    </w:rPr>
  </w:style>
  <w:style w:type="character" w:customStyle="1" w:styleId="NICEnormalChar">
    <w:name w:val="NICE normal Char"/>
    <w:link w:val="NICEnormal"/>
    <w:rsid w:val="00F71D42"/>
    <w:rPr>
      <w:rFonts w:ascii="Arial" w:eastAsia="Times New Roman" w:hAnsi="Arial" w:cs="Times New Roman"/>
      <w:sz w:val="24"/>
      <w:szCs w:val="24"/>
      <w:lang w:eastAsia="en-US"/>
    </w:rPr>
  </w:style>
  <w:style w:type="character" w:customStyle="1" w:styleId="normaltextrun">
    <w:name w:val="normaltextrun"/>
    <w:basedOn w:val="DefaultParagraphFont"/>
    <w:rsid w:val="001C0CA7"/>
  </w:style>
  <w:style w:type="character" w:customStyle="1" w:styleId="eop">
    <w:name w:val="eop"/>
    <w:basedOn w:val="DefaultParagraphFont"/>
    <w:rsid w:val="001C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Path xmlns="289b8fc0-128f-4d7b-b8ee-34c94b7018e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1" ma:contentTypeDescription="Create a new document." ma:contentTypeScope="" ma:versionID="c06bc00170574f397b8ba3cc4f295479">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d50ae1c00709fb20cc31026d2c4bb713"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Path"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ilePath" ma:index="14" nillable="true" ma:displayName="FilePath" ma:internalName="FilePath">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FBCA8-F516-4A38-AC28-6A73D46688D0}">
  <ds:schemaRefs>
    <ds:schemaRef ds:uri="http://schemas.microsoft.com/office/2006/metadata/properties"/>
    <ds:schemaRef ds:uri="http://schemas.microsoft.com/office/infopath/2007/PartnerControls"/>
    <ds:schemaRef ds:uri="289b8fc0-128f-4d7b-b8ee-34c94b7018e7"/>
  </ds:schemaRefs>
</ds:datastoreItem>
</file>

<file path=customXml/itemProps2.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3.xml><?xml version="1.0" encoding="utf-8"?>
<ds:datastoreItem xmlns:ds="http://schemas.openxmlformats.org/officeDocument/2006/customXml" ds:itemID="{835CF214-1FF8-4414-A08C-A8BB21DC542E}">
  <ds:schemaRefs>
    <ds:schemaRef ds:uri="http://schemas.microsoft.com/sharepoint/v3/contenttype/forms"/>
  </ds:schemaRefs>
</ds:datastoreItem>
</file>

<file path=customXml/itemProps4.xml><?xml version="1.0" encoding="utf-8"?>
<ds:datastoreItem xmlns:ds="http://schemas.openxmlformats.org/officeDocument/2006/customXml" ds:itemID="{C7410AF0-B205-411C-8688-8F9613630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9d85d5-6d9e-4305-a294-1f636ec0f2d6}" enabled="1" method="Standard" siteId="{6030f479-b342-472d-a5dd-740ff7538de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4164</Words>
  <Characters>24573</Characters>
  <Application>Microsoft Office Word</Application>
  <DocSecurity>0</DocSecurity>
  <Lines>982</Lines>
  <Paragraphs>718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2026-07-08T11:12:00Z</dcterms:created>
  <dcterms:modified xsi:type="dcterms:W3CDTF">2026-07-09T08:48:00Z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ies>
</file>