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45CFC" w14:textId="2A9D03D9" w:rsidR="00057044" w:rsidRPr="007355DB" w:rsidRDefault="00057044" w:rsidP="0025588A">
      <w:pPr>
        <w:pStyle w:val="Title1"/>
      </w:pPr>
      <w:r w:rsidRPr="007355DB">
        <w:t>Board meeting</w:t>
      </w:r>
    </w:p>
    <w:p w14:paraId="109FFCBA" w14:textId="76A1E530" w:rsidR="004B4705" w:rsidRPr="007355DB" w:rsidRDefault="00A33717" w:rsidP="003D3B28">
      <w:pPr>
        <w:pStyle w:val="Title20"/>
      </w:pPr>
      <w:r w:rsidRPr="007355DB">
        <w:t>20 May 2025</w:t>
      </w:r>
    </w:p>
    <w:p w14:paraId="64AF227E" w14:textId="64A40441" w:rsidR="00094B5D" w:rsidRPr="007355DB" w:rsidRDefault="00A33717" w:rsidP="003D3B28">
      <w:pPr>
        <w:pStyle w:val="Title1"/>
      </w:pPr>
      <w:r w:rsidRPr="007355DB">
        <w:t>HealthTech Manual post consultation</w:t>
      </w:r>
    </w:p>
    <w:p w14:paraId="2DCB1B15" w14:textId="77777777" w:rsidR="009B1D56" w:rsidRPr="007355DB" w:rsidRDefault="009B1D56" w:rsidP="003D3B28">
      <w:pPr>
        <w:pStyle w:val="Heading1boardreport"/>
      </w:pPr>
      <w:r w:rsidRPr="007355DB">
        <w:t>Purpose of paper</w:t>
      </w:r>
    </w:p>
    <w:p w14:paraId="63DAD044" w14:textId="5E39E11B" w:rsidR="009B1D56" w:rsidRPr="007355DB" w:rsidRDefault="00A33717" w:rsidP="003830CE">
      <w:pPr>
        <w:pStyle w:val="NICEnormal"/>
      </w:pPr>
      <w:r w:rsidRPr="007355DB">
        <w:t>For decision</w:t>
      </w:r>
    </w:p>
    <w:p w14:paraId="5C74A029" w14:textId="77777777" w:rsidR="009B1D56" w:rsidRPr="007355DB" w:rsidRDefault="009B1D56" w:rsidP="003D3B28">
      <w:pPr>
        <w:pStyle w:val="Heading1boardreport"/>
      </w:pPr>
      <w:r w:rsidRPr="007355DB">
        <w:t>Board action required</w:t>
      </w:r>
    </w:p>
    <w:p w14:paraId="01312E79" w14:textId="6382E3A7" w:rsidR="009B1D56" w:rsidRPr="007355DB" w:rsidRDefault="00A33717" w:rsidP="003830CE">
      <w:pPr>
        <w:pStyle w:val="NICEnormal"/>
      </w:pPr>
      <w:r w:rsidRPr="007355DB">
        <w:t>The Board is asked to</w:t>
      </w:r>
      <w:r w:rsidR="00CC0F0F" w:rsidRPr="007355DB">
        <w:t>:</w:t>
      </w:r>
    </w:p>
    <w:p w14:paraId="4D3DEA0C" w14:textId="5E8137A1" w:rsidR="00CC0F0F" w:rsidRPr="007355DB" w:rsidRDefault="00CC0F0F" w:rsidP="00CC0F0F">
      <w:pPr>
        <w:pStyle w:val="NICEnormal"/>
        <w:numPr>
          <w:ilvl w:val="1"/>
          <w:numId w:val="28"/>
        </w:numPr>
      </w:pPr>
      <w:r w:rsidRPr="007355DB">
        <w:t>Approve publication of the</w:t>
      </w:r>
      <w:r w:rsidR="11BB89E0" w:rsidRPr="007355DB">
        <w:t xml:space="preserve"> HealthTech manual</w:t>
      </w:r>
    </w:p>
    <w:p w14:paraId="3647E279" w14:textId="574F5D54" w:rsidR="00CC0F0F" w:rsidRPr="007355DB" w:rsidRDefault="00CC0F0F" w:rsidP="003830CE">
      <w:pPr>
        <w:pStyle w:val="NICEnormal"/>
        <w:numPr>
          <w:ilvl w:val="1"/>
          <w:numId w:val="28"/>
        </w:numPr>
      </w:pPr>
      <w:r w:rsidRPr="007355DB">
        <w:t xml:space="preserve">Approve publication of NICE’s thematic responses to comments on </w:t>
      </w:r>
      <w:r w:rsidR="3DEB8A73" w:rsidRPr="007355DB">
        <w:t xml:space="preserve">the </w:t>
      </w:r>
      <w:r w:rsidRPr="007355DB">
        <w:t>consultation</w:t>
      </w:r>
    </w:p>
    <w:p w14:paraId="7228253D" w14:textId="12C47F4C" w:rsidR="00CC0F0F" w:rsidRPr="007355DB" w:rsidRDefault="00CC0F0F" w:rsidP="003830CE">
      <w:pPr>
        <w:pStyle w:val="NICEnormal"/>
        <w:numPr>
          <w:ilvl w:val="1"/>
          <w:numId w:val="28"/>
        </w:numPr>
      </w:pPr>
      <w:r w:rsidRPr="007355DB">
        <w:t>Approve</w:t>
      </w:r>
      <w:r w:rsidR="24B62499" w:rsidRPr="007355DB">
        <w:t xml:space="preserve"> </w:t>
      </w:r>
      <w:r w:rsidRPr="007355DB">
        <w:t xml:space="preserve">minor updates to </w:t>
      </w:r>
      <w:hyperlink r:id="rId8">
        <w:r w:rsidR="0DBFE24E" w:rsidRPr="007355DB">
          <w:rPr>
            <w:rStyle w:val="Hyperlink"/>
            <w:color w:val="4472C4" w:themeColor="accent1"/>
          </w:rPr>
          <w:t>NICE health technology evaluations: the manual</w:t>
        </w:r>
      </w:hyperlink>
      <w:r w:rsidR="0DBFE24E" w:rsidRPr="007355DB">
        <w:t xml:space="preserve"> and the </w:t>
      </w:r>
      <w:hyperlink r:id="rId9">
        <w:r w:rsidR="0DBFE24E" w:rsidRPr="007355DB">
          <w:rPr>
            <w:rStyle w:val="Hyperlink"/>
            <w:color w:val="4472C4" w:themeColor="accent1"/>
          </w:rPr>
          <w:t>Interventional procedures programme manual</w:t>
        </w:r>
      </w:hyperlink>
    </w:p>
    <w:p w14:paraId="2350E684" w14:textId="6B0E31A2" w:rsidR="00292731" w:rsidRPr="007355DB" w:rsidRDefault="00292731" w:rsidP="00292731">
      <w:pPr>
        <w:pStyle w:val="NICEnormalnumbered"/>
        <w:numPr>
          <w:ilvl w:val="1"/>
          <w:numId w:val="28"/>
        </w:numPr>
        <w:rPr>
          <w:noProof w:val="0"/>
        </w:rPr>
      </w:pPr>
      <w:r w:rsidRPr="007355DB">
        <w:rPr>
          <w:noProof w:val="0"/>
        </w:rPr>
        <w:t>Approve implementation of the HealthTech manual</w:t>
      </w:r>
      <w:r w:rsidR="005F036F" w:rsidRPr="007355DB">
        <w:rPr>
          <w:noProof w:val="0"/>
        </w:rPr>
        <w:t xml:space="preserve"> for July 2025</w:t>
      </w:r>
    </w:p>
    <w:p w14:paraId="56D088CF" w14:textId="77777777" w:rsidR="009B1D56" w:rsidRPr="007355DB" w:rsidRDefault="009B1D56" w:rsidP="003D3B28">
      <w:pPr>
        <w:pStyle w:val="Heading1boardreport"/>
      </w:pPr>
      <w:proofErr w:type="gramStart"/>
      <w:r w:rsidRPr="007355DB">
        <w:t>Brief summary</w:t>
      </w:r>
      <w:proofErr w:type="gramEnd"/>
    </w:p>
    <w:p w14:paraId="191D5787" w14:textId="4DC99B91" w:rsidR="009B1D56" w:rsidRPr="007355DB" w:rsidRDefault="00A33717" w:rsidP="003830CE">
      <w:pPr>
        <w:pStyle w:val="NICEnormal"/>
        <w:rPr>
          <w:highlight w:val="lightGray"/>
        </w:rPr>
      </w:pPr>
      <w:r w:rsidRPr="007355DB">
        <w:t>This paper provides an update on a public consultation held earlier this year on the first section of the HealthTech manual</w:t>
      </w:r>
      <w:r w:rsidR="1AEA6D69" w:rsidRPr="007355DB">
        <w:t xml:space="preserve">, and proposed minor updates to </w:t>
      </w:r>
      <w:hyperlink r:id="rId10">
        <w:r w:rsidR="1AEA6D69" w:rsidRPr="007355DB">
          <w:rPr>
            <w:rStyle w:val="Hyperlink"/>
            <w:color w:val="auto"/>
            <w:u w:val="none"/>
          </w:rPr>
          <w:t>NICE health technology evaluations: the manual</w:t>
        </w:r>
      </w:hyperlink>
      <w:r w:rsidR="1AEA6D69" w:rsidRPr="007355DB">
        <w:t xml:space="preserve"> and the </w:t>
      </w:r>
      <w:hyperlink r:id="rId11">
        <w:r w:rsidR="1AEA6D69" w:rsidRPr="007355DB">
          <w:rPr>
            <w:rStyle w:val="Hyperlink"/>
            <w:color w:val="auto"/>
            <w:u w:val="none"/>
          </w:rPr>
          <w:t>Interventional procedures programme manual</w:t>
        </w:r>
      </w:hyperlink>
      <w:r w:rsidRPr="007355DB">
        <w:t>. It provides an overview of the consultation comments, responses and next steps.</w:t>
      </w:r>
    </w:p>
    <w:p w14:paraId="15B38B52" w14:textId="77777777" w:rsidR="009B1D56" w:rsidRPr="007355DB" w:rsidRDefault="009B1D56" w:rsidP="003D3B28">
      <w:pPr>
        <w:pStyle w:val="Heading1boardreport"/>
      </w:pPr>
      <w:r w:rsidRPr="007355DB">
        <w:t>Board sponsor</w:t>
      </w:r>
    </w:p>
    <w:p w14:paraId="23F481E3" w14:textId="28DF1CB3" w:rsidR="009B1D56" w:rsidRPr="007355DB" w:rsidRDefault="00A33717" w:rsidP="003830CE">
      <w:pPr>
        <w:pStyle w:val="NICEnormal"/>
        <w:rPr>
          <w:highlight w:val="lightGray"/>
        </w:rPr>
      </w:pPr>
      <w:r w:rsidRPr="007355DB">
        <w:t>Mark Chapman, Director of Medical Technology</w:t>
      </w:r>
    </w:p>
    <w:p w14:paraId="7627A4AC" w14:textId="77777777" w:rsidR="004B4705" w:rsidRPr="007355DB" w:rsidRDefault="004B4705" w:rsidP="004511A7">
      <w:pPr>
        <w:pStyle w:val="NICEnormal"/>
      </w:pPr>
      <w:r w:rsidRPr="007355DB">
        <w:br w:type="page"/>
      </w:r>
    </w:p>
    <w:p w14:paraId="69E55810" w14:textId="77777777" w:rsidR="004B4705" w:rsidRPr="007355DB" w:rsidRDefault="004B4705" w:rsidP="003D3B28">
      <w:pPr>
        <w:pStyle w:val="Heading1boardreport"/>
      </w:pPr>
      <w:r w:rsidRPr="007355DB">
        <w:lastRenderedPageBreak/>
        <w:t xml:space="preserve">Introduction </w:t>
      </w:r>
    </w:p>
    <w:p w14:paraId="1E704823" w14:textId="307B562A" w:rsidR="004B4705" w:rsidRPr="007355DB" w:rsidRDefault="00A33717" w:rsidP="00A33717">
      <w:pPr>
        <w:pStyle w:val="NICEnormalnumbered"/>
        <w:rPr>
          <w:noProof w:val="0"/>
        </w:rPr>
      </w:pPr>
      <w:r w:rsidRPr="007355DB">
        <w:rPr>
          <w:noProof w:val="0"/>
        </w:rPr>
        <w:t xml:space="preserve">HealthTech is vital to delivering the 3 big shifts needed in the NHS, as outlined by government: from hospital to community; from analogue to digital; and from treating sickness to prevention. </w:t>
      </w:r>
      <w:proofErr w:type="gramStart"/>
      <w:r w:rsidRPr="007355DB">
        <w:rPr>
          <w:noProof w:val="0"/>
        </w:rPr>
        <w:t>In light of</w:t>
      </w:r>
      <w:proofErr w:type="gramEnd"/>
      <w:r w:rsidRPr="007355DB">
        <w:rPr>
          <w:noProof w:val="0"/>
        </w:rPr>
        <w:t xml:space="preserve"> advances in life sciences and technology, and the different demands on the health and care system, NICE has simplified its approach to HealthTech assessment and strengthened its partnership working to enable greater flexibility in assessment and increase its ability to respond to the needs of patients and the health and care system</w:t>
      </w:r>
      <w:r w:rsidR="002141BD" w:rsidRPr="007355DB">
        <w:rPr>
          <w:noProof w:val="0"/>
        </w:rPr>
        <w:t>.</w:t>
      </w:r>
    </w:p>
    <w:p w14:paraId="2FE2D249" w14:textId="5ACC94AA" w:rsidR="00237A94" w:rsidRPr="007355DB" w:rsidRDefault="00A33717" w:rsidP="00237A94">
      <w:pPr>
        <w:pStyle w:val="NICEnormalnumbered"/>
        <w:rPr>
          <w:noProof w:val="0"/>
        </w:rPr>
      </w:pPr>
      <w:r w:rsidRPr="007355DB">
        <w:rPr>
          <w:noProof w:val="0"/>
        </w:rPr>
        <w:t>The manual text that was developed, and has been consulted on, describe</w:t>
      </w:r>
      <w:r w:rsidR="00DF244F" w:rsidRPr="007355DB">
        <w:rPr>
          <w:noProof w:val="0"/>
        </w:rPr>
        <w:t>s</w:t>
      </w:r>
      <w:r w:rsidRPr="007355DB">
        <w:rPr>
          <w:noProof w:val="0"/>
        </w:rPr>
        <w:t xml:space="preserve"> the methods and processes for NICE when evaluating interventional procedures and HealthTech products. The methods and processes were designed to produce robust guidance for the NHS in an open, transparent and timely way, with appropriate contribution from stakeholders.</w:t>
      </w:r>
    </w:p>
    <w:p w14:paraId="548C36E3" w14:textId="09D040E6" w:rsidR="004B4705" w:rsidRPr="007355DB" w:rsidRDefault="00A33717" w:rsidP="00237A94">
      <w:pPr>
        <w:pStyle w:val="NICEnormalnumbered"/>
        <w:rPr>
          <w:noProof w:val="0"/>
        </w:rPr>
      </w:pPr>
      <w:r w:rsidRPr="007355DB">
        <w:rPr>
          <w:noProof w:val="0"/>
        </w:rPr>
        <w:t>The manual text also set</w:t>
      </w:r>
      <w:r w:rsidR="0060105A" w:rsidRPr="007355DB">
        <w:rPr>
          <w:noProof w:val="0"/>
        </w:rPr>
        <w:t>s</w:t>
      </w:r>
      <w:r w:rsidRPr="007355DB">
        <w:rPr>
          <w:noProof w:val="0"/>
        </w:rPr>
        <w:t xml:space="preserve"> out the life cycle approach </w:t>
      </w:r>
      <w:r w:rsidR="115EA617" w:rsidRPr="007355DB">
        <w:rPr>
          <w:noProof w:val="0"/>
        </w:rPr>
        <w:t>for guidance</w:t>
      </w:r>
      <w:r w:rsidRPr="007355DB">
        <w:rPr>
          <w:noProof w:val="0"/>
        </w:rPr>
        <w:t xml:space="preserve"> now taken by the HealthTech programme.</w:t>
      </w:r>
    </w:p>
    <w:p w14:paraId="222289F1" w14:textId="04290EB9" w:rsidR="004B4705" w:rsidRPr="007355DB" w:rsidRDefault="004B4705" w:rsidP="003D3B28">
      <w:pPr>
        <w:pStyle w:val="Heading1boardreport"/>
      </w:pPr>
      <w:r w:rsidRPr="007355DB">
        <w:t>Background</w:t>
      </w:r>
    </w:p>
    <w:p w14:paraId="42EF0438" w14:textId="0837EEBB" w:rsidR="004B4705" w:rsidRPr="007355DB" w:rsidRDefault="00A33717" w:rsidP="00A33717">
      <w:pPr>
        <w:pStyle w:val="NICEnormalnumbered"/>
        <w:rPr>
          <w:noProof w:val="0"/>
        </w:rPr>
      </w:pPr>
      <w:r w:rsidRPr="007355DB">
        <w:rPr>
          <w:noProof w:val="0"/>
        </w:rPr>
        <w:t xml:space="preserve">In December 2024 the Board approved the first section of a HealthTech manual for public consultation, which was held between 7th February and 6th March 2025. We received 650 responses from </w:t>
      </w:r>
      <w:r w:rsidR="003D4869" w:rsidRPr="007355DB">
        <w:rPr>
          <w:noProof w:val="0"/>
        </w:rPr>
        <w:t>37</w:t>
      </w:r>
      <w:r w:rsidRPr="007355DB">
        <w:rPr>
          <w:noProof w:val="0"/>
        </w:rPr>
        <w:t xml:space="preserve"> organisations and individuals. An overview is provided in table 1.</w:t>
      </w:r>
    </w:p>
    <w:p w14:paraId="24F4AC6A" w14:textId="77777777" w:rsidR="00CC0F0F" w:rsidRPr="007355DB" w:rsidRDefault="00CC0F0F" w:rsidP="00CC0F0F">
      <w:pPr>
        <w:pStyle w:val="Caption"/>
      </w:pPr>
      <w:r w:rsidRPr="007355DB">
        <w:t>Table 1 Consultation responses by organisation type</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835"/>
        <w:gridCol w:w="2075"/>
      </w:tblGrid>
      <w:tr w:rsidR="00CC0F0F" w:rsidRPr="007355DB" w14:paraId="14C69A0B" w14:textId="77777777" w:rsidTr="00CA6318">
        <w:tc>
          <w:tcPr>
            <w:tcW w:w="4106" w:type="dxa"/>
          </w:tcPr>
          <w:p w14:paraId="59872564" w14:textId="77777777" w:rsidR="00CC0F0F" w:rsidRPr="007355DB" w:rsidRDefault="00CC0F0F" w:rsidP="00CA6318">
            <w:pPr>
              <w:pStyle w:val="Tableheadingboardreport"/>
            </w:pPr>
            <w:r w:rsidRPr="007355DB">
              <w:t>Respondent</w:t>
            </w:r>
          </w:p>
        </w:tc>
        <w:tc>
          <w:tcPr>
            <w:tcW w:w="2835" w:type="dxa"/>
          </w:tcPr>
          <w:p w14:paraId="30B240B9" w14:textId="77777777" w:rsidR="00CC0F0F" w:rsidRPr="007355DB" w:rsidRDefault="00CC0F0F" w:rsidP="00CA6318">
            <w:pPr>
              <w:pStyle w:val="Tableheadingboardreport"/>
            </w:pPr>
            <w:r w:rsidRPr="007355DB">
              <w:t>Number of organisations (or individuals)</w:t>
            </w:r>
          </w:p>
        </w:tc>
        <w:tc>
          <w:tcPr>
            <w:tcW w:w="2075" w:type="dxa"/>
          </w:tcPr>
          <w:p w14:paraId="4169D96A" w14:textId="77777777" w:rsidR="00CC0F0F" w:rsidRPr="007355DB" w:rsidRDefault="00CC0F0F" w:rsidP="00CA6318">
            <w:pPr>
              <w:pStyle w:val="Tableheadingboardreport"/>
            </w:pPr>
            <w:r w:rsidRPr="007355DB">
              <w:t>Percentage of comments</w:t>
            </w:r>
          </w:p>
        </w:tc>
      </w:tr>
      <w:tr w:rsidR="00CC0F0F" w:rsidRPr="007355DB" w14:paraId="2B6D5E2A" w14:textId="77777777" w:rsidTr="00CA6318">
        <w:tc>
          <w:tcPr>
            <w:tcW w:w="4106" w:type="dxa"/>
          </w:tcPr>
          <w:p w14:paraId="22104601" w14:textId="77777777" w:rsidR="00CC0F0F" w:rsidRPr="007355DB" w:rsidRDefault="00CC0F0F" w:rsidP="00CA6318">
            <w:pPr>
              <w:pStyle w:val="Tabletext"/>
            </w:pPr>
            <w:r w:rsidRPr="007355DB">
              <w:t>Industry/consultancies</w:t>
            </w:r>
          </w:p>
        </w:tc>
        <w:tc>
          <w:tcPr>
            <w:tcW w:w="2835" w:type="dxa"/>
          </w:tcPr>
          <w:p w14:paraId="655A5C11" w14:textId="77777777" w:rsidR="00CC0F0F" w:rsidRPr="007355DB" w:rsidRDefault="00CC0F0F" w:rsidP="00CA6318">
            <w:pPr>
              <w:pStyle w:val="Tabletext"/>
            </w:pPr>
            <w:r w:rsidRPr="007355DB">
              <w:t>24</w:t>
            </w:r>
          </w:p>
        </w:tc>
        <w:tc>
          <w:tcPr>
            <w:tcW w:w="2075" w:type="dxa"/>
          </w:tcPr>
          <w:p w14:paraId="568AF1DC" w14:textId="43B111B5" w:rsidR="00CC0F0F" w:rsidRPr="007355DB" w:rsidRDefault="00E00689" w:rsidP="00CA6318">
            <w:pPr>
              <w:pStyle w:val="Tabletext"/>
            </w:pPr>
            <w:r w:rsidRPr="007355DB">
              <w:t>6</w:t>
            </w:r>
            <w:r w:rsidR="00CC0F0F" w:rsidRPr="007355DB">
              <w:t>5%</w:t>
            </w:r>
          </w:p>
        </w:tc>
      </w:tr>
      <w:tr w:rsidR="00CC0F0F" w:rsidRPr="007355DB" w14:paraId="629865F1" w14:textId="77777777" w:rsidTr="00CA6318">
        <w:trPr>
          <w:trHeight w:val="323"/>
        </w:trPr>
        <w:tc>
          <w:tcPr>
            <w:tcW w:w="4106" w:type="dxa"/>
          </w:tcPr>
          <w:p w14:paraId="1DC2318C" w14:textId="77777777" w:rsidR="00CC0F0F" w:rsidRPr="007355DB" w:rsidRDefault="00CC0F0F" w:rsidP="00CA6318">
            <w:pPr>
              <w:pStyle w:val="Tabletext"/>
            </w:pPr>
            <w:r w:rsidRPr="007355DB">
              <w:t>Trade bodies/associations</w:t>
            </w:r>
          </w:p>
        </w:tc>
        <w:tc>
          <w:tcPr>
            <w:tcW w:w="2835" w:type="dxa"/>
          </w:tcPr>
          <w:p w14:paraId="3DF39BDB" w14:textId="77777777" w:rsidR="00CC0F0F" w:rsidRPr="007355DB" w:rsidRDefault="00CC0F0F" w:rsidP="00CA6318">
            <w:pPr>
              <w:pStyle w:val="Tabletext"/>
            </w:pPr>
            <w:r w:rsidRPr="007355DB">
              <w:t>1</w:t>
            </w:r>
          </w:p>
        </w:tc>
        <w:tc>
          <w:tcPr>
            <w:tcW w:w="2075" w:type="dxa"/>
          </w:tcPr>
          <w:p w14:paraId="45AEEBC9" w14:textId="37F4A47A" w:rsidR="00CC0F0F" w:rsidRPr="007355DB" w:rsidRDefault="0008181C" w:rsidP="00CA6318">
            <w:pPr>
              <w:pStyle w:val="Tabletext"/>
            </w:pPr>
            <w:r w:rsidRPr="007355DB">
              <w:t>3</w:t>
            </w:r>
            <w:r w:rsidR="00CC0F0F" w:rsidRPr="007355DB">
              <w:t>%</w:t>
            </w:r>
          </w:p>
        </w:tc>
      </w:tr>
      <w:tr w:rsidR="00CC0F0F" w:rsidRPr="007355DB" w14:paraId="51ABB6AD" w14:textId="77777777" w:rsidTr="00CA6318">
        <w:tc>
          <w:tcPr>
            <w:tcW w:w="4106" w:type="dxa"/>
          </w:tcPr>
          <w:p w14:paraId="0B8BCC49" w14:textId="77777777" w:rsidR="00CC0F0F" w:rsidRPr="007355DB" w:rsidRDefault="00CC0F0F" w:rsidP="00CA6318">
            <w:pPr>
              <w:pStyle w:val="Tabletext"/>
            </w:pPr>
            <w:r w:rsidRPr="007355DB">
              <w:t>External Assessment Groups (EAGs) and academic institutions</w:t>
            </w:r>
          </w:p>
        </w:tc>
        <w:tc>
          <w:tcPr>
            <w:tcW w:w="2835" w:type="dxa"/>
          </w:tcPr>
          <w:p w14:paraId="0D28B80E" w14:textId="77777777" w:rsidR="00CC0F0F" w:rsidRPr="007355DB" w:rsidRDefault="00CC0F0F" w:rsidP="00CA6318">
            <w:pPr>
              <w:pStyle w:val="Tabletext"/>
            </w:pPr>
            <w:r w:rsidRPr="007355DB">
              <w:t>6</w:t>
            </w:r>
          </w:p>
        </w:tc>
        <w:tc>
          <w:tcPr>
            <w:tcW w:w="2075" w:type="dxa"/>
          </w:tcPr>
          <w:p w14:paraId="6E29B904" w14:textId="2F0C2031" w:rsidR="00CC0F0F" w:rsidRPr="007355DB" w:rsidRDefault="0008181C" w:rsidP="00CA6318">
            <w:pPr>
              <w:pStyle w:val="Tabletext"/>
            </w:pPr>
            <w:r w:rsidRPr="007355DB">
              <w:t>16</w:t>
            </w:r>
            <w:r w:rsidR="00CC0F0F" w:rsidRPr="007355DB">
              <w:t>%</w:t>
            </w:r>
          </w:p>
        </w:tc>
      </w:tr>
      <w:tr w:rsidR="00CC0F0F" w:rsidRPr="007355DB" w14:paraId="4F6EC111" w14:textId="77777777" w:rsidTr="00CA6318">
        <w:tc>
          <w:tcPr>
            <w:tcW w:w="4106" w:type="dxa"/>
          </w:tcPr>
          <w:p w14:paraId="4A2DBBB7" w14:textId="77777777" w:rsidR="00CC0F0F" w:rsidRPr="007355DB" w:rsidRDefault="00CC0F0F" w:rsidP="00CA6318">
            <w:pPr>
              <w:pStyle w:val="Tabletext"/>
            </w:pPr>
            <w:r w:rsidRPr="007355DB">
              <w:t>Voluntary and community sector organisations</w:t>
            </w:r>
          </w:p>
        </w:tc>
        <w:tc>
          <w:tcPr>
            <w:tcW w:w="2835" w:type="dxa"/>
          </w:tcPr>
          <w:p w14:paraId="57873206" w14:textId="77777777" w:rsidR="00CC0F0F" w:rsidRPr="007355DB" w:rsidRDefault="00CC0F0F" w:rsidP="00CA6318">
            <w:pPr>
              <w:pStyle w:val="Tabletext"/>
            </w:pPr>
            <w:r w:rsidRPr="007355DB">
              <w:t>2</w:t>
            </w:r>
          </w:p>
        </w:tc>
        <w:tc>
          <w:tcPr>
            <w:tcW w:w="2075" w:type="dxa"/>
          </w:tcPr>
          <w:p w14:paraId="7896E226" w14:textId="327F2DED" w:rsidR="00CC0F0F" w:rsidRPr="007355DB" w:rsidRDefault="0008181C" w:rsidP="00CA6318">
            <w:pPr>
              <w:pStyle w:val="Tabletext"/>
            </w:pPr>
            <w:r w:rsidRPr="007355DB">
              <w:t>5</w:t>
            </w:r>
            <w:r w:rsidR="00CC0F0F" w:rsidRPr="007355DB">
              <w:t>%</w:t>
            </w:r>
          </w:p>
        </w:tc>
      </w:tr>
      <w:tr w:rsidR="00CC0F0F" w:rsidRPr="007355DB" w14:paraId="7AAF26A8" w14:textId="77777777" w:rsidTr="00CA6318">
        <w:trPr>
          <w:trHeight w:val="335"/>
        </w:trPr>
        <w:tc>
          <w:tcPr>
            <w:tcW w:w="4106" w:type="dxa"/>
          </w:tcPr>
          <w:p w14:paraId="66F18D5A" w14:textId="705FD476" w:rsidR="00CC0F0F" w:rsidRPr="007355DB" w:rsidRDefault="00CC0F0F" w:rsidP="00CA6318">
            <w:pPr>
              <w:pStyle w:val="Tabletext"/>
            </w:pPr>
            <w:r w:rsidRPr="007355DB">
              <w:t>NHS</w:t>
            </w:r>
            <w:r w:rsidR="007355DB" w:rsidRPr="007355DB">
              <w:t xml:space="preserve"> </w:t>
            </w:r>
            <w:r w:rsidRPr="007355DB">
              <w:t>E</w:t>
            </w:r>
            <w:r w:rsidR="007355DB" w:rsidRPr="007355DB">
              <w:t>ngland</w:t>
            </w:r>
          </w:p>
        </w:tc>
        <w:tc>
          <w:tcPr>
            <w:tcW w:w="2835" w:type="dxa"/>
          </w:tcPr>
          <w:p w14:paraId="5BC8B047" w14:textId="77777777" w:rsidR="00CC0F0F" w:rsidRPr="007355DB" w:rsidRDefault="00CC0F0F" w:rsidP="00CA6318">
            <w:pPr>
              <w:pStyle w:val="Tabletext"/>
            </w:pPr>
            <w:r w:rsidRPr="007355DB">
              <w:t>1</w:t>
            </w:r>
          </w:p>
        </w:tc>
        <w:tc>
          <w:tcPr>
            <w:tcW w:w="2075" w:type="dxa"/>
          </w:tcPr>
          <w:p w14:paraId="3D1F73ED" w14:textId="46816869" w:rsidR="00CC0F0F" w:rsidRPr="007355DB" w:rsidRDefault="0008181C" w:rsidP="00CA6318">
            <w:pPr>
              <w:pStyle w:val="Tabletext"/>
            </w:pPr>
            <w:r w:rsidRPr="007355DB">
              <w:t>3</w:t>
            </w:r>
            <w:r w:rsidR="00CC0F0F" w:rsidRPr="007355DB">
              <w:t>%</w:t>
            </w:r>
          </w:p>
        </w:tc>
      </w:tr>
      <w:tr w:rsidR="00CC0F0F" w:rsidRPr="007355DB" w14:paraId="5DE7CA03" w14:textId="77777777" w:rsidTr="00CA6318">
        <w:tc>
          <w:tcPr>
            <w:tcW w:w="4106" w:type="dxa"/>
          </w:tcPr>
          <w:p w14:paraId="2C6AF9E3" w14:textId="77777777" w:rsidR="00CC0F0F" w:rsidRPr="007355DB" w:rsidRDefault="00CC0F0F" w:rsidP="00CA6318">
            <w:pPr>
              <w:pStyle w:val="Tabletext"/>
            </w:pPr>
            <w:r w:rsidRPr="007355DB">
              <w:t>NHS trusts, NHS network groups</w:t>
            </w:r>
          </w:p>
        </w:tc>
        <w:tc>
          <w:tcPr>
            <w:tcW w:w="2835" w:type="dxa"/>
          </w:tcPr>
          <w:p w14:paraId="1F0140E0" w14:textId="77777777" w:rsidR="00CC0F0F" w:rsidRPr="007355DB" w:rsidRDefault="00CC0F0F" w:rsidP="00CA6318">
            <w:pPr>
              <w:pStyle w:val="Tabletext"/>
            </w:pPr>
            <w:r w:rsidRPr="007355DB">
              <w:t>3</w:t>
            </w:r>
          </w:p>
        </w:tc>
        <w:tc>
          <w:tcPr>
            <w:tcW w:w="2075" w:type="dxa"/>
          </w:tcPr>
          <w:p w14:paraId="0E2288D3" w14:textId="31AD8BDB" w:rsidR="00CC0F0F" w:rsidRPr="007355DB" w:rsidRDefault="0008181C" w:rsidP="00CA6318">
            <w:pPr>
              <w:pStyle w:val="Tabletext"/>
            </w:pPr>
            <w:r w:rsidRPr="007355DB">
              <w:t>8</w:t>
            </w:r>
            <w:r w:rsidR="00CC0F0F" w:rsidRPr="007355DB">
              <w:t>%</w:t>
            </w:r>
          </w:p>
        </w:tc>
      </w:tr>
    </w:tbl>
    <w:p w14:paraId="391871CE" w14:textId="77777777" w:rsidR="00CC0F0F" w:rsidRPr="007355DB" w:rsidRDefault="00CC0F0F" w:rsidP="00CC0F0F">
      <w:pPr>
        <w:pStyle w:val="NICEnormalnumbered"/>
        <w:numPr>
          <w:ilvl w:val="0"/>
          <w:numId w:val="0"/>
        </w:numPr>
        <w:rPr>
          <w:noProof w:val="0"/>
        </w:rPr>
      </w:pPr>
    </w:p>
    <w:p w14:paraId="500DD8AA" w14:textId="020FF54C" w:rsidR="000A103F" w:rsidRPr="007355DB" w:rsidRDefault="00CC0F0F" w:rsidP="00B82F3E">
      <w:pPr>
        <w:pStyle w:val="NICEnormalnumbered"/>
        <w:rPr>
          <w:noProof w:val="0"/>
        </w:rPr>
      </w:pPr>
      <w:r w:rsidRPr="007355DB">
        <w:rPr>
          <w:noProof w:val="0"/>
        </w:rPr>
        <w:lastRenderedPageBreak/>
        <w:t>We have addressed the comments received, revised the manual text and written responses to comments. The</w:t>
      </w:r>
      <w:r w:rsidR="005B17DE" w:rsidRPr="007355DB">
        <w:rPr>
          <w:noProof w:val="0"/>
        </w:rPr>
        <w:t xml:space="preserve"> updated manual text and a document setting out NICE’s responses to comments received </w:t>
      </w:r>
      <w:r w:rsidRPr="007355DB">
        <w:rPr>
          <w:noProof w:val="0"/>
        </w:rPr>
        <w:t>have been approved by Guidance Executive (GE).</w:t>
      </w:r>
    </w:p>
    <w:p w14:paraId="33D66559" w14:textId="49C86EC2" w:rsidR="00B82F3E" w:rsidRPr="007355DB" w:rsidRDefault="00CC0F0F" w:rsidP="00B82F3E">
      <w:pPr>
        <w:pStyle w:val="Heading1boardreport"/>
      </w:pPr>
      <w:r w:rsidRPr="007355DB">
        <w:t>Consultation themes</w:t>
      </w:r>
    </w:p>
    <w:p w14:paraId="4BD153A0" w14:textId="1A727966" w:rsidR="00B82F3E" w:rsidRPr="007355DB" w:rsidRDefault="00B82F3E" w:rsidP="00B82F3E">
      <w:pPr>
        <w:pStyle w:val="Heading2boardreport"/>
      </w:pPr>
      <w:r w:rsidRPr="007355DB">
        <w:t>General</w:t>
      </w:r>
    </w:p>
    <w:p w14:paraId="1FBDD54D" w14:textId="7C2D707C" w:rsidR="00B82F3E" w:rsidRPr="007355DB" w:rsidRDefault="00B82F3E" w:rsidP="00B82F3E">
      <w:pPr>
        <w:pStyle w:val="NICEnormalnumbered"/>
        <w:rPr>
          <w:noProof w:val="0"/>
        </w:rPr>
      </w:pPr>
      <w:r w:rsidRPr="007355DB">
        <w:rPr>
          <w:noProof w:val="0"/>
        </w:rPr>
        <w:t>Respondents welcomed a greater focus on the assessment of non-pharmaceutical technologies. But they cautioned that further work is required to make sure the manual reflects the needs of assessing HealthTech. And that it is important that the aim of the work is to be fit for purpose rather than being a version of methods and process for assessing pharmaceuticals. The need for ongoing consultation with patients and industry throughout the process of changes was highlighted, as was the challenge for a sector made up of many small and medium-sized enterprises.</w:t>
      </w:r>
    </w:p>
    <w:p w14:paraId="2BA63E6F" w14:textId="11066A62" w:rsidR="00B82F3E" w:rsidRPr="007355DB" w:rsidRDefault="00B82F3E" w:rsidP="00B82F3E">
      <w:pPr>
        <w:pStyle w:val="Heading3"/>
      </w:pPr>
      <w:r w:rsidRPr="007355DB">
        <w:t>Overview of NICE response</w:t>
      </w:r>
      <w:r w:rsidR="00DD3BB8" w:rsidRPr="007355DB">
        <w:t xml:space="preserve"> and changes to manual text</w:t>
      </w:r>
    </w:p>
    <w:p w14:paraId="054A1313" w14:textId="4C843368" w:rsidR="00B82F3E" w:rsidRPr="007355DB" w:rsidRDefault="007359A6" w:rsidP="007359A6">
      <w:pPr>
        <w:pStyle w:val="NICEnormalnumbered"/>
        <w:rPr>
          <w:noProof w:val="0"/>
        </w:rPr>
      </w:pPr>
      <w:r w:rsidRPr="007355DB">
        <w:rPr>
          <w:noProof w:val="0"/>
        </w:rPr>
        <w:t xml:space="preserve">This new manual sets out the foundations for the HealthTech programme and is the first step in an ongoing iterative process to set out in greater detail the process and methods to be used by </w:t>
      </w:r>
      <w:r w:rsidR="006A4C53" w:rsidRPr="007355DB">
        <w:rPr>
          <w:noProof w:val="0"/>
        </w:rPr>
        <w:t xml:space="preserve">the </w:t>
      </w:r>
      <w:r w:rsidRPr="007355DB">
        <w:rPr>
          <w:noProof w:val="0"/>
        </w:rPr>
        <w:t>NICE HealthTech programme. Further work to add clarity to methods approaches will be developed in the coming year and form part of an update to the manual following consultation. While we are keen to make sure there is consistency with approaches to how pharmaceuticals are assessed by NICE, the focus will be on health technologies and making sure the approaches that NICE takes are appropriate for such assessments. Further updates will be subject to consultation, giving the opportunity for comment on the proposed text.</w:t>
      </w:r>
    </w:p>
    <w:p w14:paraId="08FF96B0" w14:textId="4FE8964E" w:rsidR="00B82F3E" w:rsidRPr="007355DB" w:rsidRDefault="007359A6" w:rsidP="00B82F3E">
      <w:pPr>
        <w:pStyle w:val="Heading2boardreport"/>
      </w:pPr>
      <w:r w:rsidRPr="007355DB">
        <w:t>Involvement of people with lived experience in committee meetings</w:t>
      </w:r>
    </w:p>
    <w:p w14:paraId="3E287DB5" w14:textId="5E53A635" w:rsidR="00B82F3E" w:rsidRPr="007355DB" w:rsidRDefault="00B82F3E" w:rsidP="008222E6">
      <w:pPr>
        <w:pStyle w:val="NICEnormalnumbered"/>
        <w:rPr>
          <w:noProof w:val="0"/>
        </w:rPr>
      </w:pPr>
      <w:r w:rsidRPr="007355DB">
        <w:rPr>
          <w:noProof w:val="0"/>
        </w:rPr>
        <w:t xml:space="preserve">Respondents raised concern about the proposal to use patient experts </w:t>
      </w:r>
      <w:r w:rsidR="11C26581" w:rsidRPr="007355DB">
        <w:rPr>
          <w:noProof w:val="0"/>
        </w:rPr>
        <w:t xml:space="preserve">(people with lived experience of a condition) </w:t>
      </w:r>
      <w:r w:rsidRPr="007355DB">
        <w:rPr>
          <w:noProof w:val="0"/>
        </w:rPr>
        <w:t>across all HealthTech guidance, rather than appoint</w:t>
      </w:r>
      <w:r w:rsidR="007359A6" w:rsidRPr="007355DB">
        <w:rPr>
          <w:noProof w:val="0"/>
        </w:rPr>
        <w:t>ing</w:t>
      </w:r>
      <w:r w:rsidRPr="007355DB">
        <w:rPr>
          <w:noProof w:val="0"/>
        </w:rPr>
        <w:t xml:space="preserve"> as a specialist committee member, as happens </w:t>
      </w:r>
      <w:r w:rsidR="007359A6" w:rsidRPr="007355DB">
        <w:rPr>
          <w:noProof w:val="0"/>
        </w:rPr>
        <w:t>for</w:t>
      </w:r>
      <w:r w:rsidRPr="007355DB">
        <w:rPr>
          <w:noProof w:val="0"/>
        </w:rPr>
        <w:t xml:space="preserve"> some HealthTech guidance topics at present.</w:t>
      </w:r>
    </w:p>
    <w:p w14:paraId="407993F9" w14:textId="6B352C72" w:rsidR="007359A6" w:rsidRPr="007355DB" w:rsidRDefault="007359A6" w:rsidP="007359A6">
      <w:pPr>
        <w:pStyle w:val="Heading3"/>
      </w:pPr>
      <w:r w:rsidRPr="007355DB">
        <w:lastRenderedPageBreak/>
        <w:t>Overview of NICE response</w:t>
      </w:r>
      <w:r w:rsidR="00DD3BB8" w:rsidRPr="007355DB">
        <w:t xml:space="preserve"> and changes to manual text</w:t>
      </w:r>
    </w:p>
    <w:p w14:paraId="03555187" w14:textId="320CCA68" w:rsidR="00B82F3E" w:rsidRPr="007355DB" w:rsidRDefault="007359A6" w:rsidP="000349DC">
      <w:pPr>
        <w:pStyle w:val="Paragraph"/>
        <w:spacing w:line="360" w:lineRule="auto"/>
        <w:ind w:left="357" w:hanging="357"/>
        <w:rPr>
          <w:noProof w:val="0"/>
        </w:rPr>
      </w:pPr>
      <w:r w:rsidRPr="007355DB">
        <w:rPr>
          <w:noProof w:val="0"/>
        </w:rPr>
        <w:t>The key rationale for this proposal was for greater transparency in guidance production by ensuring that input from healthcare professionals and p</w:t>
      </w:r>
      <w:r w:rsidR="0986DDF8" w:rsidRPr="007355DB">
        <w:rPr>
          <w:noProof w:val="0"/>
        </w:rPr>
        <w:t>atient experts</w:t>
      </w:r>
      <w:r w:rsidRPr="007355DB">
        <w:rPr>
          <w:noProof w:val="0"/>
        </w:rPr>
        <w:t>, and di</w:t>
      </w:r>
      <w:r w:rsidR="00E17C99" w:rsidRPr="007355DB">
        <w:rPr>
          <w:noProof w:val="0"/>
        </w:rPr>
        <w:t>s</w:t>
      </w:r>
      <w:r w:rsidRPr="007355DB">
        <w:rPr>
          <w:noProof w:val="0"/>
        </w:rPr>
        <w:t xml:space="preserve">cussion of this, is in the public part of a committee meeting. This means that </w:t>
      </w:r>
      <w:r w:rsidR="00E17C99" w:rsidRPr="007355DB">
        <w:rPr>
          <w:noProof w:val="0"/>
        </w:rPr>
        <w:t>public</w:t>
      </w:r>
      <w:r w:rsidR="00DD3BB8" w:rsidRPr="007355DB">
        <w:rPr>
          <w:noProof w:val="0"/>
        </w:rPr>
        <w:t xml:space="preserve"> </w:t>
      </w:r>
      <w:r w:rsidRPr="007355DB">
        <w:rPr>
          <w:noProof w:val="0"/>
        </w:rPr>
        <w:t xml:space="preserve">observers, including people from patient, voluntary and community sector organisations and members of the public with lived experience relevant to the guidance, can observe input from experts in committee, understand how this has contributed to committee decision making and make any consultation comments on draft guidance </w:t>
      </w:r>
      <w:proofErr w:type="gramStart"/>
      <w:r w:rsidRPr="007355DB">
        <w:rPr>
          <w:noProof w:val="0"/>
        </w:rPr>
        <w:t>in light of</w:t>
      </w:r>
      <w:proofErr w:type="gramEnd"/>
      <w:r w:rsidRPr="007355DB">
        <w:rPr>
          <w:noProof w:val="0"/>
        </w:rPr>
        <w:t xml:space="preserve"> this. The advisory committees in the HealthTech programme include standing </w:t>
      </w:r>
      <w:r w:rsidR="1684037E" w:rsidRPr="007355DB">
        <w:rPr>
          <w:noProof w:val="0"/>
        </w:rPr>
        <w:t>patient</w:t>
      </w:r>
      <w:r w:rsidRPr="007355DB">
        <w:rPr>
          <w:noProof w:val="0"/>
        </w:rPr>
        <w:t xml:space="preserve"> members</w:t>
      </w:r>
      <w:r w:rsidR="31301B4C" w:rsidRPr="007355DB">
        <w:rPr>
          <w:noProof w:val="0"/>
        </w:rPr>
        <w:t xml:space="preserve"> (lay members)</w:t>
      </w:r>
      <w:r w:rsidRPr="007355DB">
        <w:rPr>
          <w:noProof w:val="0"/>
        </w:rPr>
        <w:t xml:space="preserve"> who advocate for patient points of view and can work closely with patient experts to make sure the issues that are important to them are understood and represented to the committee in meetings. </w:t>
      </w:r>
      <w:r w:rsidR="5A3196A3" w:rsidRPr="007355DB">
        <w:rPr>
          <w:noProof w:val="0"/>
        </w:rPr>
        <w:t>Patient experts will still present to committee the patient and carer perspective and considerations</w:t>
      </w:r>
      <w:r w:rsidR="10602905" w:rsidRPr="007355DB">
        <w:rPr>
          <w:noProof w:val="0"/>
        </w:rPr>
        <w:t xml:space="preserve"> so</w:t>
      </w:r>
      <w:r w:rsidR="2D42E60C" w:rsidRPr="007355DB">
        <w:rPr>
          <w:noProof w:val="0"/>
        </w:rPr>
        <w:t xml:space="preserve"> </w:t>
      </w:r>
      <w:r w:rsidR="748BF145" w:rsidRPr="007355DB">
        <w:rPr>
          <w:noProof w:val="0"/>
        </w:rPr>
        <w:t xml:space="preserve">patient input </w:t>
      </w:r>
      <w:r w:rsidRPr="007355DB">
        <w:rPr>
          <w:noProof w:val="0"/>
        </w:rPr>
        <w:t xml:space="preserve">will remain a </w:t>
      </w:r>
      <w:r w:rsidR="6DA34DC5" w:rsidRPr="007355DB">
        <w:rPr>
          <w:noProof w:val="0"/>
        </w:rPr>
        <w:t>critical</w:t>
      </w:r>
      <w:r w:rsidRPr="007355DB">
        <w:rPr>
          <w:noProof w:val="0"/>
        </w:rPr>
        <w:t xml:space="preserve"> part of the guidance </w:t>
      </w:r>
      <w:r w:rsidR="68461619" w:rsidRPr="007355DB">
        <w:rPr>
          <w:noProof w:val="0"/>
        </w:rPr>
        <w:t>development</w:t>
      </w:r>
      <w:r w:rsidR="00CB7DA8" w:rsidRPr="007355DB">
        <w:rPr>
          <w:noProof w:val="0"/>
        </w:rPr>
        <w:t xml:space="preserve"> process</w:t>
      </w:r>
      <w:r w:rsidRPr="007355DB">
        <w:rPr>
          <w:noProof w:val="0"/>
        </w:rPr>
        <w:t xml:space="preserve">. </w:t>
      </w:r>
      <w:r w:rsidR="349B10B0" w:rsidRPr="007355DB">
        <w:rPr>
          <w:noProof w:val="0"/>
        </w:rPr>
        <w:t xml:space="preserve">Information from patient, voluntary and community sector organisations will also continue to be used </w:t>
      </w:r>
      <w:r w:rsidR="00CB0453" w:rsidRPr="007355DB">
        <w:rPr>
          <w:noProof w:val="0"/>
        </w:rPr>
        <w:t>to</w:t>
      </w:r>
      <w:r w:rsidR="349B10B0" w:rsidRPr="007355DB">
        <w:rPr>
          <w:noProof w:val="0"/>
        </w:rPr>
        <w:t xml:space="preserve"> inform decision-making. </w:t>
      </w:r>
      <w:r w:rsidRPr="007355DB">
        <w:rPr>
          <w:noProof w:val="0"/>
        </w:rPr>
        <w:t>W</w:t>
      </w:r>
      <w:r w:rsidR="621815F9" w:rsidRPr="007355DB">
        <w:rPr>
          <w:noProof w:val="0"/>
        </w:rPr>
        <w:t>orking</w:t>
      </w:r>
      <w:r w:rsidRPr="007355DB">
        <w:rPr>
          <w:noProof w:val="0"/>
        </w:rPr>
        <w:t xml:space="preserve"> closely with the People and Communities Involvement and Engagement (PCIEP) team at NICE</w:t>
      </w:r>
      <w:r w:rsidR="2816C6B0" w:rsidRPr="007355DB">
        <w:rPr>
          <w:noProof w:val="0"/>
        </w:rPr>
        <w:t>, we will continue to</w:t>
      </w:r>
      <w:r w:rsidRPr="007355DB">
        <w:rPr>
          <w:noProof w:val="0"/>
        </w:rPr>
        <w:t xml:space="preserve"> explore </w:t>
      </w:r>
      <w:r w:rsidR="1661D116" w:rsidRPr="007355DB">
        <w:rPr>
          <w:noProof w:val="0"/>
        </w:rPr>
        <w:t xml:space="preserve">and drive </w:t>
      </w:r>
      <w:r w:rsidRPr="007355DB">
        <w:rPr>
          <w:noProof w:val="0"/>
        </w:rPr>
        <w:t xml:space="preserve">further </w:t>
      </w:r>
      <w:r w:rsidR="48E065E1" w:rsidRPr="007355DB">
        <w:rPr>
          <w:noProof w:val="0"/>
        </w:rPr>
        <w:t>improvements to ensure</w:t>
      </w:r>
      <w:r w:rsidR="49E35C98" w:rsidRPr="007355DB">
        <w:rPr>
          <w:noProof w:val="0"/>
        </w:rPr>
        <w:t xml:space="preserve"> </w:t>
      </w:r>
      <w:r w:rsidR="0AAC431C" w:rsidRPr="007355DB">
        <w:rPr>
          <w:noProof w:val="0"/>
        </w:rPr>
        <w:t>we are engaging with patients and carers in the most effective way for them to contribute to NICE guidance and ensure our guidance is relevant for t</w:t>
      </w:r>
      <w:r w:rsidR="729E7761" w:rsidRPr="007355DB">
        <w:rPr>
          <w:noProof w:val="0"/>
        </w:rPr>
        <w:t xml:space="preserve">he people most directly affected by our recommendations. </w:t>
      </w:r>
    </w:p>
    <w:p w14:paraId="1A8B8143" w14:textId="2EE91DCF" w:rsidR="00B82F3E" w:rsidRPr="007355DB" w:rsidRDefault="00B82F3E" w:rsidP="000349DC">
      <w:pPr>
        <w:pStyle w:val="Heading2"/>
      </w:pPr>
      <w:r w:rsidRPr="007355DB">
        <w:t>Assessment of multiple technologies using cost</w:t>
      </w:r>
      <w:r w:rsidR="007359A6" w:rsidRPr="007355DB">
        <w:t xml:space="preserve"> utility analysis</w:t>
      </w:r>
    </w:p>
    <w:p w14:paraId="326B625F" w14:textId="27264A0D" w:rsidR="00B82F3E" w:rsidRPr="007355DB" w:rsidRDefault="00B82F3E" w:rsidP="00B82F3E">
      <w:pPr>
        <w:pStyle w:val="NICEnormalnumbered"/>
        <w:rPr>
          <w:noProof w:val="0"/>
        </w:rPr>
      </w:pPr>
      <w:r w:rsidRPr="007355DB">
        <w:rPr>
          <w:noProof w:val="0"/>
        </w:rPr>
        <w:t>Respondents welcomed the requirement that medical devices would no longer have to be cost saving to be recommended. They stated that this would enhance innovation and the development of devices to contribute to better outcomes for patients. Benefits of moving to a multiple technology approach in guidance were acknowledged, but respondents cautioned this should not cause delays to assessment, and access to novel technologies, if only a single technology is available. Respondents also asked for greater detail on the process of assessing multiple technologies in one piece of guidance</w:t>
      </w:r>
      <w:r w:rsidR="006E6998" w:rsidRPr="007355DB">
        <w:rPr>
          <w:noProof w:val="0"/>
        </w:rPr>
        <w:t>,</w:t>
      </w:r>
      <w:r w:rsidR="00DD3BB8" w:rsidRPr="007355DB">
        <w:rPr>
          <w:noProof w:val="0"/>
        </w:rPr>
        <w:t xml:space="preserve"> including how technol</w:t>
      </w:r>
      <w:r w:rsidR="007A7003" w:rsidRPr="007355DB">
        <w:rPr>
          <w:noProof w:val="0"/>
        </w:rPr>
        <w:t>o</w:t>
      </w:r>
      <w:r w:rsidR="00DD3BB8" w:rsidRPr="007355DB">
        <w:rPr>
          <w:noProof w:val="0"/>
        </w:rPr>
        <w:t>gies are identified for inclusion in a single guidance</w:t>
      </w:r>
      <w:r w:rsidRPr="007355DB">
        <w:rPr>
          <w:noProof w:val="0"/>
        </w:rPr>
        <w:t>.</w:t>
      </w:r>
    </w:p>
    <w:p w14:paraId="2EFAAFD6" w14:textId="1DD59F8E" w:rsidR="007359A6" w:rsidRPr="007355DB" w:rsidRDefault="007359A6" w:rsidP="007359A6">
      <w:pPr>
        <w:pStyle w:val="Heading3"/>
      </w:pPr>
      <w:r w:rsidRPr="007355DB">
        <w:lastRenderedPageBreak/>
        <w:t>Overview of NICE response</w:t>
      </w:r>
      <w:r w:rsidR="00DD3BB8" w:rsidRPr="007355DB">
        <w:t xml:space="preserve"> and changes to manual text</w:t>
      </w:r>
    </w:p>
    <w:p w14:paraId="6CB676DB" w14:textId="2A6665E9" w:rsidR="007359A6" w:rsidRPr="007355DB" w:rsidRDefault="00DD3BB8" w:rsidP="00DD3BB8">
      <w:pPr>
        <w:pStyle w:val="NICEnormalnumbered"/>
        <w:rPr>
          <w:noProof w:val="0"/>
        </w:rPr>
      </w:pPr>
      <w:r w:rsidRPr="007355DB">
        <w:rPr>
          <w:noProof w:val="0"/>
        </w:rPr>
        <w:t>Respo</w:t>
      </w:r>
      <w:r w:rsidR="00AF1CBD" w:rsidRPr="007355DB">
        <w:rPr>
          <w:noProof w:val="0"/>
        </w:rPr>
        <w:t>nses</w:t>
      </w:r>
      <w:r w:rsidRPr="007355DB">
        <w:rPr>
          <w:noProof w:val="0"/>
        </w:rPr>
        <w:t xml:space="preserve"> to these comments explained that decisions about what technologies to include in guidance are made during the scoping phase, including opportunities for companies and other stakeholders to provide input at scoping workshops or consultations. People who will use the technology in practice, typically healthcare professionals and people with lived experience of a condition, are important contributors to these discussions.</w:t>
      </w:r>
    </w:p>
    <w:p w14:paraId="6FFFC01F" w14:textId="79F5F8A9" w:rsidR="00B82F3E" w:rsidRPr="007355DB" w:rsidRDefault="00B82F3E" w:rsidP="00B82F3E">
      <w:pPr>
        <w:pStyle w:val="Heading2boardreport"/>
      </w:pPr>
      <w:r w:rsidRPr="007355DB">
        <w:t>Recommendation wording</w:t>
      </w:r>
    </w:p>
    <w:p w14:paraId="69A97B08" w14:textId="2339CEA7" w:rsidR="000A103F" w:rsidRPr="007355DB" w:rsidRDefault="00B82F3E" w:rsidP="00B627F5">
      <w:pPr>
        <w:pStyle w:val="NICEnormalnumbered"/>
        <w:rPr>
          <w:noProof w:val="0"/>
        </w:rPr>
      </w:pPr>
      <w:r w:rsidRPr="007355DB">
        <w:rPr>
          <w:noProof w:val="0"/>
        </w:rPr>
        <w:t>At the meeting in December, the Board asked for greater clarity to be added to the manual to clarify the meaning of recommendations, particularly for research recommendations. Further text was added to the manual, and we included a question with the consultation asking for comments on the clarity of the meaning of the different recommendations and how they would be interpreted. No concerns were raised in the consultation about the meaning of research recommendations. We received some specific comments about the recommendation wording which we have addressed in the updated manual text.</w:t>
      </w:r>
    </w:p>
    <w:p w14:paraId="43A328B9" w14:textId="0FEA8B1E" w:rsidR="007359A6" w:rsidRPr="007355DB" w:rsidRDefault="00DD3BB8" w:rsidP="00BD1C2B">
      <w:pPr>
        <w:pStyle w:val="Heading1boardreport"/>
      </w:pPr>
      <w:r w:rsidRPr="007355DB">
        <w:t xml:space="preserve">Proposed minor changes to </w:t>
      </w:r>
      <w:r w:rsidR="00BD1C2B" w:rsidRPr="007355DB">
        <w:t>existing manuals</w:t>
      </w:r>
    </w:p>
    <w:p w14:paraId="5E70562B" w14:textId="3F207D5F" w:rsidR="007359A6" w:rsidRPr="007355DB" w:rsidRDefault="00BD1C2B" w:rsidP="007E3829">
      <w:pPr>
        <w:pStyle w:val="NICEnormalnumbered"/>
        <w:rPr>
          <w:noProof w:val="0"/>
        </w:rPr>
      </w:pPr>
      <w:r w:rsidRPr="007355DB">
        <w:rPr>
          <w:noProof w:val="0"/>
        </w:rPr>
        <w:t>Few comment</w:t>
      </w:r>
      <w:r w:rsidR="580757B0" w:rsidRPr="007355DB">
        <w:rPr>
          <w:noProof w:val="0"/>
        </w:rPr>
        <w:t>s</w:t>
      </w:r>
      <w:r w:rsidRPr="007355DB">
        <w:rPr>
          <w:noProof w:val="0"/>
        </w:rPr>
        <w:t xml:space="preserve"> were received on proposed minor amendments to </w:t>
      </w:r>
      <w:hyperlink r:id="rId12">
        <w:r w:rsidRPr="007355DB">
          <w:rPr>
            <w:rStyle w:val="Hyperlink"/>
            <w:noProof w:val="0"/>
            <w:color w:val="4472C4" w:themeColor="accent1"/>
          </w:rPr>
          <w:t>NICE health technology evaluations: the manual</w:t>
        </w:r>
      </w:hyperlink>
      <w:r w:rsidRPr="007355DB">
        <w:rPr>
          <w:noProof w:val="0"/>
        </w:rPr>
        <w:t xml:space="preserve"> and the </w:t>
      </w:r>
      <w:hyperlink r:id="rId13">
        <w:r w:rsidRPr="007355DB">
          <w:rPr>
            <w:rStyle w:val="Hyperlink"/>
            <w:noProof w:val="0"/>
            <w:color w:val="4472C4" w:themeColor="accent1"/>
          </w:rPr>
          <w:t>Interventional procedures programme manual</w:t>
        </w:r>
      </w:hyperlink>
      <w:r w:rsidRPr="007355DB">
        <w:rPr>
          <w:noProof w:val="0"/>
        </w:rPr>
        <w:t>. Minor changes were suggested which have been made to the proposed text changes.</w:t>
      </w:r>
    </w:p>
    <w:p w14:paraId="3A7EB7AB" w14:textId="77777777" w:rsidR="004B4705" w:rsidRPr="007355DB" w:rsidRDefault="000A103F" w:rsidP="003D3B28">
      <w:pPr>
        <w:pStyle w:val="Heading1boardreport"/>
      </w:pPr>
      <w:r w:rsidRPr="007355DB">
        <w:t>Board action required</w:t>
      </w:r>
    </w:p>
    <w:p w14:paraId="2A58EF7E" w14:textId="77777777" w:rsidR="000A103F" w:rsidRPr="007355DB" w:rsidRDefault="000A103F" w:rsidP="000A103F">
      <w:pPr>
        <w:pStyle w:val="NICEnormalnumbered"/>
        <w:rPr>
          <w:noProof w:val="0"/>
        </w:rPr>
      </w:pPr>
      <w:r w:rsidRPr="007355DB">
        <w:rPr>
          <w:noProof w:val="0"/>
        </w:rPr>
        <w:t>The Board is asked to:</w:t>
      </w:r>
    </w:p>
    <w:p w14:paraId="21B74310" w14:textId="40EDB7F3" w:rsidR="003E1607" w:rsidRPr="007355DB" w:rsidRDefault="003E1607" w:rsidP="003E1607">
      <w:pPr>
        <w:pStyle w:val="NICEnormal"/>
        <w:numPr>
          <w:ilvl w:val="1"/>
          <w:numId w:val="25"/>
        </w:numPr>
      </w:pPr>
      <w:r w:rsidRPr="007355DB">
        <w:t>Approve publication of the HealthTech manual</w:t>
      </w:r>
    </w:p>
    <w:p w14:paraId="0E948A84" w14:textId="1ED8519F" w:rsidR="003E1607" w:rsidRPr="007355DB" w:rsidRDefault="003E1607" w:rsidP="003E1607">
      <w:pPr>
        <w:pStyle w:val="NICEnormal"/>
        <w:numPr>
          <w:ilvl w:val="1"/>
          <w:numId w:val="25"/>
        </w:numPr>
      </w:pPr>
      <w:r w:rsidRPr="007355DB">
        <w:t>Approve publication of NICE’s thematic responses to comments on the consultation</w:t>
      </w:r>
    </w:p>
    <w:p w14:paraId="2C570714" w14:textId="4911FBD4" w:rsidR="003E1607" w:rsidRPr="007355DB" w:rsidRDefault="003E1607" w:rsidP="00292731">
      <w:pPr>
        <w:pStyle w:val="NICEnormal"/>
        <w:numPr>
          <w:ilvl w:val="1"/>
          <w:numId w:val="25"/>
        </w:numPr>
      </w:pPr>
      <w:r w:rsidRPr="007355DB">
        <w:t xml:space="preserve">Approve minor updates to </w:t>
      </w:r>
      <w:hyperlink r:id="rId14">
        <w:r w:rsidRPr="007355DB">
          <w:rPr>
            <w:rStyle w:val="Hyperlink"/>
            <w:color w:val="4472C4" w:themeColor="accent1"/>
          </w:rPr>
          <w:t>NICE health technology evaluations: the manual</w:t>
        </w:r>
      </w:hyperlink>
      <w:r w:rsidRPr="007355DB">
        <w:t xml:space="preserve"> and the </w:t>
      </w:r>
      <w:hyperlink r:id="rId15">
        <w:r w:rsidRPr="007355DB">
          <w:rPr>
            <w:rStyle w:val="Hyperlink"/>
            <w:color w:val="4472C4" w:themeColor="accent1"/>
          </w:rPr>
          <w:t>Interventional procedures programme manual</w:t>
        </w:r>
      </w:hyperlink>
    </w:p>
    <w:p w14:paraId="2749559B" w14:textId="3CA70DBD" w:rsidR="004B4705" w:rsidRPr="007355DB" w:rsidRDefault="00CC0F0F" w:rsidP="004511A7">
      <w:pPr>
        <w:pStyle w:val="NICEnormalnumbered"/>
        <w:numPr>
          <w:ilvl w:val="1"/>
          <w:numId w:val="25"/>
        </w:numPr>
        <w:rPr>
          <w:noProof w:val="0"/>
        </w:rPr>
      </w:pPr>
      <w:r w:rsidRPr="007355DB">
        <w:rPr>
          <w:noProof w:val="0"/>
        </w:rPr>
        <w:lastRenderedPageBreak/>
        <w:t>Approve implementation of the</w:t>
      </w:r>
      <w:r w:rsidR="00292731" w:rsidRPr="007355DB">
        <w:rPr>
          <w:noProof w:val="0"/>
        </w:rPr>
        <w:t xml:space="preserve"> HealthTech manual</w:t>
      </w:r>
      <w:r w:rsidR="004D6F5E" w:rsidRPr="007355DB">
        <w:rPr>
          <w:noProof w:val="0"/>
        </w:rPr>
        <w:t xml:space="preserve"> for July 2025</w:t>
      </w:r>
    </w:p>
    <w:p w14:paraId="78893438" w14:textId="77777777" w:rsidR="00CC0F0F" w:rsidRPr="007355DB" w:rsidRDefault="00CC0F0F" w:rsidP="00CC0F0F">
      <w:pPr>
        <w:pStyle w:val="NICEnormalnumbered"/>
        <w:numPr>
          <w:ilvl w:val="0"/>
          <w:numId w:val="0"/>
        </w:numPr>
        <w:ind w:left="1156"/>
        <w:rPr>
          <w:noProof w:val="0"/>
        </w:rPr>
      </w:pPr>
    </w:p>
    <w:p w14:paraId="4365DB99" w14:textId="166AF19F" w:rsidR="004B4705" w:rsidRPr="007355DB" w:rsidRDefault="004B4705" w:rsidP="004B4705">
      <w:pPr>
        <w:pStyle w:val="NICEnormal"/>
      </w:pPr>
      <w:r w:rsidRPr="007355DB">
        <w:t xml:space="preserve">© NICE </w:t>
      </w:r>
      <w:r w:rsidR="00CC0F0F" w:rsidRPr="007355DB">
        <w:t>2025</w:t>
      </w:r>
      <w:r w:rsidRPr="007355DB">
        <w:t xml:space="preserve">. All rights reserved. </w:t>
      </w:r>
      <w:hyperlink r:id="rId16" w:anchor="notice-of-rights" w:history="1">
        <w:r w:rsidRPr="007355DB">
          <w:rPr>
            <w:rStyle w:val="Hyperlink"/>
          </w:rPr>
          <w:t>Subject to Notice of rights</w:t>
        </w:r>
      </w:hyperlink>
      <w:r w:rsidRPr="007355DB">
        <w:t>.</w:t>
      </w:r>
    </w:p>
    <w:p w14:paraId="35A65094" w14:textId="1720D697" w:rsidR="004B4705" w:rsidRPr="007355DB" w:rsidRDefault="00CC0F0F" w:rsidP="004511A7">
      <w:pPr>
        <w:pStyle w:val="NICEnormal"/>
      </w:pPr>
      <w:r w:rsidRPr="007355DB">
        <w:t>May 2025</w:t>
      </w:r>
    </w:p>
    <w:sectPr w:rsidR="004B4705" w:rsidRPr="007355DB" w:rsidSect="00B0463B">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6E13E" w14:textId="77777777" w:rsidR="00023AC1" w:rsidRDefault="00023AC1">
      <w:r>
        <w:separator/>
      </w:r>
    </w:p>
  </w:endnote>
  <w:endnote w:type="continuationSeparator" w:id="0">
    <w:p w14:paraId="23AAF178" w14:textId="77777777" w:rsidR="00023AC1" w:rsidRDefault="00023AC1">
      <w:r>
        <w:continuationSeparator/>
      </w:r>
    </w:p>
  </w:endnote>
  <w:endnote w:type="continuationNotice" w:id="1">
    <w:p w14:paraId="0BCE3C9D" w14:textId="77777777" w:rsidR="00023AC1" w:rsidRDefault="00023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8788" w14:textId="60B4155C" w:rsidR="004B4705" w:rsidRPr="00B82F3E" w:rsidRDefault="00B82F3E" w:rsidP="004D6F5E">
    <w:pPr>
      <w:pStyle w:val="Footer"/>
      <w:tabs>
        <w:tab w:val="right" w:pos="8931"/>
        <w:tab w:val="right" w:pos="13892"/>
      </w:tabs>
      <w:rPr>
        <w:szCs w:val="16"/>
      </w:rPr>
    </w:pPr>
    <w:r w:rsidRPr="00B82F3E">
      <w:rPr>
        <w:szCs w:val="16"/>
      </w:rPr>
      <w:t>HealthTech Manual post consultation</w:t>
    </w:r>
    <w:r w:rsidR="004D6F5E">
      <w:rPr>
        <w:szCs w:val="16"/>
      </w:rPr>
      <w:tab/>
    </w:r>
    <w:r w:rsidR="004D6F5E">
      <w:rPr>
        <w:szCs w:val="16"/>
      </w:rPr>
      <w:tab/>
    </w:r>
    <w:r w:rsidR="004D6F5E" w:rsidRPr="00B82F3E">
      <w:rPr>
        <w:szCs w:val="16"/>
      </w:rPr>
      <w:t xml:space="preserve">Page </w:t>
    </w:r>
    <w:r w:rsidR="004D6F5E" w:rsidRPr="00B82F3E">
      <w:rPr>
        <w:szCs w:val="16"/>
      </w:rPr>
      <w:fldChar w:fldCharType="begin"/>
    </w:r>
    <w:r w:rsidR="004D6F5E" w:rsidRPr="00B82F3E">
      <w:rPr>
        <w:szCs w:val="16"/>
      </w:rPr>
      <w:instrText xml:space="preserve"> PAGE  \* Arabic  \* MERGEFORMAT </w:instrText>
    </w:r>
    <w:r w:rsidR="004D6F5E" w:rsidRPr="00B82F3E">
      <w:rPr>
        <w:szCs w:val="16"/>
      </w:rPr>
      <w:fldChar w:fldCharType="separate"/>
    </w:r>
    <w:r w:rsidR="004D6F5E">
      <w:rPr>
        <w:szCs w:val="16"/>
      </w:rPr>
      <w:t>1</w:t>
    </w:r>
    <w:r w:rsidR="004D6F5E" w:rsidRPr="00B82F3E">
      <w:rPr>
        <w:szCs w:val="16"/>
      </w:rPr>
      <w:fldChar w:fldCharType="end"/>
    </w:r>
    <w:r w:rsidR="004D6F5E" w:rsidRPr="00B82F3E">
      <w:rPr>
        <w:szCs w:val="16"/>
      </w:rPr>
      <w:t xml:space="preserve"> of </w:t>
    </w:r>
    <w:r w:rsidR="004D6F5E" w:rsidRPr="00B82F3E">
      <w:rPr>
        <w:szCs w:val="16"/>
      </w:rPr>
      <w:fldChar w:fldCharType="begin"/>
    </w:r>
    <w:r w:rsidR="004D6F5E" w:rsidRPr="00B82F3E">
      <w:rPr>
        <w:szCs w:val="16"/>
      </w:rPr>
      <w:instrText xml:space="preserve"> NUMPAGES  \* Arabic  \* MERGEFORMAT </w:instrText>
    </w:r>
    <w:r w:rsidR="004D6F5E" w:rsidRPr="00B82F3E">
      <w:rPr>
        <w:szCs w:val="16"/>
      </w:rPr>
      <w:fldChar w:fldCharType="separate"/>
    </w:r>
    <w:r w:rsidR="004D6F5E">
      <w:rPr>
        <w:szCs w:val="16"/>
      </w:rPr>
      <w:t>6</w:t>
    </w:r>
    <w:r w:rsidR="004D6F5E" w:rsidRPr="00B82F3E">
      <w:rPr>
        <w:szCs w:val="16"/>
      </w:rPr>
      <w:fldChar w:fldCharType="end"/>
    </w:r>
    <w:r w:rsidR="004B4705" w:rsidRPr="00B82F3E">
      <w:rPr>
        <w:szCs w:val="16"/>
      </w:rPr>
      <w:tab/>
    </w:r>
  </w:p>
  <w:p w14:paraId="7C84BED1" w14:textId="222E8EF2" w:rsidR="004D6F5E" w:rsidRDefault="004D6F5E" w:rsidP="004B4705">
    <w:pPr>
      <w:pStyle w:val="Footer"/>
      <w:rPr>
        <w:szCs w:val="16"/>
      </w:rPr>
    </w:pPr>
    <w:r>
      <w:rPr>
        <w:szCs w:val="16"/>
      </w:rPr>
      <w:t>Public Board meeting</w:t>
    </w:r>
  </w:p>
  <w:p w14:paraId="17254294" w14:textId="533D94DD" w:rsidR="004B4705" w:rsidRPr="002A231B" w:rsidRDefault="00B82F3E" w:rsidP="004B4705">
    <w:pPr>
      <w:pStyle w:val="Footer"/>
      <w:rPr>
        <w:szCs w:val="16"/>
      </w:rPr>
    </w:pPr>
    <w:r w:rsidRPr="00B82F3E">
      <w:rPr>
        <w:szCs w:val="16"/>
      </w:rPr>
      <w:t>20 May 2025</w:t>
    </w:r>
    <w:r w:rsidR="004B4705" w:rsidRPr="00B82F3E">
      <w:rPr>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C4809" w14:textId="77777777" w:rsidR="00023AC1" w:rsidRDefault="00023AC1">
      <w:r>
        <w:separator/>
      </w:r>
    </w:p>
  </w:footnote>
  <w:footnote w:type="continuationSeparator" w:id="0">
    <w:p w14:paraId="151046A2" w14:textId="77777777" w:rsidR="00023AC1" w:rsidRDefault="00023AC1">
      <w:r>
        <w:continuationSeparator/>
      </w:r>
    </w:p>
  </w:footnote>
  <w:footnote w:type="continuationNotice" w:id="1">
    <w:p w14:paraId="3E88F420" w14:textId="77777777" w:rsidR="00023AC1" w:rsidRDefault="00023A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8E083" w14:textId="52540C1E" w:rsidR="004B4705" w:rsidRPr="006E0F0C" w:rsidRDefault="006E0F0C" w:rsidP="006E0F0C">
    <w:pPr>
      <w:pStyle w:val="Header"/>
      <w:ind w:left="0"/>
    </w:pPr>
    <w:r>
      <w:rPr>
        <w:noProof/>
      </w:rPr>
      <w:drawing>
        <wp:inline distT="0" distB="0" distL="0" distR="0" wp14:anchorId="211A78E6" wp14:editId="0F9CC80E">
          <wp:extent cx="2352675" cy="257175"/>
          <wp:effectExtent l="0" t="0" r="9525"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tab/>
    </w:r>
    <w:r>
      <w:tab/>
    </w:r>
    <w:r w:rsidRPr="004D6F5E">
      <w:t xml:space="preserve">Item </w:t>
    </w:r>
    <w:r w:rsidR="004D6F5E" w:rsidRPr="004D6F5E">
      <w:t>9</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2" w15:restartNumberingAfterBreak="0">
    <w:nsid w:val="0A1031AE"/>
    <w:multiLevelType w:val="hybridMultilevel"/>
    <w:tmpl w:val="B002F10C"/>
    <w:lvl w:ilvl="0" w:tplc="FFFFFFFF">
      <w:start w:val="1"/>
      <w:numFmt w:val="decimal"/>
      <w:lvlText w:val="%1."/>
      <w:lvlJc w:val="left"/>
      <w:pPr>
        <w:ind w:left="360" w:hanging="360"/>
      </w:pPr>
    </w:lvl>
    <w:lvl w:ilvl="1" w:tplc="08090001">
      <w:start w:val="1"/>
      <w:numFmt w:val="bullet"/>
      <w:lvlText w:val=""/>
      <w:lvlJc w:val="left"/>
      <w:pPr>
        <w:ind w:left="1156" w:hanging="360"/>
      </w:pPr>
      <w:rPr>
        <w:rFonts w:ascii="Symbol" w:hAnsi="Symbol" w:hint="default"/>
      </w:rPr>
    </w:lvl>
    <w:lvl w:ilvl="2" w:tplc="FFFFFFFF">
      <w:numFmt w:val="bullet"/>
      <w:lvlText w:val="·"/>
      <w:lvlJc w:val="left"/>
      <w:pPr>
        <w:ind w:left="2056" w:hanging="360"/>
      </w:pPr>
      <w:rPr>
        <w:rFonts w:ascii="Arial" w:eastAsia="Times New Roman" w:hAnsi="Arial" w:cs="Arial" w:hint="default"/>
      </w:r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3" w15:restartNumberingAfterBreak="0">
    <w:nsid w:val="0A8B2BD6"/>
    <w:multiLevelType w:val="hybridMultilevel"/>
    <w:tmpl w:val="FB020D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1B15797"/>
    <w:multiLevelType w:val="hybridMultilevel"/>
    <w:tmpl w:val="0D9ED6AC"/>
    <w:lvl w:ilvl="0" w:tplc="0650A9B2">
      <w:start w:val="1"/>
      <w:numFmt w:val="decimal"/>
      <w:pStyle w:val="Paragraph"/>
      <w:lvlText w:val="%1."/>
      <w:lvlJc w:val="left"/>
      <w:pPr>
        <w:ind w:left="360" w:hanging="360"/>
      </w:pPr>
    </w:lvl>
    <w:lvl w:ilvl="1" w:tplc="08090019">
      <w:start w:val="1"/>
      <w:numFmt w:val="lowerLetter"/>
      <w:lvlText w:val="%2."/>
      <w:lvlJc w:val="left"/>
      <w:pPr>
        <w:ind w:left="1156" w:hanging="360"/>
      </w:pPr>
    </w:lvl>
    <w:lvl w:ilvl="2" w:tplc="4468D64A">
      <w:numFmt w:val="bullet"/>
      <w:lvlText w:val="·"/>
      <w:lvlJc w:val="left"/>
      <w:pPr>
        <w:ind w:left="2056" w:hanging="360"/>
      </w:pPr>
      <w:rPr>
        <w:rFonts w:ascii="Arial" w:eastAsia="Times New Roman" w:hAnsi="Arial" w:cs="Arial" w:hint="default"/>
      </w:r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6"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C22BA8"/>
    <w:multiLevelType w:val="hybridMultilevel"/>
    <w:tmpl w:val="3D80CDA8"/>
    <w:lvl w:ilvl="0" w:tplc="51F222A0">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4" w15:restartNumberingAfterBreak="0">
    <w:nsid w:val="2ACF0A1D"/>
    <w:multiLevelType w:val="hybridMultilevel"/>
    <w:tmpl w:val="56A0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3446881"/>
    <w:multiLevelType w:val="hybridMultilevel"/>
    <w:tmpl w:val="FB020D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0"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1"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9" w15:restartNumberingAfterBreak="0">
    <w:nsid w:val="696F2189"/>
    <w:multiLevelType w:val="hybridMultilevel"/>
    <w:tmpl w:val="848A34BC"/>
    <w:lvl w:ilvl="0" w:tplc="7F94D6C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EAF47FF"/>
    <w:multiLevelType w:val="hybridMultilevel"/>
    <w:tmpl w:val="746CA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532623">
    <w:abstractNumId w:val="4"/>
  </w:num>
  <w:num w:numId="2" w16cid:durableId="2039620118">
    <w:abstractNumId w:val="28"/>
  </w:num>
  <w:num w:numId="3" w16cid:durableId="2116749296">
    <w:abstractNumId w:val="19"/>
  </w:num>
  <w:num w:numId="4" w16cid:durableId="611715962">
    <w:abstractNumId w:val="20"/>
  </w:num>
  <w:num w:numId="5" w16cid:durableId="377554922">
    <w:abstractNumId w:val="6"/>
  </w:num>
  <w:num w:numId="6" w16cid:durableId="1967815002">
    <w:abstractNumId w:val="9"/>
  </w:num>
  <w:num w:numId="7" w16cid:durableId="1478373446">
    <w:abstractNumId w:val="15"/>
  </w:num>
  <w:num w:numId="8" w16cid:durableId="1216622483">
    <w:abstractNumId w:val="18"/>
  </w:num>
  <w:num w:numId="9" w16cid:durableId="1028289363">
    <w:abstractNumId w:val="22"/>
  </w:num>
  <w:num w:numId="10" w16cid:durableId="1748379919">
    <w:abstractNumId w:val="8"/>
  </w:num>
  <w:num w:numId="11" w16cid:durableId="1008825018">
    <w:abstractNumId w:val="26"/>
  </w:num>
  <w:num w:numId="12" w16cid:durableId="128134450">
    <w:abstractNumId w:val="12"/>
  </w:num>
  <w:num w:numId="13" w16cid:durableId="503516617">
    <w:abstractNumId w:val="21"/>
  </w:num>
  <w:num w:numId="14" w16cid:durableId="1971012577">
    <w:abstractNumId w:val="24"/>
  </w:num>
  <w:num w:numId="15" w16cid:durableId="1256014139">
    <w:abstractNumId w:val="13"/>
  </w:num>
  <w:num w:numId="16" w16cid:durableId="230039927">
    <w:abstractNumId w:val="0"/>
  </w:num>
  <w:num w:numId="17" w16cid:durableId="882135492">
    <w:abstractNumId w:val="1"/>
  </w:num>
  <w:num w:numId="18" w16cid:durableId="194315641">
    <w:abstractNumId w:val="10"/>
  </w:num>
  <w:num w:numId="19" w16cid:durableId="1279488302">
    <w:abstractNumId w:val="17"/>
  </w:num>
  <w:num w:numId="20" w16cid:durableId="102305755">
    <w:abstractNumId w:val="7"/>
  </w:num>
  <w:num w:numId="21" w16cid:durableId="1863712968">
    <w:abstractNumId w:val="27"/>
  </w:num>
  <w:num w:numId="22" w16cid:durableId="426196748">
    <w:abstractNumId w:val="25"/>
  </w:num>
  <w:num w:numId="23" w16cid:durableId="1440686053">
    <w:abstractNumId w:val="29"/>
  </w:num>
  <w:num w:numId="24" w16cid:durableId="87122838">
    <w:abstractNumId w:val="11"/>
  </w:num>
  <w:num w:numId="25" w16cid:durableId="2069259383">
    <w:abstractNumId w:val="5"/>
  </w:num>
  <w:num w:numId="26" w16cid:durableId="1082874494">
    <w:abstractNumId w:val="5"/>
    <w:lvlOverride w:ilvl="0">
      <w:startOverride w:val="1"/>
    </w:lvlOverride>
  </w:num>
  <w:num w:numId="27" w16cid:durableId="47192573">
    <w:abstractNumId w:val="14"/>
  </w:num>
  <w:num w:numId="28" w16cid:durableId="594629506">
    <w:abstractNumId w:val="2"/>
  </w:num>
  <w:num w:numId="29" w16cid:durableId="1419521777">
    <w:abstractNumId w:val="31"/>
  </w:num>
  <w:num w:numId="30" w16cid:durableId="1325667687">
    <w:abstractNumId w:val="16"/>
  </w:num>
  <w:num w:numId="31" w16cid:durableId="1813015390">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o:colormru v:ext="edit" colors="#f0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73"/>
    <w:rsid w:val="000119FB"/>
    <w:rsid w:val="00023AC1"/>
    <w:rsid w:val="000242AA"/>
    <w:rsid w:val="000349DC"/>
    <w:rsid w:val="00057044"/>
    <w:rsid w:val="0008181C"/>
    <w:rsid w:val="00094B5D"/>
    <w:rsid w:val="000A103F"/>
    <w:rsid w:val="000A1EC0"/>
    <w:rsid w:val="000C3F75"/>
    <w:rsid w:val="000C4168"/>
    <w:rsid w:val="000D6C63"/>
    <w:rsid w:val="000E6C5F"/>
    <w:rsid w:val="00101F34"/>
    <w:rsid w:val="00104B59"/>
    <w:rsid w:val="001100C3"/>
    <w:rsid w:val="001172E1"/>
    <w:rsid w:val="001219F1"/>
    <w:rsid w:val="00123D3F"/>
    <w:rsid w:val="00131EB8"/>
    <w:rsid w:val="00132496"/>
    <w:rsid w:val="001419A1"/>
    <w:rsid w:val="00161AA0"/>
    <w:rsid w:val="0017277D"/>
    <w:rsid w:val="0018171E"/>
    <w:rsid w:val="00192A0E"/>
    <w:rsid w:val="001938BE"/>
    <w:rsid w:val="001A21CF"/>
    <w:rsid w:val="001B0506"/>
    <w:rsid w:val="001C032E"/>
    <w:rsid w:val="001C2145"/>
    <w:rsid w:val="001F365A"/>
    <w:rsid w:val="001F38CA"/>
    <w:rsid w:val="0021029D"/>
    <w:rsid w:val="002141BD"/>
    <w:rsid w:val="002169E7"/>
    <w:rsid w:val="00234986"/>
    <w:rsid w:val="00235CAB"/>
    <w:rsid w:val="00236D97"/>
    <w:rsid w:val="00237A94"/>
    <w:rsid w:val="00251D56"/>
    <w:rsid w:val="002526E6"/>
    <w:rsid w:val="002535B1"/>
    <w:rsid w:val="0025588A"/>
    <w:rsid w:val="00262EEB"/>
    <w:rsid w:val="00273D0A"/>
    <w:rsid w:val="00286C86"/>
    <w:rsid w:val="00292731"/>
    <w:rsid w:val="002A024B"/>
    <w:rsid w:val="002A3712"/>
    <w:rsid w:val="002A7DC0"/>
    <w:rsid w:val="002C3FAA"/>
    <w:rsid w:val="002D1D8C"/>
    <w:rsid w:val="002F15CF"/>
    <w:rsid w:val="0031664C"/>
    <w:rsid w:val="003330E6"/>
    <w:rsid w:val="00335267"/>
    <w:rsid w:val="00340957"/>
    <w:rsid w:val="00353D3E"/>
    <w:rsid w:val="00362226"/>
    <w:rsid w:val="00377E36"/>
    <w:rsid w:val="00380E75"/>
    <w:rsid w:val="0038143A"/>
    <w:rsid w:val="003830CE"/>
    <w:rsid w:val="003B1379"/>
    <w:rsid w:val="003B7BCF"/>
    <w:rsid w:val="003C36AC"/>
    <w:rsid w:val="003D3B28"/>
    <w:rsid w:val="003D4869"/>
    <w:rsid w:val="003E1607"/>
    <w:rsid w:val="00420F22"/>
    <w:rsid w:val="00443DF0"/>
    <w:rsid w:val="00446592"/>
    <w:rsid w:val="0045034F"/>
    <w:rsid w:val="0045107C"/>
    <w:rsid w:val="004511A7"/>
    <w:rsid w:val="004519B2"/>
    <w:rsid w:val="00461997"/>
    <w:rsid w:val="004820E9"/>
    <w:rsid w:val="0048361F"/>
    <w:rsid w:val="00484FE9"/>
    <w:rsid w:val="00485B88"/>
    <w:rsid w:val="004914C0"/>
    <w:rsid w:val="004A442F"/>
    <w:rsid w:val="004B4705"/>
    <w:rsid w:val="004B514C"/>
    <w:rsid w:val="004D6F5E"/>
    <w:rsid w:val="00503454"/>
    <w:rsid w:val="00526C07"/>
    <w:rsid w:val="0053387C"/>
    <w:rsid w:val="005614AA"/>
    <w:rsid w:val="005860F4"/>
    <w:rsid w:val="005866B1"/>
    <w:rsid w:val="00596C18"/>
    <w:rsid w:val="005A5E10"/>
    <w:rsid w:val="005B17DE"/>
    <w:rsid w:val="005C051F"/>
    <w:rsid w:val="005C762E"/>
    <w:rsid w:val="005D098C"/>
    <w:rsid w:val="005F036F"/>
    <w:rsid w:val="005F11CF"/>
    <w:rsid w:val="0060105A"/>
    <w:rsid w:val="006020CF"/>
    <w:rsid w:val="00603E56"/>
    <w:rsid w:val="0060662A"/>
    <w:rsid w:val="00611EB2"/>
    <w:rsid w:val="00614BDA"/>
    <w:rsid w:val="00617519"/>
    <w:rsid w:val="006331B4"/>
    <w:rsid w:val="006343F3"/>
    <w:rsid w:val="00642906"/>
    <w:rsid w:val="006571D4"/>
    <w:rsid w:val="00680B94"/>
    <w:rsid w:val="006A4C53"/>
    <w:rsid w:val="006A721F"/>
    <w:rsid w:val="006D73F1"/>
    <w:rsid w:val="006E0F0C"/>
    <w:rsid w:val="006E6998"/>
    <w:rsid w:val="007277C3"/>
    <w:rsid w:val="00732519"/>
    <w:rsid w:val="007355DB"/>
    <w:rsid w:val="007359A6"/>
    <w:rsid w:val="00737F9C"/>
    <w:rsid w:val="00777E51"/>
    <w:rsid w:val="00790F1B"/>
    <w:rsid w:val="007A174B"/>
    <w:rsid w:val="007A4EEE"/>
    <w:rsid w:val="007A7003"/>
    <w:rsid w:val="007A7B78"/>
    <w:rsid w:val="007B5BCA"/>
    <w:rsid w:val="007E3829"/>
    <w:rsid w:val="0081404B"/>
    <w:rsid w:val="008222E6"/>
    <w:rsid w:val="00837E42"/>
    <w:rsid w:val="00842E11"/>
    <w:rsid w:val="008505C3"/>
    <w:rsid w:val="00862C0C"/>
    <w:rsid w:val="008853CB"/>
    <w:rsid w:val="008A3CB5"/>
    <w:rsid w:val="008A5B98"/>
    <w:rsid w:val="008A6557"/>
    <w:rsid w:val="008B009F"/>
    <w:rsid w:val="008B2C6F"/>
    <w:rsid w:val="008C782E"/>
    <w:rsid w:val="008D6069"/>
    <w:rsid w:val="008E7585"/>
    <w:rsid w:val="008E762F"/>
    <w:rsid w:val="00921222"/>
    <w:rsid w:val="00921354"/>
    <w:rsid w:val="00933336"/>
    <w:rsid w:val="0094366C"/>
    <w:rsid w:val="00953ADF"/>
    <w:rsid w:val="00971131"/>
    <w:rsid w:val="009871F3"/>
    <w:rsid w:val="009A0289"/>
    <w:rsid w:val="009B1D56"/>
    <w:rsid w:val="009B621A"/>
    <w:rsid w:val="009C45D9"/>
    <w:rsid w:val="009C6E2D"/>
    <w:rsid w:val="009E6FA0"/>
    <w:rsid w:val="00A03CA7"/>
    <w:rsid w:val="00A06657"/>
    <w:rsid w:val="00A24C1C"/>
    <w:rsid w:val="00A30454"/>
    <w:rsid w:val="00A33717"/>
    <w:rsid w:val="00A36575"/>
    <w:rsid w:val="00A54398"/>
    <w:rsid w:val="00A81A5E"/>
    <w:rsid w:val="00A820E1"/>
    <w:rsid w:val="00A86D3D"/>
    <w:rsid w:val="00A956DE"/>
    <w:rsid w:val="00AB2948"/>
    <w:rsid w:val="00AB39FA"/>
    <w:rsid w:val="00AC1A30"/>
    <w:rsid w:val="00AD5CB7"/>
    <w:rsid w:val="00AD5E0B"/>
    <w:rsid w:val="00AD6933"/>
    <w:rsid w:val="00AD6B7B"/>
    <w:rsid w:val="00AF1CBD"/>
    <w:rsid w:val="00B0463B"/>
    <w:rsid w:val="00B15262"/>
    <w:rsid w:val="00B3362D"/>
    <w:rsid w:val="00B34A73"/>
    <w:rsid w:val="00B34C93"/>
    <w:rsid w:val="00B60D70"/>
    <w:rsid w:val="00B627F5"/>
    <w:rsid w:val="00B7126D"/>
    <w:rsid w:val="00B75FBC"/>
    <w:rsid w:val="00B82F3E"/>
    <w:rsid w:val="00B84BC1"/>
    <w:rsid w:val="00BA0179"/>
    <w:rsid w:val="00BA51EA"/>
    <w:rsid w:val="00BA589F"/>
    <w:rsid w:val="00BB047B"/>
    <w:rsid w:val="00BB6398"/>
    <w:rsid w:val="00BC0E86"/>
    <w:rsid w:val="00BD0372"/>
    <w:rsid w:val="00BD1C2B"/>
    <w:rsid w:val="00BD246E"/>
    <w:rsid w:val="00BF4768"/>
    <w:rsid w:val="00BF6573"/>
    <w:rsid w:val="00C01909"/>
    <w:rsid w:val="00C139CA"/>
    <w:rsid w:val="00C433C5"/>
    <w:rsid w:val="00C51429"/>
    <w:rsid w:val="00C82A8F"/>
    <w:rsid w:val="00C9707F"/>
    <w:rsid w:val="00CA3397"/>
    <w:rsid w:val="00CA33E1"/>
    <w:rsid w:val="00CB00D2"/>
    <w:rsid w:val="00CB0453"/>
    <w:rsid w:val="00CB6BEB"/>
    <w:rsid w:val="00CB7DA8"/>
    <w:rsid w:val="00CC0F0F"/>
    <w:rsid w:val="00CE7855"/>
    <w:rsid w:val="00CF759D"/>
    <w:rsid w:val="00D05435"/>
    <w:rsid w:val="00D33642"/>
    <w:rsid w:val="00D3612A"/>
    <w:rsid w:val="00D37703"/>
    <w:rsid w:val="00D37F25"/>
    <w:rsid w:val="00D453F6"/>
    <w:rsid w:val="00D522BF"/>
    <w:rsid w:val="00D60D8D"/>
    <w:rsid w:val="00D63E61"/>
    <w:rsid w:val="00D73C98"/>
    <w:rsid w:val="00D93B58"/>
    <w:rsid w:val="00DA11DD"/>
    <w:rsid w:val="00DA6598"/>
    <w:rsid w:val="00DC0120"/>
    <w:rsid w:val="00DC39F8"/>
    <w:rsid w:val="00DD3BB8"/>
    <w:rsid w:val="00DE643F"/>
    <w:rsid w:val="00DF244F"/>
    <w:rsid w:val="00DF3259"/>
    <w:rsid w:val="00DF5AEE"/>
    <w:rsid w:val="00E00689"/>
    <w:rsid w:val="00E01282"/>
    <w:rsid w:val="00E17C99"/>
    <w:rsid w:val="00E2509B"/>
    <w:rsid w:val="00E327B3"/>
    <w:rsid w:val="00E4622C"/>
    <w:rsid w:val="00E46571"/>
    <w:rsid w:val="00E51FFB"/>
    <w:rsid w:val="00E63855"/>
    <w:rsid w:val="00E95993"/>
    <w:rsid w:val="00EA0A22"/>
    <w:rsid w:val="00EA18B0"/>
    <w:rsid w:val="00EB03BB"/>
    <w:rsid w:val="00EB1C36"/>
    <w:rsid w:val="00EE2EB2"/>
    <w:rsid w:val="00EE406C"/>
    <w:rsid w:val="00F07534"/>
    <w:rsid w:val="00F247F3"/>
    <w:rsid w:val="00F26A9F"/>
    <w:rsid w:val="00F26E68"/>
    <w:rsid w:val="00F33119"/>
    <w:rsid w:val="00F42C9A"/>
    <w:rsid w:val="00F67665"/>
    <w:rsid w:val="00F73C47"/>
    <w:rsid w:val="00F81F2C"/>
    <w:rsid w:val="00F90E63"/>
    <w:rsid w:val="00FA66A6"/>
    <w:rsid w:val="00FA6EE7"/>
    <w:rsid w:val="00FB47DD"/>
    <w:rsid w:val="00FB73D3"/>
    <w:rsid w:val="00FD4756"/>
    <w:rsid w:val="00FE4E74"/>
    <w:rsid w:val="00FF0EF4"/>
    <w:rsid w:val="06DF02DE"/>
    <w:rsid w:val="08A7F7ED"/>
    <w:rsid w:val="0986DDF8"/>
    <w:rsid w:val="0AAC431C"/>
    <w:rsid w:val="0DBFE24E"/>
    <w:rsid w:val="10602905"/>
    <w:rsid w:val="115EA617"/>
    <w:rsid w:val="11BB89E0"/>
    <w:rsid w:val="11C26581"/>
    <w:rsid w:val="1661D116"/>
    <w:rsid w:val="1684037E"/>
    <w:rsid w:val="1AEA6D69"/>
    <w:rsid w:val="20A62DBB"/>
    <w:rsid w:val="20D1D863"/>
    <w:rsid w:val="214A779D"/>
    <w:rsid w:val="237A931C"/>
    <w:rsid w:val="245A18A6"/>
    <w:rsid w:val="24903C29"/>
    <w:rsid w:val="24B62499"/>
    <w:rsid w:val="2816C6B0"/>
    <w:rsid w:val="2D42E60C"/>
    <w:rsid w:val="2D698097"/>
    <w:rsid w:val="31301B4C"/>
    <w:rsid w:val="3151B245"/>
    <w:rsid w:val="3175D353"/>
    <w:rsid w:val="349B10B0"/>
    <w:rsid w:val="36657748"/>
    <w:rsid w:val="3A91628E"/>
    <w:rsid w:val="3CF0570D"/>
    <w:rsid w:val="3D3A0AD8"/>
    <w:rsid w:val="3DEB8A73"/>
    <w:rsid w:val="48E065E1"/>
    <w:rsid w:val="49E35C98"/>
    <w:rsid w:val="4EB7AA05"/>
    <w:rsid w:val="558FC73D"/>
    <w:rsid w:val="580757B0"/>
    <w:rsid w:val="58E77DDB"/>
    <w:rsid w:val="59B5F767"/>
    <w:rsid w:val="5A3196A3"/>
    <w:rsid w:val="5AAEE801"/>
    <w:rsid w:val="5DD8F094"/>
    <w:rsid w:val="5DE2AD7C"/>
    <w:rsid w:val="621815F9"/>
    <w:rsid w:val="6404EFEB"/>
    <w:rsid w:val="660C6AA2"/>
    <w:rsid w:val="68461619"/>
    <w:rsid w:val="6DA34DC5"/>
    <w:rsid w:val="729E7761"/>
    <w:rsid w:val="748BF145"/>
    <w:rsid w:val="7525FB57"/>
    <w:rsid w:val="76A4F028"/>
    <w:rsid w:val="7C100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06"/>
    </o:shapedefaults>
    <o:shapelayout v:ext="edit">
      <o:idmap v:ext="edit" data="2"/>
    </o:shapelayout>
  </w:shapeDefaults>
  <w:decimalSymbol w:val="."/>
  <w:listSeparator w:val=","/>
  <w14:docId w14:val="228BDD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uiPriority w:val="1"/>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262EEB"/>
    <w:pPr>
      <w:numPr>
        <w:numId w:val="18"/>
      </w:numPr>
      <w:tabs>
        <w:tab w:val="clear" w:pos="1418"/>
        <w:tab w:val="num" w:pos="993"/>
      </w:tabs>
      <w:ind w:left="993"/>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6E0F0C"/>
    <w:pPr>
      <w:spacing w:after="200"/>
    </w:pPr>
    <w:rPr>
      <w:bCs w:val="0"/>
      <w:iCs/>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6E0F0C"/>
    <w:rPr>
      <w:b/>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4"/>
    <w:qFormat/>
    <w:locked/>
    <w:rsid w:val="009B1D56"/>
    <w:pPr>
      <w:numPr>
        <w:numId w:val="25"/>
      </w:numPr>
      <w:tabs>
        <w:tab w:val="left" w:pos="426"/>
      </w:tabs>
    </w:pPr>
    <w:rPr>
      <w:noProof/>
    </w:rPr>
  </w:style>
  <w:style w:type="paragraph" w:customStyle="1" w:styleId="Bullets">
    <w:name w:val="Bullets"/>
    <w:basedOn w:val="Normal"/>
    <w:uiPriority w:val="5"/>
    <w:qFormat/>
    <w:locked/>
    <w:rsid w:val="009C6E2D"/>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paragraph" w:styleId="Revision">
    <w:name w:val="Revision"/>
    <w:hidden/>
    <w:uiPriority w:val="99"/>
    <w:semiHidden/>
    <w:rsid w:val="00262EEB"/>
    <w:rPr>
      <w:sz w:val="24"/>
      <w:szCs w:val="24"/>
      <w:lang w:eastAsia="en-US"/>
    </w:rPr>
  </w:style>
  <w:style w:type="paragraph" w:styleId="CommentSubject">
    <w:name w:val="annotation subject"/>
    <w:basedOn w:val="CommentText"/>
    <w:next w:val="CommentText"/>
    <w:link w:val="CommentSubjectChar"/>
    <w:rsid w:val="00DD3BB8"/>
    <w:rPr>
      <w:b/>
      <w:bCs/>
      <w:lang w:eastAsia="en-US"/>
    </w:rPr>
  </w:style>
  <w:style w:type="character" w:customStyle="1" w:styleId="CommentSubjectChar">
    <w:name w:val="Comment Subject Char"/>
    <w:basedOn w:val="CommentTextChar"/>
    <w:link w:val="CommentSubject"/>
    <w:rsid w:val="00DD3BB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535010">
      <w:bodyDiv w:val="1"/>
      <w:marLeft w:val="0"/>
      <w:marRight w:val="0"/>
      <w:marTop w:val="0"/>
      <w:marBottom w:val="0"/>
      <w:divBdr>
        <w:top w:val="none" w:sz="0" w:space="0" w:color="auto"/>
        <w:left w:val="none" w:sz="0" w:space="0" w:color="auto"/>
        <w:bottom w:val="none" w:sz="0" w:space="0" w:color="auto"/>
        <w:right w:val="none" w:sz="0" w:space="0" w:color="auto"/>
      </w:divBdr>
    </w:div>
    <w:div w:id="197089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36/chapter/introduction-to-health-technology-evaluation" TargetMode="External"/><Relationship Id="rId13" Type="http://schemas.openxmlformats.org/officeDocument/2006/relationships/hyperlink" Target="https://www.nice.org.uk/process/pmg28/chapter/introductio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nice.org.uk/process/pmg36/chapter/introduction-to-health-technology-evaluat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ice.org.uk/terms-and-condi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ocess/pmg28/chapter/introduction" TargetMode="External"/><Relationship Id="rId5" Type="http://schemas.openxmlformats.org/officeDocument/2006/relationships/webSettings" Target="webSettings.xml"/><Relationship Id="rId15" Type="http://schemas.openxmlformats.org/officeDocument/2006/relationships/hyperlink" Target="https://www.nice.org.uk/process/pmg28/chapter/introduction" TargetMode="External"/><Relationship Id="rId23" Type="http://schemas.openxmlformats.org/officeDocument/2006/relationships/customXml" Target="../customXml/item4.xml"/><Relationship Id="rId10" Type="http://schemas.openxmlformats.org/officeDocument/2006/relationships/hyperlink" Target="https://www.nice.org.uk/process/pmg36/chapter/introduction-to-health-technology-evalu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ce.org.uk/process/pmg28/chapter/introduction" TargetMode="External"/><Relationship Id="rId14" Type="http://schemas.openxmlformats.org/officeDocument/2006/relationships/hyperlink" Target="https://www.nice.org.uk/process/pmg36/chapter/introduction-to-health-technology-evaluation"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EB742D5E2988439A0FECDECF284312" ma:contentTypeVersion="6" ma:contentTypeDescription="Create a new document." ma:contentTypeScope="" ma:versionID="b04cdf7c05549e4665a6c320dc73ee12">
  <xsd:schema xmlns:xsd="http://www.w3.org/2001/XMLSchema" xmlns:xs="http://www.w3.org/2001/XMLSchema" xmlns:p="http://schemas.microsoft.com/office/2006/metadata/properties" xmlns:ns2="289b8fc0-128f-4d7b-b8ee-34c94b7018e7" xmlns:ns3="35b4e7bb-0a9c-468b-b508-8e83b9d014a1" targetNamespace="http://schemas.microsoft.com/office/2006/metadata/properties" ma:root="true" ma:fieldsID="5aa5fda71fffd7cdfa1ed96c174d13ef" ns2:_="" ns3:_="">
    <xsd:import namespace="289b8fc0-128f-4d7b-b8ee-34c94b7018e7"/>
    <xsd:import namespace="35b4e7bb-0a9c-468b-b508-8e83b9d014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b8fc0-128f-4d7b-b8ee-34c94b701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e7bb-0a9c-468b-b508-8e83b9d014a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BFE704-F20E-47D3-B7BE-ADEA15FE7B4A}">
  <ds:schemaRefs>
    <ds:schemaRef ds:uri="http://schemas.openxmlformats.org/officeDocument/2006/bibliography"/>
  </ds:schemaRefs>
</ds:datastoreItem>
</file>

<file path=customXml/itemProps2.xml><?xml version="1.0" encoding="utf-8"?>
<ds:datastoreItem xmlns:ds="http://schemas.openxmlformats.org/officeDocument/2006/customXml" ds:itemID="{92D76F57-663E-4F7A-B0C2-D407C3DBB8D4}"/>
</file>

<file path=customXml/itemProps3.xml><?xml version="1.0" encoding="utf-8"?>
<ds:datastoreItem xmlns:ds="http://schemas.openxmlformats.org/officeDocument/2006/customXml" ds:itemID="{8B7A7D15-5C3D-4678-AD89-6577F2522169}"/>
</file>

<file path=customXml/itemProps4.xml><?xml version="1.0" encoding="utf-8"?>
<ds:datastoreItem xmlns:ds="http://schemas.openxmlformats.org/officeDocument/2006/customXml" ds:itemID="{FCC96798-90DD-4812-AE57-F16F0F120014}"/>
</file>

<file path=docProps/app.xml><?xml version="1.0" encoding="utf-8"?>
<Properties xmlns="http://schemas.openxmlformats.org/officeDocument/2006/extended-properties" xmlns:vt="http://schemas.openxmlformats.org/officeDocument/2006/docPropsVTypes">
  <Template>Normal</Template>
  <TotalTime>0</TotalTime>
  <Pages>6</Pages>
  <Words>1405</Words>
  <Characters>8012</Characters>
  <Application>Microsoft Office Word</Application>
  <DocSecurity>0</DocSecurity>
  <Lines>66</Lines>
  <Paragraphs>18</Paragraphs>
  <ScaleCrop>false</ScaleCrop>
  <Company/>
  <LinksUpToDate>false</LinksUpToDate>
  <CharactersWithSpaces>9399</CharactersWithSpaces>
  <SharedDoc>false</SharedDoc>
  <HLinks>
    <vt:vector size="54" baseType="variant">
      <vt:variant>
        <vt:i4>4194324</vt:i4>
      </vt:variant>
      <vt:variant>
        <vt:i4>24</vt:i4>
      </vt:variant>
      <vt:variant>
        <vt:i4>0</vt:i4>
      </vt:variant>
      <vt:variant>
        <vt:i4>5</vt:i4>
      </vt:variant>
      <vt:variant>
        <vt:lpwstr>https://www.nice.org.uk/terms-and-conditions</vt:lpwstr>
      </vt:variant>
      <vt:variant>
        <vt:lpwstr>notice-of-rights</vt:lpwstr>
      </vt:variant>
      <vt:variant>
        <vt:i4>6619242</vt:i4>
      </vt:variant>
      <vt:variant>
        <vt:i4>21</vt:i4>
      </vt:variant>
      <vt:variant>
        <vt:i4>0</vt:i4>
      </vt:variant>
      <vt:variant>
        <vt:i4>5</vt:i4>
      </vt:variant>
      <vt:variant>
        <vt:lpwstr>https://www.nice.org.uk/process/pmg28/chapter/introduction</vt:lpwstr>
      </vt:variant>
      <vt:variant>
        <vt:lpwstr/>
      </vt:variant>
      <vt:variant>
        <vt:i4>8323176</vt:i4>
      </vt:variant>
      <vt:variant>
        <vt:i4>18</vt:i4>
      </vt:variant>
      <vt:variant>
        <vt:i4>0</vt:i4>
      </vt:variant>
      <vt:variant>
        <vt:i4>5</vt:i4>
      </vt:variant>
      <vt:variant>
        <vt:lpwstr>https://www.nice.org.uk/process/pmg36/chapter/introduction-to-health-technology-evaluation</vt:lpwstr>
      </vt:variant>
      <vt:variant>
        <vt:lpwstr/>
      </vt:variant>
      <vt:variant>
        <vt:i4>6619242</vt:i4>
      </vt:variant>
      <vt:variant>
        <vt:i4>15</vt:i4>
      </vt:variant>
      <vt:variant>
        <vt:i4>0</vt:i4>
      </vt:variant>
      <vt:variant>
        <vt:i4>5</vt:i4>
      </vt:variant>
      <vt:variant>
        <vt:lpwstr>https://www.nice.org.uk/process/pmg28/chapter/introduction</vt:lpwstr>
      </vt:variant>
      <vt:variant>
        <vt:lpwstr/>
      </vt:variant>
      <vt:variant>
        <vt:i4>8323176</vt:i4>
      </vt:variant>
      <vt:variant>
        <vt:i4>12</vt:i4>
      </vt:variant>
      <vt:variant>
        <vt:i4>0</vt:i4>
      </vt:variant>
      <vt:variant>
        <vt:i4>5</vt:i4>
      </vt:variant>
      <vt:variant>
        <vt:lpwstr>https://www.nice.org.uk/process/pmg36/chapter/introduction-to-health-technology-evaluation</vt:lpwstr>
      </vt:variant>
      <vt:variant>
        <vt:lpwstr/>
      </vt:variant>
      <vt:variant>
        <vt:i4>6619242</vt:i4>
      </vt:variant>
      <vt:variant>
        <vt:i4>9</vt:i4>
      </vt:variant>
      <vt:variant>
        <vt:i4>0</vt:i4>
      </vt:variant>
      <vt:variant>
        <vt:i4>5</vt:i4>
      </vt:variant>
      <vt:variant>
        <vt:lpwstr>https://www.nice.org.uk/process/pmg28/chapter/introduction</vt:lpwstr>
      </vt:variant>
      <vt:variant>
        <vt:lpwstr/>
      </vt:variant>
      <vt:variant>
        <vt:i4>8323176</vt:i4>
      </vt:variant>
      <vt:variant>
        <vt:i4>6</vt:i4>
      </vt:variant>
      <vt:variant>
        <vt:i4>0</vt:i4>
      </vt:variant>
      <vt:variant>
        <vt:i4>5</vt:i4>
      </vt:variant>
      <vt:variant>
        <vt:lpwstr>https://www.nice.org.uk/process/pmg36/chapter/introduction-to-health-technology-evaluation</vt:lpwstr>
      </vt:variant>
      <vt:variant>
        <vt:lpwstr/>
      </vt:variant>
      <vt:variant>
        <vt:i4>6619242</vt:i4>
      </vt:variant>
      <vt:variant>
        <vt:i4>3</vt:i4>
      </vt:variant>
      <vt:variant>
        <vt:i4>0</vt:i4>
      </vt:variant>
      <vt:variant>
        <vt:i4>5</vt:i4>
      </vt:variant>
      <vt:variant>
        <vt:lpwstr>https://www.nice.org.uk/process/pmg28/chapter/introduction</vt:lpwstr>
      </vt:variant>
      <vt:variant>
        <vt:lpwstr/>
      </vt:variant>
      <vt:variant>
        <vt:i4>8323176</vt:i4>
      </vt:variant>
      <vt:variant>
        <vt:i4>0</vt:i4>
      </vt:variant>
      <vt:variant>
        <vt:i4>0</vt:i4>
      </vt:variant>
      <vt:variant>
        <vt:i4>5</vt:i4>
      </vt:variant>
      <vt:variant>
        <vt:lpwstr>https://www.nice.org.uk/process/pmg36/chapter/introduction-to-health-technology-evaluation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2025-05-14T04:54:00Z</dcterms:created>
  <dcterms:modified xsi:type="dcterms:W3CDTF">2025-05-14T04:54:00Z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2025-05-14T04:54:57Z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6daf71df-274b-48e6-8cfc-1ea3dda08fb7</vt:lpwstr>
  </property>
  <property fmtid="{D5CDD505-2E9C-101B-9397-08002B2CF9AE}" pid="8" name="MSIP_Label_c69d85d5-6d9e-4305-a294-1f636ec0f2d6_ContentBits">
    <vt:lpwstr>0</vt:lpwstr>
  </property>
  <property fmtid="{D5CDD505-2E9C-101B-9397-08002B2CF9AE}" pid="9" name="MSIP_Label_c69d85d5-6d9e-4305-a294-1f636ec0f2d6_Tag">
    <vt:lpwstr>10, 3, 0, 1</vt:lpwstr>
  </property>
  <property fmtid="{D5CDD505-2E9C-101B-9397-08002B2CF9AE}" pid="10" name="ContentTypeId">
    <vt:lpwstr>0x010100CFEB742D5E2988439A0FECDECF284312</vt:lpwstr>
  </property>
</Properties>
</file>