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D1C9" w14:textId="2FD507C7" w:rsidR="00057044" w:rsidRDefault="00057044" w:rsidP="00613E99">
      <w:pPr>
        <w:pStyle w:val="Title1"/>
      </w:pPr>
      <w:r w:rsidRPr="003D3B28">
        <w:t>Board meeting</w:t>
      </w:r>
    </w:p>
    <w:p w14:paraId="501506C0" w14:textId="1A9838A2" w:rsidR="004B4705" w:rsidRDefault="00FB195A" w:rsidP="00613E99">
      <w:pPr>
        <w:pStyle w:val="Title20"/>
      </w:pPr>
      <w:r>
        <w:t>15 July 2026</w:t>
      </w:r>
    </w:p>
    <w:p w14:paraId="51B0E1D2" w14:textId="6EDE09EB" w:rsidR="00094B5D" w:rsidRPr="008036DF" w:rsidRDefault="00FB195A" w:rsidP="00613E99">
      <w:pPr>
        <w:pStyle w:val="Title1"/>
      </w:pPr>
      <w:r>
        <w:t xml:space="preserve">Monitoring and implementation of </w:t>
      </w:r>
      <w:r w:rsidR="00012BFE">
        <w:t xml:space="preserve">the </w:t>
      </w:r>
      <w:r>
        <w:t xml:space="preserve">health inequalities modular update </w:t>
      </w:r>
    </w:p>
    <w:p w14:paraId="09D4089D" w14:textId="77777777" w:rsidR="009B1D56" w:rsidRDefault="009B1D56" w:rsidP="00613E99">
      <w:pPr>
        <w:pStyle w:val="Heading1boardreport"/>
      </w:pPr>
      <w:r w:rsidRPr="003D3B28">
        <w:t>Purpose of paper</w:t>
      </w:r>
    </w:p>
    <w:p w14:paraId="04E41D4D" w14:textId="6E149A53" w:rsidR="007146DE" w:rsidRPr="007146DE" w:rsidRDefault="007146DE" w:rsidP="007146DE">
      <w:pPr>
        <w:pStyle w:val="NICEnormal"/>
      </w:pPr>
      <w:r>
        <w:t>For information</w:t>
      </w:r>
    </w:p>
    <w:p w14:paraId="1130CE4D" w14:textId="77777777" w:rsidR="009B1D56" w:rsidRPr="003D3B28" w:rsidRDefault="009B1D56" w:rsidP="00613E99">
      <w:pPr>
        <w:pStyle w:val="Heading1boardreport"/>
      </w:pPr>
      <w:r w:rsidRPr="003D3B28">
        <w:t>Board action required</w:t>
      </w:r>
    </w:p>
    <w:p w14:paraId="25E9F4CA" w14:textId="0EA33B16" w:rsidR="00EB5967" w:rsidRDefault="00EB5967" w:rsidP="00613E99">
      <w:pPr>
        <w:pStyle w:val="NICEnormal"/>
        <w:rPr>
          <w:b/>
          <w:bCs/>
        </w:rPr>
      </w:pPr>
      <w:r>
        <w:t>The Board is asked to n</w:t>
      </w:r>
      <w:r w:rsidRPr="00EB5967">
        <w:t>ote progress to date</w:t>
      </w:r>
      <w:r>
        <w:t xml:space="preserve"> on implementation and</w:t>
      </w:r>
      <w:r w:rsidRPr="00EB5967">
        <w:t xml:space="preserve"> monitoring</w:t>
      </w:r>
      <w:r>
        <w:t xml:space="preserve"> of the </w:t>
      </w:r>
      <w:r w:rsidR="00562572" w:rsidRPr="00074BE1">
        <w:t>modular</w:t>
      </w:r>
      <w:r w:rsidR="00562572">
        <w:rPr>
          <w:b/>
          <w:bCs/>
        </w:rPr>
        <w:t xml:space="preserve"> </w:t>
      </w:r>
      <w:proofErr w:type="gramStart"/>
      <w:r>
        <w:t>update, and</w:t>
      </w:r>
      <w:proofErr w:type="gramEnd"/>
      <w:r>
        <w:t xml:space="preserve"> p</w:t>
      </w:r>
      <w:r w:rsidRPr="00EB5967">
        <w:t xml:space="preserve">rovide any comments or steer on </w:t>
      </w:r>
      <w:r>
        <w:t>future activities</w:t>
      </w:r>
      <w:r w:rsidRPr="00EB5967">
        <w:t>.</w:t>
      </w:r>
    </w:p>
    <w:p w14:paraId="4481BE89" w14:textId="3324CD6F" w:rsidR="009B1D56" w:rsidRPr="003D3B28" w:rsidRDefault="009B1D56" w:rsidP="00613E99">
      <w:pPr>
        <w:pStyle w:val="Heading1boardreport"/>
      </w:pPr>
      <w:proofErr w:type="gramStart"/>
      <w:r w:rsidRPr="003D3B28">
        <w:t>Brief summary</w:t>
      </w:r>
      <w:proofErr w:type="gramEnd"/>
    </w:p>
    <w:p w14:paraId="4EE7D2FA" w14:textId="0B0178C5" w:rsidR="00027157" w:rsidRPr="00EB5967" w:rsidRDefault="00027157" w:rsidP="00027157">
      <w:pPr>
        <w:pStyle w:val="NICEnormal"/>
      </w:pPr>
      <w:r>
        <w:t xml:space="preserve">In line with the action </w:t>
      </w:r>
      <w:r w:rsidR="00AC6D75">
        <w:t xml:space="preserve">from the Board meeting in May 2025, this paper </w:t>
      </w:r>
      <w:r w:rsidRPr="00EB5967">
        <w:t>provide</w:t>
      </w:r>
      <w:r w:rsidR="00AC6D75">
        <w:t>s</w:t>
      </w:r>
      <w:r w:rsidRPr="00EB5967">
        <w:t xml:space="preserve"> an update on</w:t>
      </w:r>
      <w:r>
        <w:t>:</w:t>
      </w:r>
      <w:r w:rsidRPr="00EB5967">
        <w:t xml:space="preserve"> (</w:t>
      </w:r>
      <w:proofErr w:type="spellStart"/>
      <w:r w:rsidRPr="00EB5967">
        <w:t>i</w:t>
      </w:r>
      <w:proofErr w:type="spellEnd"/>
      <w:r w:rsidRPr="00EB5967">
        <w:t xml:space="preserve">) the activities that have been undertaken to support the </w:t>
      </w:r>
      <w:r>
        <w:t xml:space="preserve">implementation of the </w:t>
      </w:r>
      <w:r w:rsidRPr="00EB5967">
        <w:t>health inequali</w:t>
      </w:r>
      <w:r>
        <w:t>t</w:t>
      </w:r>
      <w:r w:rsidRPr="00EB5967">
        <w:t>ies modular update</w:t>
      </w:r>
      <w:r>
        <w:t>;</w:t>
      </w:r>
      <w:r w:rsidRPr="00EB5967">
        <w:t xml:space="preserve"> and (ii) the evaluations undertaken since the update was published where companies have </w:t>
      </w:r>
      <w:r>
        <w:t xml:space="preserve">submitted </w:t>
      </w:r>
      <w:r w:rsidRPr="00EB5967">
        <w:t>quantitative evidence on health inequality impacts.</w:t>
      </w:r>
    </w:p>
    <w:p w14:paraId="407775B2" w14:textId="0A34D1CA" w:rsidR="009B1D56" w:rsidRPr="0091259B" w:rsidRDefault="00986D05" w:rsidP="00613E99">
      <w:pPr>
        <w:pStyle w:val="NICEnormal"/>
      </w:pPr>
      <w:r w:rsidRPr="0091259B">
        <w:t xml:space="preserve">Following the publication of the </w:t>
      </w:r>
      <w:r w:rsidR="0055650C" w:rsidRPr="0091259B">
        <w:t xml:space="preserve">health inequalities modular update to the health technology evaluations manual, </w:t>
      </w:r>
      <w:r w:rsidR="1ADFB56B" w:rsidRPr="0091259B">
        <w:t>t</w:t>
      </w:r>
      <w:r w:rsidR="0055650C" w:rsidRPr="0091259B">
        <w:t>he science policy team has undertaken an array of activities to ensure the update is appropriately implemented</w:t>
      </w:r>
      <w:r w:rsidR="006F7F8A" w:rsidRPr="0091259B">
        <w:t>, with training provided to key NICE teams and stakeholders</w:t>
      </w:r>
      <w:r w:rsidR="0055650C" w:rsidRPr="0091259B">
        <w:t>.</w:t>
      </w:r>
      <w:r w:rsidR="006F7F8A" w:rsidRPr="0091259B">
        <w:t xml:space="preserve"> Monitoring </w:t>
      </w:r>
      <w:r w:rsidR="003B0E92" w:rsidRPr="0091259B">
        <w:t>of medicines evaluations is also being undertaken</w:t>
      </w:r>
      <w:r w:rsidR="003E7D3B" w:rsidRPr="0091259B">
        <w:t xml:space="preserve"> to assess </w:t>
      </w:r>
      <w:r w:rsidR="00716C18" w:rsidRPr="0091259B">
        <w:t>how frequently health inequalit</w:t>
      </w:r>
      <w:r w:rsidR="00275823" w:rsidRPr="0091259B">
        <w:t>y</w:t>
      </w:r>
      <w:r w:rsidR="00716C18" w:rsidRPr="0091259B">
        <w:t xml:space="preserve"> evidence is being submitted by companies and how this is being considered by committees.</w:t>
      </w:r>
      <w:r w:rsidR="0055650C" w:rsidRPr="0091259B">
        <w:t xml:space="preserve"> </w:t>
      </w:r>
    </w:p>
    <w:p w14:paraId="41EB0508" w14:textId="77777777" w:rsidR="009B1D56" w:rsidRPr="003D3B28" w:rsidRDefault="009B1D56" w:rsidP="00613E99">
      <w:pPr>
        <w:pStyle w:val="Heading1boardreport"/>
      </w:pPr>
      <w:r w:rsidRPr="003D3B28">
        <w:t>Board sponsor</w:t>
      </w:r>
    </w:p>
    <w:p w14:paraId="702CD5CD" w14:textId="52B3CA3C" w:rsidR="009B1D56" w:rsidRPr="00EB5967" w:rsidRDefault="00EB5967" w:rsidP="00613E99">
      <w:pPr>
        <w:pStyle w:val="NICEnormal"/>
      </w:pPr>
      <w:r w:rsidRPr="00EB5967">
        <w:t>Nick Crabb, Chief Scientific Officer</w:t>
      </w:r>
    </w:p>
    <w:p w14:paraId="031307C5" w14:textId="26AE9855" w:rsidR="004B4705" w:rsidRPr="005F10EE" w:rsidRDefault="00EB5967" w:rsidP="00613E99">
      <w:pPr>
        <w:pStyle w:val="NICEnormal"/>
      </w:pPr>
      <w:r w:rsidRPr="00EB5967">
        <w:t>Helen Knight, Director of Medicines Evaluation</w:t>
      </w:r>
      <w:r w:rsidR="004B4705" w:rsidRPr="005F10EE">
        <w:br w:type="page"/>
      </w:r>
    </w:p>
    <w:p w14:paraId="69A9EB2E" w14:textId="6F925938" w:rsidR="004B4705" w:rsidRDefault="001E5A14" w:rsidP="00613E99">
      <w:pPr>
        <w:pStyle w:val="Heading1boardreport"/>
      </w:pPr>
      <w:r>
        <w:lastRenderedPageBreak/>
        <w:t>B</w:t>
      </w:r>
      <w:r w:rsidR="004B4705">
        <w:t xml:space="preserve">ackground </w:t>
      </w:r>
    </w:p>
    <w:p w14:paraId="79BDC0CC" w14:textId="081481AB" w:rsidR="00C90A34" w:rsidRDefault="00C90A34" w:rsidP="00613E99">
      <w:pPr>
        <w:pStyle w:val="NICEnormalnumbered"/>
        <w:tabs>
          <w:tab w:val="clear" w:pos="426"/>
        </w:tabs>
        <w:rPr>
          <w:noProof w:val="0"/>
        </w:rPr>
      </w:pPr>
      <w:r>
        <w:rPr>
          <w:noProof w:val="0"/>
        </w:rPr>
        <w:t>The health inequalities modular update to the health technology evaluations manual was published in May 2025. The update outlined how quantitative evidence on health inequality impacts should be included in company evidence submissions and how NICE committees will consider the value of health inequality impacts when making recommendations.</w:t>
      </w:r>
    </w:p>
    <w:p w14:paraId="28729C66" w14:textId="6C67F13C" w:rsidR="00D470F7" w:rsidRDefault="003174BC" w:rsidP="00613E99">
      <w:pPr>
        <w:pStyle w:val="NICEnormalnumbered"/>
        <w:tabs>
          <w:tab w:val="clear" w:pos="426"/>
        </w:tabs>
        <w:rPr>
          <w:noProof w:val="0"/>
        </w:rPr>
      </w:pPr>
      <w:r>
        <w:rPr>
          <w:noProof w:val="0"/>
        </w:rPr>
        <w:t xml:space="preserve">The focus of the update was on distributional cost-effectiveness analysis (DCEA), which is used to model how the impact of a health technology affects different subgroups defined by social characteristics such as socioeconomic status or ethnicity. Companies can choose to provide this evidence in </w:t>
      </w:r>
      <w:r w:rsidR="00DA1714">
        <w:rPr>
          <w:noProof w:val="0"/>
        </w:rPr>
        <w:t>their</w:t>
      </w:r>
      <w:r w:rsidR="00275823">
        <w:rPr>
          <w:noProof w:val="0"/>
        </w:rPr>
        <w:t xml:space="preserve"> </w:t>
      </w:r>
      <w:r>
        <w:rPr>
          <w:noProof w:val="0"/>
        </w:rPr>
        <w:t xml:space="preserve">submissions </w:t>
      </w:r>
      <w:r w:rsidR="00D470F7">
        <w:rPr>
          <w:noProof w:val="0"/>
        </w:rPr>
        <w:t xml:space="preserve">as supplementary, non-reference case analysis, and NICE committees have discretion to judge whether the value of the estimated health inequality impacts </w:t>
      </w:r>
      <w:proofErr w:type="gramStart"/>
      <w:r w:rsidR="00D470F7">
        <w:rPr>
          <w:noProof w:val="0"/>
        </w:rPr>
        <w:t>are</w:t>
      </w:r>
      <w:proofErr w:type="gramEnd"/>
      <w:r w:rsidR="00D470F7">
        <w:rPr>
          <w:noProof w:val="0"/>
        </w:rPr>
        <w:t xml:space="preserve"> substantial and justify applying flexibility to the cost-effectiveness threshold.</w:t>
      </w:r>
    </w:p>
    <w:p w14:paraId="2A3F10F2" w14:textId="14126E6F" w:rsidR="00C90A34" w:rsidRDefault="00D470F7" w:rsidP="00613E99">
      <w:pPr>
        <w:pStyle w:val="NICEnormalnumbered"/>
        <w:tabs>
          <w:tab w:val="clear" w:pos="426"/>
        </w:tabs>
        <w:rPr>
          <w:noProof w:val="0"/>
        </w:rPr>
      </w:pPr>
      <w:r>
        <w:rPr>
          <w:noProof w:val="0"/>
        </w:rPr>
        <w:t xml:space="preserve">NICE also produced a </w:t>
      </w:r>
      <w:r w:rsidR="00E8348D">
        <w:rPr>
          <w:noProof w:val="0"/>
        </w:rPr>
        <w:t>s</w:t>
      </w:r>
      <w:r>
        <w:rPr>
          <w:noProof w:val="0"/>
        </w:rPr>
        <w:t xml:space="preserve">upport </w:t>
      </w:r>
      <w:r w:rsidR="00E8348D">
        <w:rPr>
          <w:noProof w:val="0"/>
        </w:rPr>
        <w:t>d</w:t>
      </w:r>
      <w:r>
        <w:rPr>
          <w:noProof w:val="0"/>
        </w:rPr>
        <w:t>ocument outlining guidance on methods and assumptions for DCEAs</w:t>
      </w:r>
      <w:r w:rsidR="000F1987">
        <w:rPr>
          <w:noProof w:val="0"/>
        </w:rPr>
        <w:t xml:space="preserve">. This document </w:t>
      </w:r>
      <w:r>
        <w:rPr>
          <w:noProof w:val="0"/>
        </w:rPr>
        <w:t xml:space="preserve">was </w:t>
      </w:r>
      <w:r w:rsidR="006D04BA">
        <w:rPr>
          <w:noProof w:val="0"/>
        </w:rPr>
        <w:t xml:space="preserve">developed </w:t>
      </w:r>
      <w:r>
        <w:rPr>
          <w:noProof w:val="0"/>
        </w:rPr>
        <w:t xml:space="preserve">in consultation with experts on health inequalities and economic evaluation. </w:t>
      </w:r>
    </w:p>
    <w:p w14:paraId="2DA7C9AF" w14:textId="19C13A87" w:rsidR="00D470F7" w:rsidRDefault="00D470F7" w:rsidP="00613E99">
      <w:pPr>
        <w:pStyle w:val="NICEnormalnumbered"/>
        <w:tabs>
          <w:tab w:val="clear" w:pos="426"/>
        </w:tabs>
        <w:rPr>
          <w:noProof w:val="0"/>
        </w:rPr>
      </w:pPr>
      <w:r>
        <w:rPr>
          <w:noProof w:val="0"/>
        </w:rPr>
        <w:t xml:space="preserve">The modular update also encouraged the production and submission of qualitative evidence on health inequalities, the main type of evidence that NICE has historically used when considering impacts. </w:t>
      </w:r>
    </w:p>
    <w:p w14:paraId="1ABF9558" w14:textId="2CAAAED0" w:rsidR="00D470F7" w:rsidRDefault="00D470F7" w:rsidP="00613E99">
      <w:pPr>
        <w:pStyle w:val="Heading1boardreport"/>
      </w:pPr>
      <w:r>
        <w:t>Implementation activities</w:t>
      </w:r>
    </w:p>
    <w:p w14:paraId="1880F886" w14:textId="5EAE5F50" w:rsidR="00AC40D0" w:rsidRDefault="00AC40D0" w:rsidP="00613E99">
      <w:pPr>
        <w:pStyle w:val="NICEnormalnumbered"/>
        <w:tabs>
          <w:tab w:val="clear" w:pos="426"/>
        </w:tabs>
        <w:rPr>
          <w:noProof w:val="0"/>
        </w:rPr>
      </w:pPr>
      <w:r>
        <w:rPr>
          <w:noProof w:val="0"/>
        </w:rPr>
        <w:t xml:space="preserve">The project team recognised that the methods and evidence covered by the modular update were relatively novel and could be unfamiliar to NICE technical teams and stakeholders. </w:t>
      </w:r>
      <w:r w:rsidR="00A65EBA">
        <w:rPr>
          <w:noProof w:val="0"/>
        </w:rPr>
        <w:t>To support successful implementation</w:t>
      </w:r>
      <w:r>
        <w:rPr>
          <w:noProof w:val="0"/>
        </w:rPr>
        <w:t>, we provided the following training activities:</w:t>
      </w:r>
    </w:p>
    <w:p w14:paraId="56FF49D0" w14:textId="6AE8C938" w:rsidR="00437127" w:rsidRPr="00244499" w:rsidRDefault="00AC40D0" w:rsidP="00613E99">
      <w:pPr>
        <w:pStyle w:val="Bullets"/>
      </w:pPr>
      <w:r w:rsidRPr="00244499">
        <w:t xml:space="preserve">Presentations at technical team meetings across all NICE guidance-producing teams and NICE </w:t>
      </w:r>
      <w:r w:rsidR="0074706F">
        <w:t>A</w:t>
      </w:r>
      <w:r w:rsidRPr="00244499">
        <w:t>dvice. This covered the content of the</w:t>
      </w:r>
      <w:r w:rsidR="00244499" w:rsidRPr="00244499">
        <w:t xml:space="preserve"> </w:t>
      </w:r>
      <w:r w:rsidRPr="00244499">
        <w:t>update, a basic overview of the methods, how it would affect individual teams</w:t>
      </w:r>
      <w:r w:rsidR="00D77BC6">
        <w:t>,</w:t>
      </w:r>
      <w:r w:rsidRPr="00244499">
        <w:t xml:space="preserve"> and points of contact for further advice.</w:t>
      </w:r>
    </w:p>
    <w:p w14:paraId="77A9F02A" w14:textId="23E52027" w:rsidR="00AC40D0" w:rsidRPr="00244499" w:rsidRDefault="007D472E" w:rsidP="00613E99">
      <w:pPr>
        <w:pStyle w:val="Bullets"/>
      </w:pPr>
      <w:r w:rsidRPr="00244499">
        <w:lastRenderedPageBreak/>
        <w:t>A briefing note provided to NICE technical teams to support their assessment of DCEA evidence. This summarised relevant precedent, set out key inputs and assumptions typically considered when reviewing DCEA analyses, and highlighted issues for technical scrutiny.</w:t>
      </w:r>
    </w:p>
    <w:p w14:paraId="23305810" w14:textId="60700458" w:rsidR="00AC40D0" w:rsidRPr="00244499" w:rsidRDefault="00AC40D0" w:rsidP="00613E99">
      <w:pPr>
        <w:pStyle w:val="Bullets"/>
      </w:pPr>
      <w:r w:rsidRPr="00244499">
        <w:t xml:space="preserve">A training session at the </w:t>
      </w:r>
      <w:proofErr w:type="gramStart"/>
      <w:r w:rsidRPr="00244499">
        <w:t>medicines</w:t>
      </w:r>
      <w:proofErr w:type="gramEnd"/>
      <w:r w:rsidR="00006AFA">
        <w:t xml:space="preserve"> evaluation</w:t>
      </w:r>
      <w:r w:rsidRPr="00244499">
        <w:t xml:space="preserve"> committee training forum. This focused on how committees should consider health inequalit</w:t>
      </w:r>
      <w:r w:rsidR="00275823">
        <w:t>y</w:t>
      </w:r>
      <w:r w:rsidRPr="00244499">
        <w:t xml:space="preserve"> evidence and factor it into their recommendations</w:t>
      </w:r>
      <w:r w:rsidR="00437127" w:rsidRPr="00244499">
        <w:t xml:space="preserve">. Case studies of previous topics where health inequalities were considered relevant to the value of a health technology were presented, with reference to the characteristics of the technologies and patient populations. Attendees were asked to indicate their understanding of how health inequalities should factor into committee deliberations at the start and end of the session. This </w:t>
      </w:r>
      <w:r w:rsidR="002F11C6">
        <w:t xml:space="preserve">showed </w:t>
      </w:r>
      <w:r w:rsidR="00580A0A">
        <w:t>that</w:t>
      </w:r>
      <w:r w:rsidR="00437127" w:rsidRPr="00244499">
        <w:t xml:space="preserve"> </w:t>
      </w:r>
      <w:r w:rsidR="00B90ED1">
        <w:t xml:space="preserve">overall </w:t>
      </w:r>
      <w:r w:rsidR="00437127" w:rsidRPr="00244499">
        <w:t>understanding increased by 1 point on a 5</w:t>
      </w:r>
      <w:r w:rsidR="006E34B5">
        <w:t>-</w:t>
      </w:r>
      <w:r w:rsidR="00437127" w:rsidRPr="00244499">
        <w:t>point scale, from ‘average’ to ‘good’.</w:t>
      </w:r>
    </w:p>
    <w:p w14:paraId="2EEA414F" w14:textId="2B04CDFD" w:rsidR="00437127" w:rsidRPr="00244499" w:rsidRDefault="00437127" w:rsidP="00613E99">
      <w:pPr>
        <w:pStyle w:val="Bullets"/>
      </w:pPr>
      <w:r w:rsidRPr="00244499">
        <w:t>A training session for External Assessment Groups</w:t>
      </w:r>
      <w:r w:rsidR="00F77C08" w:rsidRPr="00244499">
        <w:t xml:space="preserve"> (EAGs)</w:t>
      </w:r>
      <w:r w:rsidRPr="00244499">
        <w:t xml:space="preserve"> for medicines evaluations.</w:t>
      </w:r>
      <w:r w:rsidR="00F77C08" w:rsidRPr="00244499">
        <w:t xml:space="preserve"> This focused on technical aspects of DCEA and how EAGs should critique the evidence. The training was undertaken in partnership with the EAG at the University of York that had previous experience of assessing DCEA evidence, using that case study to provide guidance on future evaluations.</w:t>
      </w:r>
    </w:p>
    <w:p w14:paraId="5F19E94E" w14:textId="3C4CC93D" w:rsidR="00F83CF0" w:rsidRPr="00244499" w:rsidRDefault="00F83CF0" w:rsidP="00613E99">
      <w:pPr>
        <w:pStyle w:val="Bulletslast"/>
      </w:pPr>
      <w:hyperlink r:id="rId11" w:history="1">
        <w:r w:rsidRPr="00C15FAD">
          <w:rPr>
            <w:rStyle w:val="Hyperlink"/>
          </w:rPr>
          <w:t>A letter</w:t>
        </w:r>
        <w:r w:rsidRPr="00345762">
          <w:rPr>
            <w:rStyle w:val="Hyperlink"/>
          </w:rPr>
          <w:t xml:space="preserve"> to the academic journal Value in Health summarising NICE’s approach to considering health inequalities and DCEA evidence.</w:t>
        </w:r>
      </w:hyperlink>
      <w:r w:rsidRPr="00244499">
        <w:t xml:space="preserve"> This provides a succinct rationale </w:t>
      </w:r>
      <w:r w:rsidR="00C87D03">
        <w:t>for</w:t>
      </w:r>
      <w:r w:rsidR="00C87D03" w:rsidRPr="00244499">
        <w:t xml:space="preserve"> </w:t>
      </w:r>
      <w:r w:rsidRPr="00244499">
        <w:t>the scope of the modular update and NICE expectations on how it should operate.</w:t>
      </w:r>
    </w:p>
    <w:p w14:paraId="6C292305" w14:textId="046E5B1C" w:rsidR="00F77C08" w:rsidRDefault="00F77C08" w:rsidP="00613E99">
      <w:pPr>
        <w:pStyle w:val="Heading1boardreport"/>
      </w:pPr>
      <w:r>
        <w:t>Monitoring</w:t>
      </w:r>
    </w:p>
    <w:p w14:paraId="3D97C9CB" w14:textId="3507AFB9" w:rsidR="007D472E" w:rsidRDefault="007D472E" w:rsidP="00613E99">
      <w:pPr>
        <w:pStyle w:val="NICEnormalnumbered"/>
        <w:tabs>
          <w:tab w:val="clear" w:pos="426"/>
        </w:tabs>
        <w:rPr>
          <w:noProof w:val="0"/>
        </w:rPr>
      </w:pPr>
      <w:r w:rsidRPr="007D472E">
        <w:rPr>
          <w:noProof w:val="0"/>
        </w:rPr>
        <w:t xml:space="preserve">We </w:t>
      </w:r>
      <w:r>
        <w:rPr>
          <w:noProof w:val="0"/>
        </w:rPr>
        <w:t>have also monitored instances where quantitative health inequalit</w:t>
      </w:r>
      <w:r w:rsidR="00275823">
        <w:rPr>
          <w:noProof w:val="0"/>
        </w:rPr>
        <w:t>y</w:t>
      </w:r>
      <w:r>
        <w:rPr>
          <w:noProof w:val="0"/>
        </w:rPr>
        <w:t xml:space="preserve"> evidence has been included in company evidence submissions and how these </w:t>
      </w:r>
      <w:r w:rsidR="00466E0C">
        <w:rPr>
          <w:noProof w:val="0"/>
        </w:rPr>
        <w:t xml:space="preserve">have been </w:t>
      </w:r>
      <w:r>
        <w:rPr>
          <w:noProof w:val="0"/>
        </w:rPr>
        <w:t>considered by NICE committees.</w:t>
      </w:r>
      <w:r w:rsidRPr="007D472E">
        <w:rPr>
          <w:noProof w:val="0"/>
        </w:rPr>
        <w:t xml:space="preserve"> </w:t>
      </w:r>
      <w:r>
        <w:rPr>
          <w:noProof w:val="0"/>
        </w:rPr>
        <w:t>This is important to ensure that the modular update</w:t>
      </w:r>
      <w:r w:rsidRPr="007D472E">
        <w:rPr>
          <w:noProof w:val="0"/>
        </w:rPr>
        <w:t xml:space="preserve"> </w:t>
      </w:r>
      <w:r>
        <w:rPr>
          <w:noProof w:val="0"/>
        </w:rPr>
        <w:t>is being</w:t>
      </w:r>
      <w:r w:rsidR="00CE1106">
        <w:rPr>
          <w:noProof w:val="0"/>
        </w:rPr>
        <w:t xml:space="preserve"> applied and</w:t>
      </w:r>
      <w:r>
        <w:rPr>
          <w:noProof w:val="0"/>
        </w:rPr>
        <w:t xml:space="preserve"> incorporated in recommendations as</w:t>
      </w:r>
      <w:r w:rsidRPr="007D472E">
        <w:rPr>
          <w:noProof w:val="0"/>
        </w:rPr>
        <w:t xml:space="preserve"> intended. </w:t>
      </w:r>
    </w:p>
    <w:p w14:paraId="7324F71E" w14:textId="6A9A16B7" w:rsidR="00F77C08" w:rsidRPr="00465834" w:rsidRDefault="00DB31C3" w:rsidP="00613E99">
      <w:pPr>
        <w:pStyle w:val="NICEnormalnumbered"/>
        <w:tabs>
          <w:tab w:val="clear" w:pos="426"/>
        </w:tabs>
        <w:rPr>
          <w:noProof w:val="0"/>
        </w:rPr>
      </w:pPr>
      <w:r w:rsidRPr="00465834">
        <w:rPr>
          <w:noProof w:val="0"/>
        </w:rPr>
        <w:t xml:space="preserve">The project team </w:t>
      </w:r>
      <w:r w:rsidR="00F83CF0" w:rsidRPr="00465834">
        <w:rPr>
          <w:noProof w:val="0"/>
        </w:rPr>
        <w:t>contacted</w:t>
      </w:r>
      <w:r w:rsidRPr="00465834">
        <w:rPr>
          <w:noProof w:val="0"/>
        </w:rPr>
        <w:t xml:space="preserve"> technical teams</w:t>
      </w:r>
      <w:r w:rsidR="00F83CF0" w:rsidRPr="00465834">
        <w:rPr>
          <w:noProof w:val="0"/>
        </w:rPr>
        <w:t xml:space="preserve"> in medicines evaluation</w:t>
      </w:r>
      <w:r w:rsidRPr="00465834">
        <w:rPr>
          <w:noProof w:val="0"/>
        </w:rPr>
        <w:t xml:space="preserve"> to identify topics where</w:t>
      </w:r>
      <w:r w:rsidR="007D472E" w:rsidRPr="00465834">
        <w:rPr>
          <w:noProof w:val="0"/>
        </w:rPr>
        <w:t xml:space="preserve"> companies submitted </w:t>
      </w:r>
      <w:r w:rsidR="00027B80">
        <w:rPr>
          <w:noProof w:val="0"/>
        </w:rPr>
        <w:t>DCEA</w:t>
      </w:r>
      <w:r w:rsidRPr="00465834">
        <w:rPr>
          <w:noProof w:val="0"/>
        </w:rPr>
        <w:t xml:space="preserve"> evidence.</w:t>
      </w:r>
      <w:r w:rsidR="007D472E" w:rsidRPr="00465834">
        <w:rPr>
          <w:noProof w:val="0"/>
        </w:rPr>
        <w:t xml:space="preserve"> </w:t>
      </w:r>
      <w:r w:rsidRPr="00465834">
        <w:rPr>
          <w:noProof w:val="0"/>
        </w:rPr>
        <w:t>The summary below only include</w:t>
      </w:r>
      <w:r w:rsidR="00085B53">
        <w:rPr>
          <w:noProof w:val="0"/>
        </w:rPr>
        <w:t>s</w:t>
      </w:r>
      <w:r w:rsidRPr="00465834">
        <w:rPr>
          <w:noProof w:val="0"/>
        </w:rPr>
        <w:t xml:space="preserve"> topics where draft guidance ha</w:t>
      </w:r>
      <w:r w:rsidR="00FD5C79">
        <w:rPr>
          <w:noProof w:val="0"/>
        </w:rPr>
        <w:t>s</w:t>
      </w:r>
      <w:r w:rsidRPr="00465834">
        <w:rPr>
          <w:noProof w:val="0"/>
        </w:rPr>
        <w:t xml:space="preserve"> been </w:t>
      </w:r>
      <w:proofErr w:type="gramStart"/>
      <w:r w:rsidRPr="00465834">
        <w:rPr>
          <w:noProof w:val="0"/>
        </w:rPr>
        <w:t>produced</w:t>
      </w:r>
      <w:proofErr w:type="gramEnd"/>
      <w:r w:rsidRPr="00465834">
        <w:rPr>
          <w:noProof w:val="0"/>
        </w:rPr>
        <w:t xml:space="preserve"> and committee deliberations ha</w:t>
      </w:r>
      <w:r w:rsidR="00AE597E">
        <w:rPr>
          <w:noProof w:val="0"/>
        </w:rPr>
        <w:t>ve</w:t>
      </w:r>
      <w:r w:rsidRPr="00465834">
        <w:rPr>
          <w:noProof w:val="0"/>
        </w:rPr>
        <w:t xml:space="preserve"> been published on the NICE website. One additional topic was identified where DCEA evidence is </w:t>
      </w:r>
      <w:proofErr w:type="gramStart"/>
      <w:r w:rsidRPr="00465834">
        <w:rPr>
          <w:noProof w:val="0"/>
        </w:rPr>
        <w:t>expected, but</w:t>
      </w:r>
      <w:proofErr w:type="gramEnd"/>
      <w:r w:rsidRPr="00465834">
        <w:rPr>
          <w:noProof w:val="0"/>
        </w:rPr>
        <w:t xml:space="preserve"> has not </w:t>
      </w:r>
      <w:r w:rsidR="00FD5C79">
        <w:rPr>
          <w:noProof w:val="0"/>
        </w:rPr>
        <w:t xml:space="preserve">yet </w:t>
      </w:r>
      <w:r w:rsidRPr="00465834">
        <w:rPr>
          <w:noProof w:val="0"/>
        </w:rPr>
        <w:t xml:space="preserve">been considered by </w:t>
      </w:r>
      <w:r w:rsidR="006F7161">
        <w:rPr>
          <w:noProof w:val="0"/>
        </w:rPr>
        <w:t>a</w:t>
      </w:r>
      <w:r w:rsidRPr="00465834">
        <w:rPr>
          <w:noProof w:val="0"/>
        </w:rPr>
        <w:t xml:space="preserve"> NICE committee.</w:t>
      </w:r>
    </w:p>
    <w:p w14:paraId="083F1D9A" w14:textId="29E0A428" w:rsidR="00DB31C3" w:rsidRDefault="00DB31C3" w:rsidP="00613E99">
      <w:pPr>
        <w:pStyle w:val="Bullets"/>
      </w:pPr>
      <w:r>
        <w:rPr>
          <w:rStyle w:val="Strong"/>
        </w:rPr>
        <w:lastRenderedPageBreak/>
        <w:t>Pembrolizumab with chemoradiation for untreated high-risk locally advanced cervical cancer [ID6138]</w:t>
      </w:r>
      <w:r>
        <w:br/>
        <w:t>DCEA evidence was developed using a web-based tool that produces estimates of the distribution of patient populations across 5 subgroups based on index of multiple deprivation quintiles. The committee also considered additional evidence that cervical cancer incidence and mortality are higher in more deprived groups. The committee noted several limitations of the DCEA evidence, including the use of a broader cervical cancer population, limited reporting of assumptions</w:t>
      </w:r>
      <w:r w:rsidR="001C2A19">
        <w:t>,</w:t>
      </w:r>
      <w:r>
        <w:t xml:space="preserve"> and lack of sensitivity analyses. The committee accepted that pembrolizumab had the potential to reduce health inequalities and </w:t>
      </w:r>
      <w:r w:rsidR="00286BFA">
        <w:t xml:space="preserve">indicated that </w:t>
      </w:r>
      <w:r>
        <w:t xml:space="preserve">this could be </w:t>
      </w:r>
      <w:proofErr w:type="gramStart"/>
      <w:r>
        <w:t>taken into account</w:t>
      </w:r>
      <w:proofErr w:type="gramEnd"/>
      <w:r>
        <w:t xml:space="preserve"> when considering the acceptable cost-effectiveness threshold.</w:t>
      </w:r>
    </w:p>
    <w:p w14:paraId="785F5237" w14:textId="6B0021F7" w:rsidR="00DB31C3" w:rsidRDefault="00DB31C3" w:rsidP="00613E99">
      <w:pPr>
        <w:pStyle w:val="Bulletslast"/>
      </w:pPr>
      <w:proofErr w:type="spellStart"/>
      <w:r>
        <w:rPr>
          <w:rStyle w:val="Strong"/>
        </w:rPr>
        <w:t>Zanidatamab</w:t>
      </w:r>
      <w:proofErr w:type="spellEnd"/>
      <w:r>
        <w:rPr>
          <w:rStyle w:val="Strong"/>
        </w:rPr>
        <w:t xml:space="preserve"> for HER2-positive advanced biliary tract cancer after </w:t>
      </w:r>
      <w:r w:rsidRPr="00DB31C3">
        <w:rPr>
          <w:rStyle w:val="Strong"/>
        </w:rPr>
        <w:t xml:space="preserve">1 or more lines of systemic treatment </w:t>
      </w:r>
      <w:r>
        <w:rPr>
          <w:rStyle w:val="Strong"/>
        </w:rPr>
        <w:t>[TA1153]</w:t>
      </w:r>
      <w:r>
        <w:br/>
        <w:t xml:space="preserve">DCEA evidence was developed using </w:t>
      </w:r>
      <w:r w:rsidR="00F83CF0">
        <w:t>the same</w:t>
      </w:r>
      <w:r>
        <w:t xml:space="preserve"> web-based tool. The gradient </w:t>
      </w:r>
      <w:r w:rsidR="00F83CF0">
        <w:t>over deprivation quintiles for the</w:t>
      </w:r>
      <w:r>
        <w:t xml:space="preserve"> eligible population</w:t>
      </w:r>
      <w:r w:rsidR="00F83CF0">
        <w:t xml:space="preserve"> was not considered to be substantial and</w:t>
      </w:r>
      <w:r>
        <w:t xml:space="preserve"> the committee concluded </w:t>
      </w:r>
      <w:r w:rsidR="007052C4">
        <w:t xml:space="preserve">that </w:t>
      </w:r>
      <w:proofErr w:type="spellStart"/>
      <w:r>
        <w:t>zanidatamab</w:t>
      </w:r>
      <w:proofErr w:type="spellEnd"/>
      <w:r>
        <w:t xml:space="preserve"> would have a negligible effect on population health inequality</w:t>
      </w:r>
      <w:r w:rsidR="00F83CF0">
        <w:t>. The committee also referenced the size of</w:t>
      </w:r>
      <w:r>
        <w:t xml:space="preserve"> eligible population</w:t>
      </w:r>
      <w:r w:rsidR="00F83CF0">
        <w:t xml:space="preserve"> when making this judgement</w:t>
      </w:r>
      <w:r>
        <w:t>.</w:t>
      </w:r>
    </w:p>
    <w:p w14:paraId="7274CC01" w14:textId="7F23E5E1" w:rsidR="00DB31C3" w:rsidRDefault="003D2135" w:rsidP="00613E99">
      <w:pPr>
        <w:pStyle w:val="NICEnormalnumbered"/>
        <w:tabs>
          <w:tab w:val="clear" w:pos="426"/>
        </w:tabs>
        <w:rPr>
          <w:noProof w:val="0"/>
        </w:rPr>
      </w:pPr>
      <w:r>
        <w:rPr>
          <w:noProof w:val="0"/>
        </w:rPr>
        <w:t xml:space="preserve">Routine collection of </w:t>
      </w:r>
      <w:r w:rsidR="009F3D9F">
        <w:rPr>
          <w:noProof w:val="0"/>
        </w:rPr>
        <w:t xml:space="preserve">such </w:t>
      </w:r>
      <w:r>
        <w:rPr>
          <w:noProof w:val="0"/>
        </w:rPr>
        <w:t>instances where quantitative health inequality evidence is submitted and considered by committees will</w:t>
      </w:r>
      <w:r w:rsidR="00455E56">
        <w:rPr>
          <w:noProof w:val="0"/>
        </w:rPr>
        <w:t xml:space="preserve"> be</w:t>
      </w:r>
      <w:r>
        <w:rPr>
          <w:noProof w:val="0"/>
        </w:rPr>
        <w:t xml:space="preserve"> collected in future</w:t>
      </w:r>
      <w:r w:rsidR="009F3D9F">
        <w:rPr>
          <w:noProof w:val="0"/>
        </w:rPr>
        <w:t xml:space="preserve">, as part of </w:t>
      </w:r>
      <w:r w:rsidR="007D7E42">
        <w:rPr>
          <w:noProof w:val="0"/>
        </w:rPr>
        <w:t xml:space="preserve">broader </w:t>
      </w:r>
      <w:r w:rsidR="00F83C06">
        <w:rPr>
          <w:noProof w:val="0"/>
        </w:rPr>
        <w:t>work</w:t>
      </w:r>
      <w:r w:rsidR="007D7E42">
        <w:rPr>
          <w:noProof w:val="0"/>
        </w:rPr>
        <w:t xml:space="preserve"> to </w:t>
      </w:r>
      <w:r w:rsidR="002769CF">
        <w:rPr>
          <w:noProof w:val="0"/>
        </w:rPr>
        <w:t>improve the m</w:t>
      </w:r>
      <w:r w:rsidR="00B963A8">
        <w:rPr>
          <w:noProof w:val="0"/>
        </w:rPr>
        <w:t xml:space="preserve">onitoring of </w:t>
      </w:r>
      <w:r w:rsidR="00F82A9A">
        <w:rPr>
          <w:noProof w:val="0"/>
        </w:rPr>
        <w:t>med</w:t>
      </w:r>
      <w:r w:rsidR="00EF35B7">
        <w:rPr>
          <w:noProof w:val="0"/>
        </w:rPr>
        <w:t>i</w:t>
      </w:r>
      <w:r w:rsidR="00F82A9A">
        <w:rPr>
          <w:noProof w:val="0"/>
        </w:rPr>
        <w:t>cines evaluation decisions and methods</w:t>
      </w:r>
      <w:r>
        <w:rPr>
          <w:noProof w:val="0"/>
        </w:rPr>
        <w:t>.</w:t>
      </w:r>
    </w:p>
    <w:p w14:paraId="229657BB" w14:textId="77777777" w:rsidR="00CF12E7" w:rsidRDefault="00096E6F" w:rsidP="008F704E">
      <w:pPr>
        <w:pStyle w:val="NICEnormalnumbered"/>
        <w:rPr>
          <w:noProof w:val="0"/>
        </w:rPr>
      </w:pPr>
      <w:r w:rsidRPr="00096E6F">
        <w:rPr>
          <w:noProof w:val="0"/>
        </w:rPr>
        <w:t xml:space="preserve">While only </w:t>
      </w:r>
      <w:r>
        <w:rPr>
          <w:noProof w:val="0"/>
        </w:rPr>
        <w:t>2</w:t>
      </w:r>
      <w:r w:rsidRPr="00096E6F">
        <w:rPr>
          <w:noProof w:val="0"/>
        </w:rPr>
        <w:t xml:space="preserve"> instances have been identified to date where companies have submitted quantitative health inequality evidence following</w:t>
      </w:r>
      <w:r w:rsidR="00FD1DC4">
        <w:rPr>
          <w:noProof w:val="0"/>
        </w:rPr>
        <w:t xml:space="preserve"> the</w:t>
      </w:r>
      <w:r w:rsidRPr="00096E6F">
        <w:rPr>
          <w:noProof w:val="0"/>
        </w:rPr>
        <w:t xml:space="preserve"> </w:t>
      </w:r>
      <w:r>
        <w:rPr>
          <w:noProof w:val="0"/>
        </w:rPr>
        <w:t xml:space="preserve">publication of </w:t>
      </w:r>
      <w:r w:rsidRPr="00096E6F">
        <w:rPr>
          <w:noProof w:val="0"/>
        </w:rPr>
        <w:t xml:space="preserve">the modular update, this is consistent with expectations. The update was designed to apply in exceptional circumstances where health inequality impacts are likely to be a </w:t>
      </w:r>
      <w:r w:rsidR="00971D4D">
        <w:rPr>
          <w:noProof w:val="0"/>
        </w:rPr>
        <w:t>substantial</w:t>
      </w:r>
      <w:r w:rsidRPr="00096E6F">
        <w:rPr>
          <w:noProof w:val="0"/>
        </w:rPr>
        <w:t xml:space="preserve"> component of a technology’s value. </w:t>
      </w:r>
    </w:p>
    <w:p w14:paraId="7DE44526" w14:textId="6210338B" w:rsidR="00D34E77" w:rsidRDefault="00096E6F" w:rsidP="008F704E">
      <w:pPr>
        <w:pStyle w:val="NICEnormalnumbered"/>
        <w:rPr>
          <w:noProof w:val="0"/>
        </w:rPr>
      </w:pPr>
      <w:r w:rsidRPr="00096E6F">
        <w:rPr>
          <w:noProof w:val="0"/>
        </w:rPr>
        <w:t xml:space="preserve">There is also an inherent lag between the publication of updated methods and their application within evaluations, as companies require time to generate and collate data to support distributional analyses. </w:t>
      </w:r>
      <w:r w:rsidR="001E0A6A">
        <w:rPr>
          <w:noProof w:val="0"/>
        </w:rPr>
        <w:t>DCEA</w:t>
      </w:r>
      <w:r w:rsidRPr="00096E6F">
        <w:rPr>
          <w:noProof w:val="0"/>
        </w:rPr>
        <w:t xml:space="preserve"> is methodologically complex, data</w:t>
      </w:r>
      <w:r w:rsidRPr="00096E6F">
        <w:rPr>
          <w:rFonts w:ascii="Cambria Math" w:hAnsi="Cambria Math" w:cs="Cambria Math"/>
          <w:noProof w:val="0"/>
        </w:rPr>
        <w:t>‑</w:t>
      </w:r>
      <w:r w:rsidRPr="00096E6F">
        <w:rPr>
          <w:noProof w:val="0"/>
        </w:rPr>
        <w:t>intensive and resource</w:t>
      </w:r>
      <w:r w:rsidRPr="00096E6F">
        <w:rPr>
          <w:rFonts w:ascii="Cambria Math" w:hAnsi="Cambria Math" w:cs="Cambria Math"/>
          <w:noProof w:val="0"/>
        </w:rPr>
        <w:t>‑</w:t>
      </w:r>
      <w:r w:rsidRPr="00096E6F">
        <w:rPr>
          <w:noProof w:val="0"/>
        </w:rPr>
        <w:t>intensiv</w:t>
      </w:r>
      <w:r w:rsidR="001E0A6A">
        <w:rPr>
          <w:noProof w:val="0"/>
        </w:rPr>
        <w:t>e</w:t>
      </w:r>
      <w:r w:rsidRPr="00096E6F">
        <w:rPr>
          <w:noProof w:val="0"/>
        </w:rPr>
        <w:t>, meaning its use is unlikely to be routine and should remain focused on topics where health inequality impacts are particularly salient.</w:t>
      </w:r>
    </w:p>
    <w:p w14:paraId="2E548778" w14:textId="77777777" w:rsidR="00975C3E" w:rsidRDefault="008735EB" w:rsidP="008F704E">
      <w:pPr>
        <w:pStyle w:val="NICEnormalnumbered"/>
        <w:rPr>
          <w:noProof w:val="0"/>
        </w:rPr>
      </w:pPr>
      <w:r w:rsidRPr="008735EB">
        <w:rPr>
          <w:noProof w:val="0"/>
        </w:rPr>
        <w:lastRenderedPageBreak/>
        <w:t xml:space="preserve">It </w:t>
      </w:r>
      <w:r w:rsidR="004B0CE0" w:rsidRPr="004B0CE0">
        <w:rPr>
          <w:noProof w:val="0"/>
        </w:rPr>
        <w:t xml:space="preserve">should also be noted that the consideration of quantitative health inequality evidence in NICE </w:t>
      </w:r>
      <w:r w:rsidR="004B0CE0">
        <w:rPr>
          <w:noProof w:val="0"/>
        </w:rPr>
        <w:t xml:space="preserve">medicines </w:t>
      </w:r>
      <w:r w:rsidR="004B0CE0" w:rsidRPr="004B0CE0">
        <w:rPr>
          <w:noProof w:val="0"/>
        </w:rPr>
        <w:t xml:space="preserve">evaluations predates the modular update. </w:t>
      </w:r>
      <w:r w:rsidR="004B0CE0">
        <w:rPr>
          <w:noProof w:val="0"/>
        </w:rPr>
        <w:t>T</w:t>
      </w:r>
      <w:r w:rsidR="004B0CE0" w:rsidRPr="004B0CE0">
        <w:rPr>
          <w:noProof w:val="0"/>
        </w:rPr>
        <w:t xml:space="preserve">he appraisals of </w:t>
      </w:r>
      <w:proofErr w:type="spellStart"/>
      <w:r w:rsidR="004B0CE0" w:rsidRPr="004B0CE0">
        <w:rPr>
          <w:noProof w:val="0"/>
        </w:rPr>
        <w:t>exagamglogene</w:t>
      </w:r>
      <w:proofErr w:type="spellEnd"/>
      <w:r w:rsidR="004B0CE0" w:rsidRPr="004B0CE0">
        <w:rPr>
          <w:noProof w:val="0"/>
        </w:rPr>
        <w:t xml:space="preserve"> autotemcel (exa</w:t>
      </w:r>
      <w:r w:rsidR="004B0CE0" w:rsidRPr="004B0CE0">
        <w:rPr>
          <w:rFonts w:ascii="Cambria Math" w:hAnsi="Cambria Math" w:cs="Cambria Math"/>
          <w:noProof w:val="0"/>
        </w:rPr>
        <w:t>‑</w:t>
      </w:r>
      <w:r w:rsidR="004B0CE0" w:rsidRPr="004B0CE0">
        <w:rPr>
          <w:noProof w:val="0"/>
        </w:rPr>
        <w:t>cel) for sickle cell disease and beta</w:t>
      </w:r>
      <w:r w:rsidR="004B0CE0" w:rsidRPr="004B0CE0">
        <w:rPr>
          <w:rFonts w:ascii="Cambria Math" w:hAnsi="Cambria Math" w:cs="Cambria Math"/>
          <w:noProof w:val="0"/>
        </w:rPr>
        <w:t>‑</w:t>
      </w:r>
      <w:r w:rsidR="004B0CE0" w:rsidRPr="004B0CE0">
        <w:rPr>
          <w:noProof w:val="0"/>
        </w:rPr>
        <w:t>thalassaemia incorporated distributional analyses to explore potential impacts on health inequalities, which informed committee deliberations. In the beta</w:t>
      </w:r>
      <w:r w:rsidR="004B0CE0" w:rsidRPr="004B0CE0">
        <w:rPr>
          <w:rFonts w:ascii="Cambria Math" w:hAnsi="Cambria Math" w:cs="Cambria Math"/>
          <w:noProof w:val="0"/>
        </w:rPr>
        <w:t>‑</w:t>
      </w:r>
      <w:r w:rsidR="004B0CE0" w:rsidRPr="004B0CE0">
        <w:rPr>
          <w:noProof w:val="0"/>
        </w:rPr>
        <w:t xml:space="preserve">thalassaemia appraisal (TA1003), a NICE position statement on the use of DCEA in medicines evaluations was included within the committee papers to support interpretation of the evidence and provide interim methodological clarity. These experiences highlighted </w:t>
      </w:r>
      <w:proofErr w:type="gramStart"/>
      <w:r w:rsidR="004B0CE0" w:rsidRPr="004B0CE0">
        <w:rPr>
          <w:noProof w:val="0"/>
        </w:rPr>
        <w:t>a number of</w:t>
      </w:r>
      <w:proofErr w:type="gramEnd"/>
      <w:r w:rsidR="004B0CE0" w:rsidRPr="004B0CE0">
        <w:rPr>
          <w:noProof w:val="0"/>
        </w:rPr>
        <w:t xml:space="preserve"> methodological and decision</w:t>
      </w:r>
      <w:r w:rsidR="004B0CE0" w:rsidRPr="004B0CE0">
        <w:rPr>
          <w:rFonts w:ascii="Cambria Math" w:hAnsi="Cambria Math" w:cs="Cambria Math"/>
          <w:noProof w:val="0"/>
        </w:rPr>
        <w:t>‑</w:t>
      </w:r>
      <w:r w:rsidR="004B0CE0" w:rsidRPr="004B0CE0">
        <w:rPr>
          <w:noProof w:val="0"/>
        </w:rPr>
        <w:t>making challenges, including issues around data availability, uncertainty and interpretation</w:t>
      </w:r>
      <w:r w:rsidR="0055074A">
        <w:rPr>
          <w:noProof w:val="0"/>
        </w:rPr>
        <w:t xml:space="preserve">. </w:t>
      </w:r>
      <w:r w:rsidR="00975C3E" w:rsidRPr="00975C3E">
        <w:rPr>
          <w:noProof w:val="0"/>
        </w:rPr>
        <w:t>This led NICE to undertake further work to clarify expectations, culminating in the modular update. The update provides a consistent framework to support the appropriate and proportionate use of quantitative evidence on health inequality impacts in future evaluations where these impacts are most relevant to decision making.</w:t>
      </w:r>
    </w:p>
    <w:p w14:paraId="38AA96A7" w14:textId="77777777" w:rsidR="004B4705" w:rsidRDefault="000A103F" w:rsidP="00613E99">
      <w:pPr>
        <w:pStyle w:val="Heading1boardreport"/>
      </w:pPr>
      <w:r>
        <w:t>Board action required</w:t>
      </w:r>
    </w:p>
    <w:p w14:paraId="0362561E" w14:textId="77777777" w:rsidR="000A103F" w:rsidRPr="000A103F" w:rsidRDefault="000A103F" w:rsidP="00613E99">
      <w:pPr>
        <w:pStyle w:val="NICEnormalnumbered"/>
        <w:tabs>
          <w:tab w:val="clear" w:pos="426"/>
        </w:tabs>
        <w:rPr>
          <w:noProof w:val="0"/>
        </w:rPr>
      </w:pPr>
      <w:r w:rsidRPr="000A103F">
        <w:rPr>
          <w:noProof w:val="0"/>
        </w:rPr>
        <w:t xml:space="preserve">The </w:t>
      </w:r>
      <w:r w:rsidRPr="00244499">
        <w:rPr>
          <w:noProof w:val="0"/>
        </w:rPr>
        <w:t>Board</w:t>
      </w:r>
      <w:r w:rsidRPr="000A103F">
        <w:rPr>
          <w:noProof w:val="0"/>
        </w:rPr>
        <w:t xml:space="preserve"> is asked to:</w:t>
      </w:r>
    </w:p>
    <w:p w14:paraId="2FDEA240" w14:textId="25B31DE6" w:rsidR="00F83CF0" w:rsidRDefault="00F83CF0" w:rsidP="00613E99">
      <w:pPr>
        <w:pStyle w:val="Bullets"/>
      </w:pPr>
      <w:r>
        <w:t>n</w:t>
      </w:r>
      <w:r w:rsidRPr="00EB5967">
        <w:t>ote progress to date</w:t>
      </w:r>
      <w:r>
        <w:t xml:space="preserve"> on implementation activities</w:t>
      </w:r>
    </w:p>
    <w:p w14:paraId="2BD0B96F" w14:textId="64E282E6" w:rsidR="00F83CF0" w:rsidRDefault="00F83CF0" w:rsidP="00613E99">
      <w:pPr>
        <w:pStyle w:val="Bullets"/>
      </w:pPr>
      <w:r>
        <w:t xml:space="preserve">note progress to date on </w:t>
      </w:r>
      <w:r w:rsidRPr="00EB5967">
        <w:t>monitoring</w:t>
      </w:r>
      <w:r>
        <w:t xml:space="preserve"> </w:t>
      </w:r>
      <w:r w:rsidR="00A77344">
        <w:t>the</w:t>
      </w:r>
      <w:r>
        <w:t xml:space="preserve"> </w:t>
      </w:r>
      <w:r w:rsidR="005B26D6">
        <w:t xml:space="preserve">consideration of quantitative </w:t>
      </w:r>
      <w:r>
        <w:t>health inequalit</w:t>
      </w:r>
      <w:r w:rsidR="00275823">
        <w:t>y</w:t>
      </w:r>
      <w:r w:rsidR="005B26D6">
        <w:t xml:space="preserve"> evidence</w:t>
      </w:r>
      <w:r>
        <w:t xml:space="preserve"> in medicines evaluations</w:t>
      </w:r>
    </w:p>
    <w:p w14:paraId="6C066730" w14:textId="560EAEE1" w:rsidR="009C6E2D" w:rsidRDefault="00F83CF0" w:rsidP="00613E99">
      <w:pPr>
        <w:pStyle w:val="Bulletslast"/>
      </w:pPr>
      <w:r>
        <w:t>p</w:t>
      </w:r>
      <w:r w:rsidRPr="00EB5967">
        <w:t xml:space="preserve">rovide any comments or steer on </w:t>
      </w:r>
      <w:r>
        <w:t>future activities</w:t>
      </w:r>
      <w:r w:rsidRPr="00EB5967">
        <w:t>.</w:t>
      </w:r>
    </w:p>
    <w:p w14:paraId="632BA4B6" w14:textId="77777777" w:rsidR="00205820" w:rsidRPr="00F83CF0" w:rsidRDefault="00205820" w:rsidP="00613E99">
      <w:pPr>
        <w:pStyle w:val="Bulletslast"/>
        <w:numPr>
          <w:ilvl w:val="0"/>
          <w:numId w:val="0"/>
        </w:numPr>
        <w:ind w:left="1134"/>
      </w:pPr>
    </w:p>
    <w:p w14:paraId="528E6B73" w14:textId="481DCD47" w:rsidR="004B4705" w:rsidRPr="00DB6F82" w:rsidRDefault="004B4705" w:rsidP="00613E99">
      <w:pPr>
        <w:pStyle w:val="NICEnormal"/>
      </w:pPr>
      <w:r w:rsidRPr="00DB6F82">
        <w:t xml:space="preserve">© NICE </w:t>
      </w:r>
      <w:r w:rsidR="00F83CF0">
        <w:t>2026</w:t>
      </w:r>
      <w:r w:rsidRPr="00DB6F82">
        <w:t xml:space="preserve">. All rights reserved. </w:t>
      </w:r>
      <w:hyperlink r:id="rId12" w:anchor="notice-of-rights" w:history="1">
        <w:r w:rsidRPr="00DB6F82">
          <w:rPr>
            <w:rStyle w:val="Hyperlink"/>
          </w:rPr>
          <w:t>Subject to Notice of rights</w:t>
        </w:r>
      </w:hyperlink>
      <w:r w:rsidRPr="00DB6F82">
        <w:t>.</w:t>
      </w:r>
    </w:p>
    <w:p w14:paraId="3CBCEF99" w14:textId="3323029E" w:rsidR="004B4705" w:rsidRDefault="00F83CF0" w:rsidP="00613E99">
      <w:pPr>
        <w:pStyle w:val="NICEnormal"/>
      </w:pPr>
      <w:r>
        <w:t>July 2026</w:t>
      </w:r>
    </w:p>
    <w:sectPr w:rsidR="004B4705" w:rsidSect="00B0463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91BD" w14:textId="77777777" w:rsidR="00853ADA" w:rsidRDefault="00853ADA">
      <w:r>
        <w:separator/>
      </w:r>
    </w:p>
  </w:endnote>
  <w:endnote w:type="continuationSeparator" w:id="0">
    <w:p w14:paraId="1931FFC3" w14:textId="77777777" w:rsidR="00853ADA" w:rsidRDefault="0085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678D" w14:textId="57A7B882" w:rsidR="00A6066F" w:rsidRPr="002A231B" w:rsidRDefault="00F83CF0" w:rsidP="00A6066F">
    <w:pPr>
      <w:pStyle w:val="Footer"/>
      <w:tabs>
        <w:tab w:val="right" w:pos="8931"/>
        <w:tab w:val="right" w:pos="13892"/>
      </w:tabs>
      <w:rPr>
        <w:szCs w:val="16"/>
      </w:rPr>
    </w:pPr>
    <w:r w:rsidRPr="00F83CF0">
      <w:rPr>
        <w:szCs w:val="16"/>
      </w:rPr>
      <w:t>Monitoring and implementation of health inequalities modular update</w:t>
    </w:r>
    <w:r w:rsidR="00A6066F">
      <w:rPr>
        <w:szCs w:val="16"/>
      </w:rPr>
      <w:tab/>
    </w:r>
    <w:r w:rsidR="00A6066F" w:rsidRPr="002A231B">
      <w:rPr>
        <w:szCs w:val="16"/>
      </w:rPr>
      <w:t xml:space="preserve">Page </w:t>
    </w:r>
    <w:r w:rsidR="00A6066F" w:rsidRPr="002A231B">
      <w:rPr>
        <w:szCs w:val="16"/>
      </w:rPr>
      <w:fldChar w:fldCharType="begin"/>
    </w:r>
    <w:r w:rsidR="00A6066F" w:rsidRPr="002A231B">
      <w:rPr>
        <w:szCs w:val="16"/>
      </w:rPr>
      <w:instrText xml:space="preserve"> PAGE  \* Arabic  \* MERGEFORMAT </w:instrText>
    </w:r>
    <w:r w:rsidR="00A6066F" w:rsidRPr="002A231B">
      <w:rPr>
        <w:szCs w:val="16"/>
      </w:rPr>
      <w:fldChar w:fldCharType="separate"/>
    </w:r>
    <w:r w:rsidR="00A6066F">
      <w:rPr>
        <w:szCs w:val="16"/>
      </w:rPr>
      <w:t>1</w:t>
    </w:r>
    <w:r w:rsidR="00A6066F" w:rsidRPr="002A231B">
      <w:rPr>
        <w:szCs w:val="16"/>
      </w:rPr>
      <w:fldChar w:fldCharType="end"/>
    </w:r>
    <w:r w:rsidR="00A6066F" w:rsidRPr="002A231B">
      <w:rPr>
        <w:szCs w:val="16"/>
      </w:rPr>
      <w:t xml:space="preserve"> of </w:t>
    </w:r>
    <w:r w:rsidR="00A6066F" w:rsidRPr="002A231B">
      <w:rPr>
        <w:szCs w:val="16"/>
      </w:rPr>
      <w:fldChar w:fldCharType="begin"/>
    </w:r>
    <w:r w:rsidR="00A6066F" w:rsidRPr="002A231B">
      <w:rPr>
        <w:szCs w:val="16"/>
      </w:rPr>
      <w:instrText xml:space="preserve"> NUMPAGES  \* Arabic  \* MERGEFORMAT </w:instrText>
    </w:r>
    <w:r w:rsidR="00A6066F" w:rsidRPr="002A231B">
      <w:rPr>
        <w:szCs w:val="16"/>
      </w:rPr>
      <w:fldChar w:fldCharType="separate"/>
    </w:r>
    <w:r w:rsidR="00A6066F">
      <w:rPr>
        <w:szCs w:val="16"/>
      </w:rPr>
      <w:t>10</w:t>
    </w:r>
    <w:r w:rsidR="00A6066F" w:rsidRPr="002A231B">
      <w:rPr>
        <w:szCs w:val="16"/>
      </w:rPr>
      <w:fldChar w:fldCharType="end"/>
    </w:r>
  </w:p>
  <w:p w14:paraId="76FA5C18" w14:textId="327799E1" w:rsidR="00A6066F" w:rsidRPr="00F83CF0" w:rsidRDefault="00A6066F" w:rsidP="00A6066F">
    <w:pPr>
      <w:pStyle w:val="Footer"/>
      <w:rPr>
        <w:szCs w:val="16"/>
      </w:rPr>
    </w:pPr>
    <w:r w:rsidRPr="00F83CF0">
      <w:rPr>
        <w:szCs w:val="16"/>
      </w:rPr>
      <w:t>Public Board meeting</w:t>
    </w:r>
  </w:p>
  <w:p w14:paraId="7DABF6AE" w14:textId="08B7D2AA" w:rsidR="004B4705" w:rsidRPr="002A231B" w:rsidRDefault="00F83CF0" w:rsidP="004B4705">
    <w:pPr>
      <w:pStyle w:val="Footer"/>
      <w:rPr>
        <w:szCs w:val="16"/>
      </w:rPr>
    </w:pPr>
    <w:r w:rsidRPr="00F83CF0">
      <w:rPr>
        <w:szCs w:val="16"/>
      </w:rPr>
      <w:t>15 July 2026</w:t>
    </w:r>
    <w:r w:rsidR="004B4705" w:rsidRPr="00F83CF0">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EDCE" w14:textId="77777777" w:rsidR="00853ADA" w:rsidRDefault="00853ADA">
      <w:r>
        <w:separator/>
      </w:r>
    </w:p>
  </w:footnote>
  <w:footnote w:type="continuationSeparator" w:id="0">
    <w:p w14:paraId="06A0E6CC" w14:textId="77777777" w:rsidR="00853ADA" w:rsidRDefault="00853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4E3C" w14:textId="77777777" w:rsidR="00A6066F" w:rsidRDefault="00A6066F" w:rsidP="006E0F0C">
    <w:pPr>
      <w:pStyle w:val="Header"/>
      <w:ind w:left="0"/>
    </w:pPr>
  </w:p>
  <w:p w14:paraId="3986FFEE" w14:textId="78D192F7" w:rsidR="004B4705" w:rsidRPr="006E0F0C" w:rsidRDefault="00F4630A" w:rsidP="00A6066F">
    <w:pPr>
      <w:pStyle w:val="Header"/>
      <w:ind w:left="0"/>
      <w:jc w:val="right"/>
    </w:pPr>
    <w:r w:rsidRPr="00810C65">
      <w:rPr>
        <w:noProof/>
      </w:rPr>
      <w:drawing>
        <wp:anchor distT="0" distB="0" distL="114300" distR="114300" simplePos="0" relativeHeight="251658240" behindDoc="1" locked="0" layoutInCell="1" allowOverlap="1" wp14:anchorId="4F5ECD6D" wp14:editId="1B62EACF">
          <wp:simplePos x="0" y="0"/>
          <wp:positionH relativeFrom="column">
            <wp:posOffset>0</wp:posOffset>
          </wp:positionH>
          <wp:positionV relativeFrom="page">
            <wp:posOffset>453390</wp:posOffset>
          </wp:positionV>
          <wp:extent cx="2658110" cy="666750"/>
          <wp:effectExtent l="0" t="0" r="8890" b="0"/>
          <wp:wrapTight wrapText="bothSides">
            <wp:wrapPolygon edited="0">
              <wp:start x="0" y="0"/>
              <wp:lineTo x="0" y="20983"/>
              <wp:lineTo x="21517" y="20983"/>
              <wp:lineTo x="21517" y="0"/>
              <wp:lineTo x="0" y="0"/>
            </wp:wrapPolygon>
          </wp:wrapTight>
          <wp:docPr id="213123475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3475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110" cy="666750"/>
                  </a:xfrm>
                  <a:prstGeom prst="rect">
                    <a:avLst/>
                  </a:prstGeom>
                  <a:noFill/>
                  <a:ln>
                    <a:noFill/>
                  </a:ln>
                </pic:spPr>
              </pic:pic>
            </a:graphicData>
          </a:graphic>
        </wp:anchor>
      </w:drawing>
    </w:r>
    <w:r w:rsidR="006E0F0C" w:rsidRPr="00810C65">
      <w:t xml:space="preserve">Item </w:t>
    </w:r>
    <w:r w:rsidR="00810C65" w:rsidRPr="00810C65">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4"/>
  </w:num>
  <w:num w:numId="3" w16cid:durableId="2116749296">
    <w:abstractNumId w:val="15"/>
  </w:num>
  <w:num w:numId="4" w16cid:durableId="611715962">
    <w:abstractNumId w:val="16"/>
  </w:num>
  <w:num w:numId="5" w16cid:durableId="377554922">
    <w:abstractNumId w:val="4"/>
  </w:num>
  <w:num w:numId="6" w16cid:durableId="1967815002">
    <w:abstractNumId w:val="7"/>
  </w:num>
  <w:num w:numId="7" w16cid:durableId="1478373446">
    <w:abstractNumId w:val="12"/>
  </w:num>
  <w:num w:numId="8" w16cid:durableId="1216622483">
    <w:abstractNumId w:val="14"/>
  </w:num>
  <w:num w:numId="9" w16cid:durableId="1028289363">
    <w:abstractNumId w:val="18"/>
  </w:num>
  <w:num w:numId="10" w16cid:durableId="1748379919">
    <w:abstractNumId w:val="6"/>
  </w:num>
  <w:num w:numId="11" w16cid:durableId="1008825018">
    <w:abstractNumId w:val="22"/>
  </w:num>
  <w:num w:numId="12" w16cid:durableId="128134450">
    <w:abstractNumId w:val="10"/>
  </w:num>
  <w:num w:numId="13" w16cid:durableId="503516617">
    <w:abstractNumId w:val="17"/>
  </w:num>
  <w:num w:numId="14" w16cid:durableId="1971012577">
    <w:abstractNumId w:val="20"/>
  </w:num>
  <w:num w:numId="15" w16cid:durableId="1256014139">
    <w:abstractNumId w:val="11"/>
  </w:num>
  <w:num w:numId="16" w16cid:durableId="230039927">
    <w:abstractNumId w:val="0"/>
  </w:num>
  <w:num w:numId="17" w16cid:durableId="882135492">
    <w:abstractNumId w:val="1"/>
  </w:num>
  <w:num w:numId="18" w16cid:durableId="194315641">
    <w:abstractNumId w:val="8"/>
  </w:num>
  <w:num w:numId="19" w16cid:durableId="1279488302">
    <w:abstractNumId w:val="13"/>
  </w:num>
  <w:num w:numId="20" w16cid:durableId="102305755">
    <w:abstractNumId w:val="5"/>
  </w:num>
  <w:num w:numId="21" w16cid:durableId="1863712968">
    <w:abstractNumId w:val="23"/>
  </w:num>
  <w:num w:numId="22" w16cid:durableId="426196748">
    <w:abstractNumId w:val="21"/>
  </w:num>
  <w:num w:numId="23" w16cid:durableId="1440686053">
    <w:abstractNumId w:val="25"/>
  </w:num>
  <w:num w:numId="24" w16cid:durableId="87122838">
    <w:abstractNumId w:val="9"/>
  </w:num>
  <w:num w:numId="25" w16cid:durableId="2069259383">
    <w:abstractNumId w:val="3"/>
  </w:num>
  <w:num w:numId="26" w16cid:durableId="1082874494">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5A"/>
    <w:rsid w:val="00006AFA"/>
    <w:rsid w:val="000103D3"/>
    <w:rsid w:val="000119FB"/>
    <w:rsid w:val="00012BFE"/>
    <w:rsid w:val="000213EC"/>
    <w:rsid w:val="000242AA"/>
    <w:rsid w:val="00027157"/>
    <w:rsid w:val="00027B80"/>
    <w:rsid w:val="00034FBA"/>
    <w:rsid w:val="00035A31"/>
    <w:rsid w:val="00057044"/>
    <w:rsid w:val="000630DC"/>
    <w:rsid w:val="00067A72"/>
    <w:rsid w:val="00074BE1"/>
    <w:rsid w:val="00077B3B"/>
    <w:rsid w:val="00080747"/>
    <w:rsid w:val="0008587A"/>
    <w:rsid w:val="00085B53"/>
    <w:rsid w:val="000871F1"/>
    <w:rsid w:val="00094B5D"/>
    <w:rsid w:val="00096E6F"/>
    <w:rsid w:val="000A103F"/>
    <w:rsid w:val="000A1EC0"/>
    <w:rsid w:val="000A7B9A"/>
    <w:rsid w:val="000C05E8"/>
    <w:rsid w:val="000C3F75"/>
    <w:rsid w:val="000C4168"/>
    <w:rsid w:val="000D45D3"/>
    <w:rsid w:val="000E6C5F"/>
    <w:rsid w:val="000F1987"/>
    <w:rsid w:val="000F407E"/>
    <w:rsid w:val="000F6EFC"/>
    <w:rsid w:val="00101F34"/>
    <w:rsid w:val="0010723C"/>
    <w:rsid w:val="001100C3"/>
    <w:rsid w:val="00110E16"/>
    <w:rsid w:val="001172E1"/>
    <w:rsid w:val="00117D0A"/>
    <w:rsid w:val="001219F1"/>
    <w:rsid w:val="00123D3F"/>
    <w:rsid w:val="00131EB8"/>
    <w:rsid w:val="00151303"/>
    <w:rsid w:val="00161537"/>
    <w:rsid w:val="00161AA0"/>
    <w:rsid w:val="0017277D"/>
    <w:rsid w:val="00172BD4"/>
    <w:rsid w:val="00176454"/>
    <w:rsid w:val="00177BDF"/>
    <w:rsid w:val="001808D4"/>
    <w:rsid w:val="00184390"/>
    <w:rsid w:val="00192D5C"/>
    <w:rsid w:val="001B0506"/>
    <w:rsid w:val="001C032E"/>
    <w:rsid w:val="001C2A19"/>
    <w:rsid w:val="001C41F7"/>
    <w:rsid w:val="001D20F3"/>
    <w:rsid w:val="001D215F"/>
    <w:rsid w:val="001E0A6A"/>
    <w:rsid w:val="001E5A14"/>
    <w:rsid w:val="001F204B"/>
    <w:rsid w:val="00205820"/>
    <w:rsid w:val="0021029D"/>
    <w:rsid w:val="00210D69"/>
    <w:rsid w:val="002169E7"/>
    <w:rsid w:val="00225566"/>
    <w:rsid w:val="00235CAB"/>
    <w:rsid w:val="00236888"/>
    <w:rsid w:val="00240E72"/>
    <w:rsid w:val="00244499"/>
    <w:rsid w:val="002503A6"/>
    <w:rsid w:val="00251614"/>
    <w:rsid w:val="00251D56"/>
    <w:rsid w:val="002526E6"/>
    <w:rsid w:val="002535B1"/>
    <w:rsid w:val="00261931"/>
    <w:rsid w:val="00262EEB"/>
    <w:rsid w:val="002670CD"/>
    <w:rsid w:val="00275823"/>
    <w:rsid w:val="002769CF"/>
    <w:rsid w:val="00286BFA"/>
    <w:rsid w:val="00291473"/>
    <w:rsid w:val="002A024B"/>
    <w:rsid w:val="002A3712"/>
    <w:rsid w:val="002A4660"/>
    <w:rsid w:val="002A6023"/>
    <w:rsid w:val="002A662F"/>
    <w:rsid w:val="002B527F"/>
    <w:rsid w:val="002C3FAA"/>
    <w:rsid w:val="002E527E"/>
    <w:rsid w:val="002E6ACC"/>
    <w:rsid w:val="002F11C6"/>
    <w:rsid w:val="002F15CF"/>
    <w:rsid w:val="0031664C"/>
    <w:rsid w:val="003174BC"/>
    <w:rsid w:val="003330E6"/>
    <w:rsid w:val="00335267"/>
    <w:rsid w:val="00335CC6"/>
    <w:rsid w:val="00337982"/>
    <w:rsid w:val="00341829"/>
    <w:rsid w:val="00344058"/>
    <w:rsid w:val="00345762"/>
    <w:rsid w:val="00353D3E"/>
    <w:rsid w:val="00354783"/>
    <w:rsid w:val="00362033"/>
    <w:rsid w:val="00362226"/>
    <w:rsid w:val="003676CF"/>
    <w:rsid w:val="00367D37"/>
    <w:rsid w:val="00372FBC"/>
    <w:rsid w:val="00377E36"/>
    <w:rsid w:val="003830CE"/>
    <w:rsid w:val="0039272F"/>
    <w:rsid w:val="00393A67"/>
    <w:rsid w:val="003A415E"/>
    <w:rsid w:val="003B0E92"/>
    <w:rsid w:val="003B1379"/>
    <w:rsid w:val="003B7BCF"/>
    <w:rsid w:val="003C1AF6"/>
    <w:rsid w:val="003C36AC"/>
    <w:rsid w:val="003C6144"/>
    <w:rsid w:val="003D2135"/>
    <w:rsid w:val="003D3B28"/>
    <w:rsid w:val="003D64C5"/>
    <w:rsid w:val="003D71E6"/>
    <w:rsid w:val="003E3250"/>
    <w:rsid w:val="003E570C"/>
    <w:rsid w:val="003E7D3B"/>
    <w:rsid w:val="00420AA7"/>
    <w:rsid w:val="00437127"/>
    <w:rsid w:val="004511A7"/>
    <w:rsid w:val="004519B2"/>
    <w:rsid w:val="00455E56"/>
    <w:rsid w:val="00461997"/>
    <w:rsid w:val="004622A2"/>
    <w:rsid w:val="00465834"/>
    <w:rsid w:val="00465873"/>
    <w:rsid w:val="00466E0C"/>
    <w:rsid w:val="004820E9"/>
    <w:rsid w:val="0048361F"/>
    <w:rsid w:val="00484FE9"/>
    <w:rsid w:val="00485B88"/>
    <w:rsid w:val="00485D4A"/>
    <w:rsid w:val="004914C0"/>
    <w:rsid w:val="004B0CE0"/>
    <w:rsid w:val="004B4705"/>
    <w:rsid w:val="004B4C68"/>
    <w:rsid w:val="004B514C"/>
    <w:rsid w:val="004B75E8"/>
    <w:rsid w:val="004F0413"/>
    <w:rsid w:val="00503454"/>
    <w:rsid w:val="00522C8C"/>
    <w:rsid w:val="00526C07"/>
    <w:rsid w:val="005303DB"/>
    <w:rsid w:val="00530C66"/>
    <w:rsid w:val="0053387C"/>
    <w:rsid w:val="005350FB"/>
    <w:rsid w:val="0055074A"/>
    <w:rsid w:val="00550A66"/>
    <w:rsid w:val="0055650C"/>
    <w:rsid w:val="005614AA"/>
    <w:rsid w:val="00562572"/>
    <w:rsid w:val="00580A0A"/>
    <w:rsid w:val="005860F4"/>
    <w:rsid w:val="005866B1"/>
    <w:rsid w:val="00590530"/>
    <w:rsid w:val="00594F35"/>
    <w:rsid w:val="005964EB"/>
    <w:rsid w:val="005A1AED"/>
    <w:rsid w:val="005A5E10"/>
    <w:rsid w:val="005B26D6"/>
    <w:rsid w:val="005B281F"/>
    <w:rsid w:val="005C051F"/>
    <w:rsid w:val="005C66B2"/>
    <w:rsid w:val="005C762E"/>
    <w:rsid w:val="005D098C"/>
    <w:rsid w:val="005D4936"/>
    <w:rsid w:val="005D7A4F"/>
    <w:rsid w:val="005E0FFB"/>
    <w:rsid w:val="005E116B"/>
    <w:rsid w:val="005E7978"/>
    <w:rsid w:val="00603E56"/>
    <w:rsid w:val="0060662A"/>
    <w:rsid w:val="00613E99"/>
    <w:rsid w:val="006144B8"/>
    <w:rsid w:val="00614BDA"/>
    <w:rsid w:val="00617519"/>
    <w:rsid w:val="0062649E"/>
    <w:rsid w:val="006274A4"/>
    <w:rsid w:val="006331B4"/>
    <w:rsid w:val="006343F3"/>
    <w:rsid w:val="00640E42"/>
    <w:rsid w:val="00642906"/>
    <w:rsid w:val="006517F0"/>
    <w:rsid w:val="006571D4"/>
    <w:rsid w:val="0065751D"/>
    <w:rsid w:val="00657676"/>
    <w:rsid w:val="0066289E"/>
    <w:rsid w:val="00675DA3"/>
    <w:rsid w:val="006771A7"/>
    <w:rsid w:val="00680B94"/>
    <w:rsid w:val="0068791B"/>
    <w:rsid w:val="006915E3"/>
    <w:rsid w:val="006A721F"/>
    <w:rsid w:val="006C6ED7"/>
    <w:rsid w:val="006D04BA"/>
    <w:rsid w:val="006D50FB"/>
    <w:rsid w:val="006D73F1"/>
    <w:rsid w:val="006E0F0C"/>
    <w:rsid w:val="006E34B5"/>
    <w:rsid w:val="006F049D"/>
    <w:rsid w:val="006F6884"/>
    <w:rsid w:val="006F7161"/>
    <w:rsid w:val="006F7F8A"/>
    <w:rsid w:val="0070473C"/>
    <w:rsid w:val="007052C4"/>
    <w:rsid w:val="007146DE"/>
    <w:rsid w:val="00716C18"/>
    <w:rsid w:val="00717160"/>
    <w:rsid w:val="007277C3"/>
    <w:rsid w:val="00727A47"/>
    <w:rsid w:val="00732519"/>
    <w:rsid w:val="00735572"/>
    <w:rsid w:val="0073588E"/>
    <w:rsid w:val="00737F9C"/>
    <w:rsid w:val="00740D36"/>
    <w:rsid w:val="0074706F"/>
    <w:rsid w:val="00747994"/>
    <w:rsid w:val="0075496E"/>
    <w:rsid w:val="007603B9"/>
    <w:rsid w:val="00780059"/>
    <w:rsid w:val="0079087A"/>
    <w:rsid w:val="007918A6"/>
    <w:rsid w:val="007A174B"/>
    <w:rsid w:val="007A4EEE"/>
    <w:rsid w:val="007A55DB"/>
    <w:rsid w:val="007B5BCA"/>
    <w:rsid w:val="007D472E"/>
    <w:rsid w:val="007D778B"/>
    <w:rsid w:val="007D7E42"/>
    <w:rsid w:val="007E7667"/>
    <w:rsid w:val="007F1AA1"/>
    <w:rsid w:val="007F634A"/>
    <w:rsid w:val="00810C65"/>
    <w:rsid w:val="0081404B"/>
    <w:rsid w:val="00831E64"/>
    <w:rsid w:val="008505C3"/>
    <w:rsid w:val="00851BC1"/>
    <w:rsid w:val="00852BA0"/>
    <w:rsid w:val="00853ADA"/>
    <w:rsid w:val="008603A5"/>
    <w:rsid w:val="00862C0C"/>
    <w:rsid w:val="008640D0"/>
    <w:rsid w:val="00871CEA"/>
    <w:rsid w:val="008735EB"/>
    <w:rsid w:val="00882B0C"/>
    <w:rsid w:val="00883515"/>
    <w:rsid w:val="008853CB"/>
    <w:rsid w:val="00895005"/>
    <w:rsid w:val="008A3CB5"/>
    <w:rsid w:val="008A6557"/>
    <w:rsid w:val="008B48B7"/>
    <w:rsid w:val="008C11A5"/>
    <w:rsid w:val="008C1EB0"/>
    <w:rsid w:val="008C782E"/>
    <w:rsid w:val="008D6069"/>
    <w:rsid w:val="008D6766"/>
    <w:rsid w:val="008E7585"/>
    <w:rsid w:val="008F1A21"/>
    <w:rsid w:val="008F3C3B"/>
    <w:rsid w:val="008F5621"/>
    <w:rsid w:val="008F704E"/>
    <w:rsid w:val="00900231"/>
    <w:rsid w:val="00907041"/>
    <w:rsid w:val="0091259B"/>
    <w:rsid w:val="00921354"/>
    <w:rsid w:val="009234A6"/>
    <w:rsid w:val="00923D38"/>
    <w:rsid w:val="00924A98"/>
    <w:rsid w:val="009257AA"/>
    <w:rsid w:val="0094366C"/>
    <w:rsid w:val="00953ADF"/>
    <w:rsid w:val="00962361"/>
    <w:rsid w:val="00962CAB"/>
    <w:rsid w:val="00971131"/>
    <w:rsid w:val="00971D4D"/>
    <w:rsid w:val="009735CF"/>
    <w:rsid w:val="00975C3E"/>
    <w:rsid w:val="00986D05"/>
    <w:rsid w:val="009871F3"/>
    <w:rsid w:val="00992559"/>
    <w:rsid w:val="0099531C"/>
    <w:rsid w:val="009A0289"/>
    <w:rsid w:val="009B1D56"/>
    <w:rsid w:val="009B621A"/>
    <w:rsid w:val="009C45D9"/>
    <w:rsid w:val="009C6E2D"/>
    <w:rsid w:val="009D67E6"/>
    <w:rsid w:val="009E28E4"/>
    <w:rsid w:val="009E5856"/>
    <w:rsid w:val="009F3D9F"/>
    <w:rsid w:val="00A0262D"/>
    <w:rsid w:val="00A02BD9"/>
    <w:rsid w:val="00A0603B"/>
    <w:rsid w:val="00A06657"/>
    <w:rsid w:val="00A07A7B"/>
    <w:rsid w:val="00A24C1C"/>
    <w:rsid w:val="00A317E0"/>
    <w:rsid w:val="00A36575"/>
    <w:rsid w:val="00A5229D"/>
    <w:rsid w:val="00A6066F"/>
    <w:rsid w:val="00A618CB"/>
    <w:rsid w:val="00A65EBA"/>
    <w:rsid w:val="00A75785"/>
    <w:rsid w:val="00A77344"/>
    <w:rsid w:val="00A820E1"/>
    <w:rsid w:val="00A866A1"/>
    <w:rsid w:val="00A86D3D"/>
    <w:rsid w:val="00A9208C"/>
    <w:rsid w:val="00A956DE"/>
    <w:rsid w:val="00AA0139"/>
    <w:rsid w:val="00AA5DFF"/>
    <w:rsid w:val="00AB2948"/>
    <w:rsid w:val="00AB39FA"/>
    <w:rsid w:val="00AB4560"/>
    <w:rsid w:val="00AC40D0"/>
    <w:rsid w:val="00AC6D75"/>
    <w:rsid w:val="00AD4BEE"/>
    <w:rsid w:val="00AD5CB7"/>
    <w:rsid w:val="00AD5E0B"/>
    <w:rsid w:val="00AD66F2"/>
    <w:rsid w:val="00AD6933"/>
    <w:rsid w:val="00AD6B7B"/>
    <w:rsid w:val="00AE597E"/>
    <w:rsid w:val="00B015B6"/>
    <w:rsid w:val="00B0463B"/>
    <w:rsid w:val="00B04890"/>
    <w:rsid w:val="00B12BD1"/>
    <w:rsid w:val="00B15262"/>
    <w:rsid w:val="00B254F0"/>
    <w:rsid w:val="00B4491A"/>
    <w:rsid w:val="00B53F29"/>
    <w:rsid w:val="00B60D70"/>
    <w:rsid w:val="00B73524"/>
    <w:rsid w:val="00B7775A"/>
    <w:rsid w:val="00B80A6A"/>
    <w:rsid w:val="00B80EE8"/>
    <w:rsid w:val="00B84BC1"/>
    <w:rsid w:val="00B9041B"/>
    <w:rsid w:val="00B90ED1"/>
    <w:rsid w:val="00B963A8"/>
    <w:rsid w:val="00BA0179"/>
    <w:rsid w:val="00BA0CC5"/>
    <w:rsid w:val="00BA45B8"/>
    <w:rsid w:val="00BA51EA"/>
    <w:rsid w:val="00BA589F"/>
    <w:rsid w:val="00BB047B"/>
    <w:rsid w:val="00BB6398"/>
    <w:rsid w:val="00BC0E86"/>
    <w:rsid w:val="00BC2229"/>
    <w:rsid w:val="00BD0372"/>
    <w:rsid w:val="00BD246E"/>
    <w:rsid w:val="00BD77BB"/>
    <w:rsid w:val="00BD7A44"/>
    <w:rsid w:val="00BE393D"/>
    <w:rsid w:val="00BF3B08"/>
    <w:rsid w:val="00BF4768"/>
    <w:rsid w:val="00BF5445"/>
    <w:rsid w:val="00BF6573"/>
    <w:rsid w:val="00C120E5"/>
    <w:rsid w:val="00C139CA"/>
    <w:rsid w:val="00C13B28"/>
    <w:rsid w:val="00C15FAD"/>
    <w:rsid w:val="00C24D1A"/>
    <w:rsid w:val="00C433C5"/>
    <w:rsid w:val="00C51429"/>
    <w:rsid w:val="00C54AA8"/>
    <w:rsid w:val="00C57CA6"/>
    <w:rsid w:val="00C65202"/>
    <w:rsid w:val="00C701D5"/>
    <w:rsid w:val="00C70610"/>
    <w:rsid w:val="00C777E7"/>
    <w:rsid w:val="00C778DA"/>
    <w:rsid w:val="00C83EA4"/>
    <w:rsid w:val="00C87D03"/>
    <w:rsid w:val="00C90A34"/>
    <w:rsid w:val="00C91C2E"/>
    <w:rsid w:val="00C97988"/>
    <w:rsid w:val="00CA2BB7"/>
    <w:rsid w:val="00CA3397"/>
    <w:rsid w:val="00CA33E1"/>
    <w:rsid w:val="00CB6BEB"/>
    <w:rsid w:val="00CC2AB9"/>
    <w:rsid w:val="00CD7C4E"/>
    <w:rsid w:val="00CD7ED3"/>
    <w:rsid w:val="00CE1106"/>
    <w:rsid w:val="00CE7855"/>
    <w:rsid w:val="00CF12E7"/>
    <w:rsid w:val="00CF1DDF"/>
    <w:rsid w:val="00D015D6"/>
    <w:rsid w:val="00D146D0"/>
    <w:rsid w:val="00D15423"/>
    <w:rsid w:val="00D335A0"/>
    <w:rsid w:val="00D34E77"/>
    <w:rsid w:val="00D3612A"/>
    <w:rsid w:val="00D37703"/>
    <w:rsid w:val="00D37D10"/>
    <w:rsid w:val="00D37F25"/>
    <w:rsid w:val="00D453F6"/>
    <w:rsid w:val="00D470F7"/>
    <w:rsid w:val="00D60D8D"/>
    <w:rsid w:val="00D66D36"/>
    <w:rsid w:val="00D73C98"/>
    <w:rsid w:val="00D77BC6"/>
    <w:rsid w:val="00D81EAE"/>
    <w:rsid w:val="00D8389E"/>
    <w:rsid w:val="00DA11DD"/>
    <w:rsid w:val="00DA12F5"/>
    <w:rsid w:val="00DA1714"/>
    <w:rsid w:val="00DA2D13"/>
    <w:rsid w:val="00DB31C3"/>
    <w:rsid w:val="00DB5E58"/>
    <w:rsid w:val="00DC0120"/>
    <w:rsid w:val="00DC08E7"/>
    <w:rsid w:val="00DC0FD4"/>
    <w:rsid w:val="00DC235A"/>
    <w:rsid w:val="00DC6008"/>
    <w:rsid w:val="00DD344F"/>
    <w:rsid w:val="00DE18A6"/>
    <w:rsid w:val="00DE643F"/>
    <w:rsid w:val="00DE78C2"/>
    <w:rsid w:val="00E00CB1"/>
    <w:rsid w:val="00E17354"/>
    <w:rsid w:val="00E2509B"/>
    <w:rsid w:val="00E25C7F"/>
    <w:rsid w:val="00E26B10"/>
    <w:rsid w:val="00E424C6"/>
    <w:rsid w:val="00E4622C"/>
    <w:rsid w:val="00E46571"/>
    <w:rsid w:val="00E51FFB"/>
    <w:rsid w:val="00E54F5A"/>
    <w:rsid w:val="00E613EC"/>
    <w:rsid w:val="00E63855"/>
    <w:rsid w:val="00E832D7"/>
    <w:rsid w:val="00E8348D"/>
    <w:rsid w:val="00E94D72"/>
    <w:rsid w:val="00E95993"/>
    <w:rsid w:val="00E9606C"/>
    <w:rsid w:val="00E976BE"/>
    <w:rsid w:val="00EA0F71"/>
    <w:rsid w:val="00EB03BB"/>
    <w:rsid w:val="00EB1C36"/>
    <w:rsid w:val="00EB5967"/>
    <w:rsid w:val="00EB76AE"/>
    <w:rsid w:val="00EC527B"/>
    <w:rsid w:val="00EE2EB2"/>
    <w:rsid w:val="00EE406C"/>
    <w:rsid w:val="00EE4133"/>
    <w:rsid w:val="00EF35B7"/>
    <w:rsid w:val="00EF70B0"/>
    <w:rsid w:val="00F07534"/>
    <w:rsid w:val="00F07D49"/>
    <w:rsid w:val="00F13EB9"/>
    <w:rsid w:val="00F2513D"/>
    <w:rsid w:val="00F26A9F"/>
    <w:rsid w:val="00F26E68"/>
    <w:rsid w:val="00F33119"/>
    <w:rsid w:val="00F4630A"/>
    <w:rsid w:val="00F5031E"/>
    <w:rsid w:val="00F51B50"/>
    <w:rsid w:val="00F522CC"/>
    <w:rsid w:val="00F56F06"/>
    <w:rsid w:val="00F57087"/>
    <w:rsid w:val="00F71EF6"/>
    <w:rsid w:val="00F73C47"/>
    <w:rsid w:val="00F77820"/>
    <w:rsid w:val="00F77ABD"/>
    <w:rsid w:val="00F77C08"/>
    <w:rsid w:val="00F81F2C"/>
    <w:rsid w:val="00F82A9A"/>
    <w:rsid w:val="00F83C06"/>
    <w:rsid w:val="00F83CF0"/>
    <w:rsid w:val="00F875FC"/>
    <w:rsid w:val="00F90E63"/>
    <w:rsid w:val="00F924B7"/>
    <w:rsid w:val="00FA65FE"/>
    <w:rsid w:val="00FA66A6"/>
    <w:rsid w:val="00FA6EE7"/>
    <w:rsid w:val="00FB0F8C"/>
    <w:rsid w:val="00FB195A"/>
    <w:rsid w:val="00FB47DD"/>
    <w:rsid w:val="00FB73D3"/>
    <w:rsid w:val="00FC144A"/>
    <w:rsid w:val="00FC1F88"/>
    <w:rsid w:val="00FC30A1"/>
    <w:rsid w:val="00FD1DC4"/>
    <w:rsid w:val="00FD4756"/>
    <w:rsid w:val="00FD5C79"/>
    <w:rsid w:val="00FD66E5"/>
    <w:rsid w:val="00FD75AD"/>
    <w:rsid w:val="00FD7EEA"/>
    <w:rsid w:val="00FF1871"/>
    <w:rsid w:val="00FF1F8E"/>
    <w:rsid w:val="00FF26E4"/>
    <w:rsid w:val="1181BF36"/>
    <w:rsid w:val="159006E7"/>
    <w:rsid w:val="1ADFB56B"/>
    <w:rsid w:val="384CDF6C"/>
    <w:rsid w:val="56C6CE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001B98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uiPriority="22" w:qFormat="1"/>
    <w:lsdException w:name="Emphasis" w:locked="0" w:qFormat="1"/>
    <w:lsdException w:name="HTML Top of Form" w:locked="0"/>
    <w:lsdException w:name="HTML Bottom of Form" w:locked="0"/>
    <w:lsdException w:name="Normal (Web)" w:uiPriority="99"/>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437127"/>
    <w:pPr>
      <w:numPr>
        <w:numId w:val="25"/>
      </w:numPr>
      <w:tabs>
        <w:tab w:val="left" w:pos="426"/>
      </w:tabs>
      <w:ind w:left="357" w:hanging="357"/>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styleId="NormalWeb">
    <w:name w:val="Normal (Web)"/>
    <w:basedOn w:val="Normal"/>
    <w:uiPriority w:val="99"/>
    <w:unhideWhenUsed/>
    <w:locked/>
    <w:rsid w:val="00DB31C3"/>
    <w:pPr>
      <w:spacing w:before="100" w:beforeAutospacing="1" w:after="100" w:afterAutospacing="1"/>
    </w:pPr>
    <w:rPr>
      <w:lang w:eastAsia="en-GB"/>
    </w:rPr>
  </w:style>
  <w:style w:type="character" w:styleId="Strong">
    <w:name w:val="Strong"/>
    <w:basedOn w:val="DefaultParagraphFont"/>
    <w:uiPriority w:val="22"/>
    <w:qFormat/>
    <w:locked/>
    <w:rsid w:val="00DB31C3"/>
    <w:rPr>
      <w:b/>
      <w:bCs/>
    </w:rPr>
  </w:style>
  <w:style w:type="paragraph" w:styleId="CommentSubject">
    <w:name w:val="annotation subject"/>
    <w:basedOn w:val="CommentText"/>
    <w:next w:val="CommentText"/>
    <w:link w:val="CommentSubjectChar"/>
    <w:rsid w:val="003D2135"/>
    <w:rPr>
      <w:b/>
      <w:bCs/>
      <w:lang w:eastAsia="en-US"/>
    </w:rPr>
  </w:style>
  <w:style w:type="character" w:customStyle="1" w:styleId="CommentSubjectChar">
    <w:name w:val="Comment Subject Char"/>
    <w:basedOn w:val="CommentTextChar"/>
    <w:link w:val="CommentSubject"/>
    <w:rsid w:val="003D2135"/>
    <w:rPr>
      <w:b/>
      <w:bCs/>
      <w:lang w:eastAsia="en-US"/>
    </w:rPr>
  </w:style>
  <w:style w:type="character" w:styleId="Mention">
    <w:name w:val="Mention"/>
    <w:basedOn w:val="DefaultParagraphFont"/>
    <w:uiPriority w:val="99"/>
    <w:unhideWhenUsed/>
    <w:locked/>
    <w:rsid w:val="00B449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573937">
      <w:bodyDiv w:val="1"/>
      <w:marLeft w:val="0"/>
      <w:marRight w:val="0"/>
      <w:marTop w:val="0"/>
      <w:marBottom w:val="0"/>
      <w:divBdr>
        <w:top w:val="none" w:sz="0" w:space="0" w:color="auto"/>
        <w:left w:val="none" w:sz="0" w:space="0" w:color="auto"/>
        <w:bottom w:val="none" w:sz="0" w:space="0" w:color="auto"/>
        <w:right w:val="none" w:sz="0" w:space="0" w:color="auto"/>
      </w:divBdr>
    </w:div>
    <w:div w:id="13319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terms-and-condi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lueinhealthjournal.com/article/S1098-3015(25)02513-6/abstract?_returnURL=https%3A%2F%2Flinkinghub.elsevier.com%2Fretrieve%2Fpii%2FS1098301525025136%3Fshowall%3Dtru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Path xmlns="289b8fc0-128f-4d7b-b8ee-34c94b7018e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1" ma:contentTypeDescription="Create a new document." ma:contentTypeScope="" ma:versionID="c06bc00170574f397b8ba3cc4f295479">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d50ae1c00709fb20cc31026d2c4bb713"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Path"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FilePath" ma:index="14" nillable="true" ma:displayName="FilePath" ma:internalName="FilePath">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474B0-8B2F-430B-8F97-A3DDA396FE06}">
  <ds:schemaRefs>
    <ds:schemaRef ds:uri="http://schemas.microsoft.com/office/2006/metadata/properties"/>
    <ds:schemaRef ds:uri="http://schemas.microsoft.com/office/infopath/2007/PartnerControls"/>
    <ds:schemaRef ds:uri="289b8fc0-128f-4d7b-b8ee-34c94b7018e7"/>
  </ds:schemaRefs>
</ds:datastoreItem>
</file>

<file path=customXml/itemProps2.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3.xml><?xml version="1.0" encoding="utf-8"?>
<ds:datastoreItem xmlns:ds="http://schemas.openxmlformats.org/officeDocument/2006/customXml" ds:itemID="{9D006231-6511-4BAD-B303-AEFCECA6AF5A}">
  <ds:schemaRefs>
    <ds:schemaRef ds:uri="http://schemas.microsoft.com/sharepoint/v3/contenttype/forms"/>
  </ds:schemaRefs>
</ds:datastoreItem>
</file>

<file path=customXml/itemProps4.xml><?xml version="1.0" encoding="utf-8"?>
<ds:datastoreItem xmlns:ds="http://schemas.openxmlformats.org/officeDocument/2006/customXml" ds:itemID="{39ABEC0B-2072-48DA-92E7-A8495A56E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2026-07-06T14:05:00Z</dcterms:created>
  <dcterms:modified xsi:type="dcterms:W3CDTF">2026-07-08T13:15:00Z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SetDate">
    <vt:lpwstr>2026-07-06T14:05:43Z</vt:lpwstr>
  </property>
  <property fmtid="{D5CDD505-2E9C-101B-9397-08002B2CF9AE}" pid="3" name="MediaServiceImageTags">
    <vt:lpwstr/>
  </property>
  <property fmtid="{D5CDD505-2E9C-101B-9397-08002B2CF9AE}" pid="4" name="ContentTypeId">
    <vt:lpwstr>0x010100CFEB742D5E2988439A0FECDECF284312</vt:lpwstr>
  </property>
  <property fmtid="{D5CDD505-2E9C-101B-9397-08002B2CF9AE}" pid="5" name="MSIP_Label_54678ddc-88e6-45fa-b88f-819f911892da_Tag">
    <vt:lpwstr>10, 0, 1, 1</vt:lpwstr>
  </property>
  <property fmtid="{D5CDD505-2E9C-101B-9397-08002B2CF9AE}" pid="6" name="MSIP_Label_54678ddc-88e6-45fa-b88f-819f911892da_Enabled">
    <vt:lpwstr>true</vt:lpwstr>
  </property>
  <property fmtid="{D5CDD505-2E9C-101B-9397-08002B2CF9AE}" pid="7" name="MSIP_Label_54678ddc-88e6-45fa-b88f-819f911892da_SiteId">
    <vt:lpwstr>6030f479-b342-472d-a5dd-740ff7538de9</vt:lpwstr>
  </property>
  <property fmtid="{D5CDD505-2E9C-101B-9397-08002B2CF9AE}" pid="8" name="MSIP_Label_54678ddc-88e6-45fa-b88f-819f911892da_Method">
    <vt:lpwstr>Privileged</vt:lpwstr>
  </property>
  <property fmtid="{D5CDD505-2E9C-101B-9397-08002B2CF9AE}" pid="9" name="MSIP_Label_54678ddc-88e6-45fa-b88f-819f911892da_ContentBits">
    <vt:lpwstr>0</vt:lpwstr>
  </property>
  <property fmtid="{D5CDD505-2E9C-101B-9397-08002B2CF9AE}" pid="10" name="MSIP_Label_54678ddc-88e6-45fa-b88f-819f911892da_Name">
    <vt:lpwstr>PUBLIC</vt:lpwstr>
  </property>
  <property fmtid="{D5CDD505-2E9C-101B-9397-08002B2CF9AE}" pid="11" name="Policy Status">
    <vt:lpwstr/>
  </property>
  <property fmtid="{D5CDD505-2E9C-101B-9397-08002B2CF9AE}" pid="12" name="Service area">
    <vt:lpwstr/>
  </property>
  <property fmtid="{D5CDD505-2E9C-101B-9397-08002B2CF9AE}" pid="13" name="c3e9b32804b143caaf778522fda46369">
    <vt:lpwstr/>
  </property>
  <property fmtid="{D5CDD505-2E9C-101B-9397-08002B2CF9AE}" pid="14" name="TaxCatchAll">
    <vt:lpwstr>6;#Published to NICE Space|f71fafb2-379e-4f7a-b39f-0cae49bb0737</vt:lpwstr>
  </property>
  <property fmtid="{D5CDD505-2E9C-101B-9397-08002B2CF9AE}" pid="15" name="j31c8abf4698464c99deb46d7432c918">
    <vt:lpwstr/>
  </property>
  <property fmtid="{D5CDD505-2E9C-101B-9397-08002B2CF9AE}" pid="16" name="MSIP_Label_54678ddc-88e6-45fa-b88f-819f911892da_ActionId">
    <vt:lpwstr>5e01ed87-3a7f-4c45-bfdf-01f6dc938896</vt:lpwstr>
  </property>
  <property fmtid="{D5CDD505-2E9C-101B-9397-08002B2CF9AE}" pid="17" name="Display Status">
    <vt:lpwstr>6;#Published to NICE Space|f71fafb2-379e-4f7a-b39f-0cae49bb0737</vt:lpwstr>
  </property>
</Properties>
</file>