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51D0" w14:textId="63216897" w:rsidR="00057044" w:rsidRPr="004A27A1" w:rsidRDefault="00057044" w:rsidP="003D3B28">
      <w:pPr>
        <w:pStyle w:val="Title1"/>
      </w:pPr>
      <w:r w:rsidRPr="004A27A1">
        <w:t>Board meeting</w:t>
      </w:r>
    </w:p>
    <w:p w14:paraId="316F856F" w14:textId="26634EC0" w:rsidR="004B4705" w:rsidRPr="004A27A1" w:rsidRDefault="00E36ECC" w:rsidP="003D3B28">
      <w:pPr>
        <w:pStyle w:val="Title20"/>
      </w:pPr>
      <w:r w:rsidRPr="004A27A1">
        <w:t>19</w:t>
      </w:r>
      <w:r w:rsidR="0076279C" w:rsidRPr="004A27A1">
        <w:t xml:space="preserve"> May 202</w:t>
      </w:r>
      <w:r w:rsidRPr="004A27A1">
        <w:t>6</w:t>
      </w:r>
    </w:p>
    <w:p w14:paraId="1E5ECA3E" w14:textId="65EE0A8C" w:rsidR="00094B5D" w:rsidRPr="004A27A1" w:rsidRDefault="001C7919" w:rsidP="003D3B28">
      <w:pPr>
        <w:pStyle w:val="Title1"/>
      </w:pPr>
      <w:r w:rsidRPr="004A27A1">
        <w:t xml:space="preserve">Audit </w:t>
      </w:r>
      <w:r w:rsidR="004D68D9" w:rsidRPr="004A27A1">
        <w:t xml:space="preserve">and </w:t>
      </w:r>
      <w:r w:rsidR="00B679EB" w:rsidRPr="004A27A1">
        <w:t xml:space="preserve">risk </w:t>
      </w:r>
      <w:r w:rsidR="004D68D9" w:rsidRPr="004A27A1">
        <w:t>assurance committee a</w:t>
      </w:r>
      <w:r w:rsidR="008A33B6" w:rsidRPr="004A27A1">
        <w:t xml:space="preserve">nnual report to </w:t>
      </w:r>
      <w:r w:rsidR="00AD024E" w:rsidRPr="004A27A1">
        <w:t xml:space="preserve">the </w:t>
      </w:r>
      <w:r w:rsidR="008A33B6" w:rsidRPr="004A27A1">
        <w:t>Board 202</w:t>
      </w:r>
      <w:r w:rsidR="00E36ECC" w:rsidRPr="004A27A1">
        <w:t>5</w:t>
      </w:r>
      <w:r w:rsidR="008A33B6" w:rsidRPr="004A27A1">
        <w:t>/2</w:t>
      </w:r>
      <w:r w:rsidR="00E36ECC" w:rsidRPr="004A27A1">
        <w:t>6</w:t>
      </w:r>
    </w:p>
    <w:p w14:paraId="35817AF9" w14:textId="3DBF64D2" w:rsidR="009B1D56" w:rsidRPr="004A27A1" w:rsidRDefault="009B1D56" w:rsidP="003D3B28">
      <w:pPr>
        <w:pStyle w:val="Heading1boardreport"/>
      </w:pPr>
      <w:r w:rsidRPr="004A27A1">
        <w:t>Purpose of paper</w:t>
      </w:r>
    </w:p>
    <w:p w14:paraId="698ED880" w14:textId="7E59CFFF" w:rsidR="008A33B6" w:rsidRPr="004A27A1" w:rsidRDefault="008A33B6" w:rsidP="008A33B6">
      <w:pPr>
        <w:pStyle w:val="NICEnormal"/>
      </w:pPr>
      <w:r w:rsidRPr="004A27A1">
        <w:t>For assurance</w:t>
      </w:r>
      <w:r w:rsidR="00873F9E" w:rsidRPr="004A27A1">
        <w:t xml:space="preserve"> and decision</w:t>
      </w:r>
      <w:r w:rsidRPr="004A27A1">
        <w:t>.</w:t>
      </w:r>
    </w:p>
    <w:p w14:paraId="0F4DD584" w14:textId="77777777" w:rsidR="009B1D56" w:rsidRPr="004A27A1" w:rsidRDefault="009B1D56" w:rsidP="003D3B28">
      <w:pPr>
        <w:pStyle w:val="Heading1boardreport"/>
      </w:pPr>
      <w:r w:rsidRPr="004A27A1">
        <w:t>Board action required</w:t>
      </w:r>
    </w:p>
    <w:p w14:paraId="76F87DC4" w14:textId="77777777" w:rsidR="002A02AE" w:rsidRPr="004A27A1" w:rsidRDefault="008A33B6" w:rsidP="003830CE">
      <w:pPr>
        <w:pStyle w:val="NICEnormal"/>
      </w:pPr>
      <w:r w:rsidRPr="004A27A1">
        <w:t>The Board is asked to</w:t>
      </w:r>
      <w:r w:rsidR="002A02AE" w:rsidRPr="004A27A1">
        <w:t>:</w:t>
      </w:r>
    </w:p>
    <w:p w14:paraId="14B81D04" w14:textId="277D78BE" w:rsidR="0040615D" w:rsidRPr="004A27A1" w:rsidRDefault="00EA1F2E" w:rsidP="0040615D">
      <w:pPr>
        <w:pStyle w:val="NICEnormalnumbered"/>
        <w:numPr>
          <w:ilvl w:val="1"/>
          <w:numId w:val="25"/>
        </w:numPr>
        <w:rPr>
          <w:noProof w:val="0"/>
        </w:rPr>
      </w:pPr>
      <w:r w:rsidRPr="004A27A1">
        <w:rPr>
          <w:noProof w:val="0"/>
        </w:rPr>
        <w:t>r</w:t>
      </w:r>
      <w:r w:rsidR="0040615D" w:rsidRPr="004A27A1">
        <w:rPr>
          <w:noProof w:val="0"/>
        </w:rPr>
        <w:t>eceive the report and take assurance from the committee’s work in 202</w:t>
      </w:r>
      <w:r w:rsidR="00601181" w:rsidRPr="004A27A1">
        <w:rPr>
          <w:noProof w:val="0"/>
        </w:rPr>
        <w:t>5/26</w:t>
      </w:r>
    </w:p>
    <w:p w14:paraId="763DE85C" w14:textId="154A9408" w:rsidR="0040615D" w:rsidRPr="004A27A1" w:rsidRDefault="00EA1F2E" w:rsidP="0040615D">
      <w:pPr>
        <w:pStyle w:val="NICEnormalnumbered"/>
        <w:numPr>
          <w:ilvl w:val="1"/>
          <w:numId w:val="25"/>
        </w:numPr>
        <w:rPr>
          <w:noProof w:val="0"/>
        </w:rPr>
      </w:pPr>
      <w:r w:rsidRPr="004A27A1">
        <w:rPr>
          <w:noProof w:val="0"/>
        </w:rPr>
        <w:t>a</w:t>
      </w:r>
      <w:r w:rsidR="0040615D" w:rsidRPr="004A27A1">
        <w:rPr>
          <w:noProof w:val="0"/>
        </w:rPr>
        <w:t>pprove</w:t>
      </w:r>
      <w:r w:rsidR="003A571A" w:rsidRPr="004A27A1">
        <w:rPr>
          <w:noProof w:val="0"/>
        </w:rPr>
        <w:t xml:space="preserve"> recommended </w:t>
      </w:r>
      <w:r w:rsidR="0083335A" w:rsidRPr="004A27A1">
        <w:rPr>
          <w:noProof w:val="0"/>
        </w:rPr>
        <w:t>updates</w:t>
      </w:r>
      <w:r w:rsidR="0040615D" w:rsidRPr="004A27A1">
        <w:rPr>
          <w:noProof w:val="0"/>
        </w:rPr>
        <w:t xml:space="preserve"> to the committee’s terms of reference</w:t>
      </w:r>
    </w:p>
    <w:p w14:paraId="2EC28B8A" w14:textId="77777777" w:rsidR="009B1D56" w:rsidRPr="004A27A1" w:rsidRDefault="009B1D56" w:rsidP="003D3B28">
      <w:pPr>
        <w:pStyle w:val="Heading1boardreport"/>
      </w:pPr>
      <w:proofErr w:type="gramStart"/>
      <w:r w:rsidRPr="004A27A1">
        <w:t>Brief summary</w:t>
      </w:r>
      <w:proofErr w:type="gramEnd"/>
    </w:p>
    <w:p w14:paraId="786FEB52" w14:textId="1195ECF9" w:rsidR="009B1D56" w:rsidRPr="004A27A1" w:rsidRDefault="002A02AE" w:rsidP="003830CE">
      <w:pPr>
        <w:pStyle w:val="NICEnormal"/>
        <w:rPr>
          <w:highlight w:val="lightGray"/>
        </w:rPr>
      </w:pPr>
      <w:r w:rsidRPr="004A27A1">
        <w:t>In addition to the updates provided after each committee meeting, t</w:t>
      </w:r>
      <w:r w:rsidR="008A33B6" w:rsidRPr="004A27A1">
        <w:t xml:space="preserve">he audit and risk </w:t>
      </w:r>
      <w:r w:rsidR="00587DE1" w:rsidRPr="004A27A1">
        <w:t xml:space="preserve">assurance </w:t>
      </w:r>
      <w:r w:rsidR="008A33B6" w:rsidRPr="004A27A1">
        <w:t xml:space="preserve">committee </w:t>
      </w:r>
      <w:r w:rsidRPr="004A27A1">
        <w:t xml:space="preserve">formally </w:t>
      </w:r>
      <w:r w:rsidR="008A33B6" w:rsidRPr="004A27A1">
        <w:t>reports to the board annually to provide assurance on the effectiveness of NICE’s governance, risk management, financial and internal control arrangements.</w:t>
      </w:r>
    </w:p>
    <w:p w14:paraId="78A39FD9" w14:textId="77777777" w:rsidR="009B1D56" w:rsidRPr="004A27A1" w:rsidRDefault="009B1D56" w:rsidP="003D3B28">
      <w:pPr>
        <w:pStyle w:val="Heading1boardreport"/>
      </w:pPr>
      <w:r w:rsidRPr="004A27A1">
        <w:t>Board sponsor</w:t>
      </w:r>
    </w:p>
    <w:p w14:paraId="6986F8BB" w14:textId="1945B8C4" w:rsidR="008A33B6" w:rsidRPr="004A27A1" w:rsidRDefault="008B3AA2" w:rsidP="008A33B6">
      <w:pPr>
        <w:pStyle w:val="NICEnormal"/>
      </w:pPr>
      <w:r w:rsidRPr="004A27A1">
        <w:t>Justin Whatling</w:t>
      </w:r>
      <w:r w:rsidR="008A33B6" w:rsidRPr="004A27A1">
        <w:t xml:space="preserve">, </w:t>
      </w:r>
      <w:r w:rsidR="00B767B8" w:rsidRPr="004A27A1">
        <w:t>non-executive</w:t>
      </w:r>
      <w:r w:rsidR="004D68D9" w:rsidRPr="004A27A1">
        <w:t xml:space="preserve"> director</w:t>
      </w:r>
    </w:p>
    <w:p w14:paraId="383839CC" w14:textId="75D5E414" w:rsidR="009B1D56" w:rsidRPr="004A27A1" w:rsidRDefault="009B1D56" w:rsidP="003830CE">
      <w:pPr>
        <w:pStyle w:val="NICEnormal"/>
        <w:rPr>
          <w:highlight w:val="lightGray"/>
        </w:rPr>
      </w:pPr>
    </w:p>
    <w:p w14:paraId="600E2B96" w14:textId="77777777" w:rsidR="004B4705" w:rsidRPr="004A27A1" w:rsidRDefault="004B4705" w:rsidP="004511A7">
      <w:pPr>
        <w:pStyle w:val="NICEnormal"/>
      </w:pPr>
      <w:r w:rsidRPr="004A27A1">
        <w:br w:type="page"/>
      </w:r>
    </w:p>
    <w:p w14:paraId="1AAB0996" w14:textId="77777777" w:rsidR="004B4705" w:rsidRPr="004A27A1" w:rsidRDefault="004B4705" w:rsidP="003D3B28">
      <w:pPr>
        <w:pStyle w:val="Heading1boardreport"/>
      </w:pPr>
      <w:r w:rsidRPr="004A27A1">
        <w:lastRenderedPageBreak/>
        <w:t xml:space="preserve">Introduction </w:t>
      </w:r>
    </w:p>
    <w:p w14:paraId="607B1FB1" w14:textId="582581DF" w:rsidR="00046645" w:rsidRPr="004A27A1" w:rsidRDefault="00046645" w:rsidP="009A1B99">
      <w:pPr>
        <w:pStyle w:val="NICEnormalnumbered"/>
        <w:numPr>
          <w:ilvl w:val="0"/>
          <w:numId w:val="35"/>
        </w:numPr>
        <w:tabs>
          <w:tab w:val="clear" w:pos="426"/>
        </w:tabs>
        <w:ind w:left="426" w:hanging="284"/>
        <w:rPr>
          <w:noProof w:val="0"/>
        </w:rPr>
      </w:pPr>
      <w:r w:rsidRPr="004A27A1">
        <w:rPr>
          <w:noProof w:val="0"/>
        </w:rPr>
        <w:t xml:space="preserve">The </w:t>
      </w:r>
      <w:r w:rsidRPr="004A27A1">
        <w:rPr>
          <w:rFonts w:cs="Arial"/>
          <w:noProof w:val="0"/>
        </w:rPr>
        <w:t>committee’s primary function is to provide the board with an independent view of the adequacy and effectiveness of NICE’s governance arrangements, including the system of internal controls, risk management and use of resources</w:t>
      </w:r>
      <w:r w:rsidR="009F60C4" w:rsidRPr="004A27A1">
        <w:rPr>
          <w:rFonts w:cs="Arial"/>
          <w:noProof w:val="0"/>
        </w:rPr>
        <w:t xml:space="preserve">, </w:t>
      </w:r>
      <w:r w:rsidR="00EA58C4" w:rsidRPr="004A27A1">
        <w:rPr>
          <w:rFonts w:cs="Arial"/>
          <w:noProof w:val="0"/>
        </w:rPr>
        <w:t xml:space="preserve">and </w:t>
      </w:r>
      <w:r w:rsidR="009F60C4" w:rsidRPr="004A27A1">
        <w:rPr>
          <w:rFonts w:cs="Arial"/>
          <w:noProof w:val="0"/>
        </w:rPr>
        <w:t>to make sure they remain effective and fit for purpose, whilst also ensuring there is a robust system of assurance to evidence it.</w:t>
      </w:r>
    </w:p>
    <w:p w14:paraId="20CF3524" w14:textId="17F4E495" w:rsidR="004B4705" w:rsidRPr="004A27A1" w:rsidRDefault="001556DE" w:rsidP="009A1B99">
      <w:pPr>
        <w:pStyle w:val="NICEnormalnumbered"/>
        <w:tabs>
          <w:tab w:val="clear" w:pos="426"/>
        </w:tabs>
        <w:ind w:left="426" w:hanging="284"/>
        <w:rPr>
          <w:noProof w:val="0"/>
        </w:rPr>
      </w:pPr>
      <w:r w:rsidRPr="004A27A1">
        <w:rPr>
          <w:rFonts w:cs="Arial"/>
          <w:noProof w:val="0"/>
        </w:rPr>
        <w:t>To</w:t>
      </w:r>
      <w:r w:rsidR="00575A7A" w:rsidRPr="004A27A1">
        <w:rPr>
          <w:rFonts w:cs="Arial"/>
          <w:noProof w:val="0"/>
        </w:rPr>
        <w:t xml:space="preserve"> discharge this function, the audit and risk </w:t>
      </w:r>
      <w:r w:rsidR="003D6F09" w:rsidRPr="004A27A1">
        <w:rPr>
          <w:rFonts w:cs="Arial"/>
          <w:noProof w:val="0"/>
        </w:rPr>
        <w:t xml:space="preserve">assurance </w:t>
      </w:r>
      <w:r w:rsidR="00575A7A" w:rsidRPr="004A27A1">
        <w:rPr>
          <w:rFonts w:cs="Arial"/>
          <w:noProof w:val="0"/>
        </w:rPr>
        <w:t xml:space="preserve">committee </w:t>
      </w:r>
      <w:r w:rsidR="001D2B4A" w:rsidRPr="004A27A1">
        <w:rPr>
          <w:rFonts w:cs="Arial"/>
          <w:noProof w:val="0"/>
        </w:rPr>
        <w:t xml:space="preserve">(ARAC) </w:t>
      </w:r>
      <w:r w:rsidR="00575A7A" w:rsidRPr="004A27A1">
        <w:rPr>
          <w:rFonts w:cs="Arial"/>
          <w:noProof w:val="0"/>
        </w:rPr>
        <w:t xml:space="preserve">prepares an annual report for the board and Accounting Officer. This report includes information provided by internal audit, external audit and other sources of assurance, </w:t>
      </w:r>
      <w:r w:rsidR="00FF338A" w:rsidRPr="004A27A1">
        <w:rPr>
          <w:rFonts w:cs="Arial"/>
          <w:noProof w:val="0"/>
        </w:rPr>
        <w:t>including</w:t>
      </w:r>
      <w:r w:rsidR="00575A7A" w:rsidRPr="004A27A1">
        <w:rPr>
          <w:rFonts w:cs="Arial"/>
          <w:noProof w:val="0"/>
        </w:rPr>
        <w:t xml:space="preserve"> reports from </w:t>
      </w:r>
      <w:r w:rsidR="009F6F6E" w:rsidRPr="004A27A1">
        <w:rPr>
          <w:rFonts w:cs="Arial"/>
          <w:noProof w:val="0"/>
        </w:rPr>
        <w:t xml:space="preserve">NICE’s </w:t>
      </w:r>
      <w:r w:rsidR="00575A7A" w:rsidRPr="004A27A1">
        <w:rPr>
          <w:rFonts w:cs="Arial"/>
          <w:noProof w:val="0"/>
        </w:rPr>
        <w:t>management</w:t>
      </w:r>
      <w:r w:rsidR="009F6F6E" w:rsidRPr="004A27A1">
        <w:rPr>
          <w:rFonts w:cs="Arial"/>
          <w:noProof w:val="0"/>
        </w:rPr>
        <w:t xml:space="preserve">. </w:t>
      </w:r>
    </w:p>
    <w:p w14:paraId="4836707B" w14:textId="2E8C3AA8" w:rsidR="004B4705" w:rsidRPr="004A27A1" w:rsidRDefault="002033A7" w:rsidP="003D3B28">
      <w:pPr>
        <w:pStyle w:val="Heading1boardreport"/>
      </w:pPr>
      <w:r w:rsidRPr="004A27A1">
        <w:t>Key issues</w:t>
      </w:r>
    </w:p>
    <w:p w14:paraId="1E75C97F" w14:textId="4695FED8" w:rsidR="004B4705" w:rsidRPr="004A27A1" w:rsidRDefault="002033A7" w:rsidP="00F232B7">
      <w:pPr>
        <w:pStyle w:val="Heading2"/>
      </w:pPr>
      <w:r w:rsidRPr="004A27A1">
        <w:t>Committee membership</w:t>
      </w:r>
    </w:p>
    <w:p w14:paraId="03478412" w14:textId="765C497C" w:rsidR="00F71B2C" w:rsidRPr="004A27A1" w:rsidRDefault="00FF338A" w:rsidP="00C54E9A">
      <w:pPr>
        <w:pStyle w:val="NICEnormalnumbered"/>
        <w:rPr>
          <w:noProof w:val="0"/>
        </w:rPr>
      </w:pPr>
      <w:r w:rsidRPr="004A27A1">
        <w:rPr>
          <w:noProof w:val="0"/>
        </w:rPr>
        <w:t>The</w:t>
      </w:r>
      <w:r w:rsidR="0096097E" w:rsidRPr="004A27A1">
        <w:rPr>
          <w:noProof w:val="0"/>
        </w:rPr>
        <w:t xml:space="preserve"> committee</w:t>
      </w:r>
      <w:r w:rsidR="00757F67" w:rsidRPr="004A27A1">
        <w:rPr>
          <w:noProof w:val="0"/>
        </w:rPr>
        <w:t>’s membership</w:t>
      </w:r>
      <w:r w:rsidR="0096097E" w:rsidRPr="004A27A1">
        <w:rPr>
          <w:noProof w:val="0"/>
        </w:rPr>
        <w:t xml:space="preserve"> </w:t>
      </w:r>
      <w:r w:rsidR="00757F67" w:rsidRPr="004A27A1">
        <w:rPr>
          <w:noProof w:val="0"/>
        </w:rPr>
        <w:t>changed</w:t>
      </w:r>
      <w:r w:rsidR="008D0BAD" w:rsidRPr="004A27A1">
        <w:rPr>
          <w:noProof w:val="0"/>
        </w:rPr>
        <w:t xml:space="preserve"> </w:t>
      </w:r>
      <w:r w:rsidR="007B1D88" w:rsidRPr="004A27A1">
        <w:rPr>
          <w:noProof w:val="0"/>
        </w:rPr>
        <w:t>during the year</w:t>
      </w:r>
      <w:r w:rsidR="00FF4B72" w:rsidRPr="004A27A1">
        <w:rPr>
          <w:noProof w:val="0"/>
        </w:rPr>
        <w:t xml:space="preserve"> </w:t>
      </w:r>
      <w:r w:rsidR="00971036" w:rsidRPr="004A27A1">
        <w:rPr>
          <w:noProof w:val="0"/>
        </w:rPr>
        <w:t>with the appointment of Keith Ridge and Frank Smith.</w:t>
      </w:r>
      <w:r w:rsidR="00FE0B93" w:rsidRPr="004A27A1">
        <w:rPr>
          <w:noProof w:val="0"/>
        </w:rPr>
        <w:t xml:space="preserve">  </w:t>
      </w:r>
      <w:r w:rsidR="006055F9" w:rsidRPr="004A27A1">
        <w:rPr>
          <w:noProof w:val="0"/>
        </w:rPr>
        <w:t xml:space="preserve">The committee chair Alina Lourie </w:t>
      </w:r>
      <w:r w:rsidR="00943C27" w:rsidRPr="004A27A1">
        <w:rPr>
          <w:noProof w:val="0"/>
        </w:rPr>
        <w:t xml:space="preserve">resigned from </w:t>
      </w:r>
      <w:r w:rsidR="00534269" w:rsidRPr="004A27A1">
        <w:rPr>
          <w:noProof w:val="0"/>
        </w:rPr>
        <w:t xml:space="preserve">the </w:t>
      </w:r>
      <w:r w:rsidR="00943C27" w:rsidRPr="004A27A1">
        <w:rPr>
          <w:noProof w:val="0"/>
        </w:rPr>
        <w:t>NICE</w:t>
      </w:r>
      <w:r w:rsidR="00474B4D" w:rsidRPr="004A27A1">
        <w:rPr>
          <w:noProof w:val="0"/>
        </w:rPr>
        <w:t xml:space="preserve"> </w:t>
      </w:r>
      <w:r w:rsidR="00534269" w:rsidRPr="004A27A1">
        <w:rPr>
          <w:noProof w:val="0"/>
        </w:rPr>
        <w:t xml:space="preserve">Board </w:t>
      </w:r>
      <w:r w:rsidR="00474B4D" w:rsidRPr="004A27A1">
        <w:rPr>
          <w:noProof w:val="0"/>
        </w:rPr>
        <w:t xml:space="preserve">in </w:t>
      </w:r>
      <w:r w:rsidR="00943C27" w:rsidRPr="004A27A1">
        <w:rPr>
          <w:noProof w:val="0"/>
        </w:rPr>
        <w:t>M</w:t>
      </w:r>
      <w:r w:rsidR="00474B4D" w:rsidRPr="004A27A1">
        <w:rPr>
          <w:noProof w:val="0"/>
        </w:rPr>
        <w:t>ar</w:t>
      </w:r>
      <w:r w:rsidR="00943C27" w:rsidRPr="004A27A1">
        <w:rPr>
          <w:noProof w:val="0"/>
        </w:rPr>
        <w:t>ch</w:t>
      </w:r>
      <w:r w:rsidR="00474B4D" w:rsidRPr="004A27A1">
        <w:rPr>
          <w:noProof w:val="0"/>
        </w:rPr>
        <w:t xml:space="preserve"> 2026</w:t>
      </w:r>
      <w:r w:rsidR="00D801B4" w:rsidRPr="004A27A1">
        <w:rPr>
          <w:noProof w:val="0"/>
        </w:rPr>
        <w:t xml:space="preserve">. </w:t>
      </w:r>
      <w:r w:rsidR="00FC5070" w:rsidRPr="004A27A1">
        <w:rPr>
          <w:noProof w:val="0"/>
        </w:rPr>
        <w:t>NICE is in discussions with the Department of Health and Social Care about the appointment of a new substantive committee chair</w:t>
      </w:r>
      <w:r w:rsidR="00BE718E" w:rsidRPr="004A27A1">
        <w:rPr>
          <w:noProof w:val="0"/>
        </w:rPr>
        <w:t>, with chairing duties shared among</w:t>
      </w:r>
      <w:r w:rsidR="00FC5070" w:rsidRPr="004A27A1">
        <w:rPr>
          <w:noProof w:val="0"/>
        </w:rPr>
        <w:t xml:space="preserve"> other committee members </w:t>
      </w:r>
      <w:r w:rsidR="00BE718E" w:rsidRPr="004A27A1">
        <w:rPr>
          <w:noProof w:val="0"/>
        </w:rPr>
        <w:t xml:space="preserve">in the interim. </w:t>
      </w:r>
    </w:p>
    <w:p w14:paraId="21560A26" w14:textId="5A78F7DC" w:rsidR="00F232B7" w:rsidRPr="004A27A1" w:rsidRDefault="00F232B7" w:rsidP="00C54E9A">
      <w:pPr>
        <w:pStyle w:val="NICEnormalnumbered"/>
        <w:rPr>
          <w:noProof w:val="0"/>
        </w:rPr>
      </w:pPr>
      <w:r w:rsidRPr="004A27A1">
        <w:rPr>
          <w:noProof w:val="0"/>
        </w:rPr>
        <w:t xml:space="preserve">In line with best practice, the Accounting Officer (the chief executive) and the director </w:t>
      </w:r>
      <w:r w:rsidR="003A5802" w:rsidRPr="004A27A1">
        <w:rPr>
          <w:noProof w:val="0"/>
        </w:rPr>
        <w:t xml:space="preserve">of finance </w:t>
      </w:r>
      <w:r w:rsidRPr="004A27A1">
        <w:rPr>
          <w:noProof w:val="0"/>
        </w:rPr>
        <w:t xml:space="preserve">routinely attended the committee’s meetings, as well as the </w:t>
      </w:r>
      <w:r w:rsidR="005677E8" w:rsidRPr="004A27A1">
        <w:rPr>
          <w:noProof w:val="0"/>
        </w:rPr>
        <w:t>head of internal audit</w:t>
      </w:r>
      <w:r w:rsidR="001A2DDE" w:rsidRPr="004A27A1">
        <w:rPr>
          <w:noProof w:val="0"/>
        </w:rPr>
        <w:t xml:space="preserve"> </w:t>
      </w:r>
      <w:r w:rsidRPr="004A27A1">
        <w:rPr>
          <w:noProof w:val="0"/>
        </w:rPr>
        <w:t>from the Government Internal Audit Agency and representatives of the external auditor</w:t>
      </w:r>
      <w:r w:rsidR="003F5FD0" w:rsidRPr="004A27A1">
        <w:rPr>
          <w:noProof w:val="0"/>
        </w:rPr>
        <w:t xml:space="preserve"> (</w:t>
      </w:r>
      <w:r w:rsidRPr="004A27A1">
        <w:rPr>
          <w:noProof w:val="0"/>
        </w:rPr>
        <w:t>the National Audit Office</w:t>
      </w:r>
      <w:r w:rsidR="00E46B0A" w:rsidRPr="004A27A1">
        <w:rPr>
          <w:noProof w:val="0"/>
        </w:rPr>
        <w:t xml:space="preserve"> and KPMG</w:t>
      </w:r>
      <w:r w:rsidR="003F5FD0" w:rsidRPr="004A27A1">
        <w:rPr>
          <w:noProof w:val="0"/>
        </w:rPr>
        <w:t>)</w:t>
      </w:r>
      <w:r w:rsidRPr="004A27A1">
        <w:rPr>
          <w:noProof w:val="0"/>
        </w:rPr>
        <w:t xml:space="preserve">.  The committee also continued to have close links with the Department of Health </w:t>
      </w:r>
      <w:r w:rsidR="00BE718E" w:rsidRPr="004A27A1">
        <w:rPr>
          <w:noProof w:val="0"/>
        </w:rPr>
        <w:t xml:space="preserve">and </w:t>
      </w:r>
      <w:r w:rsidRPr="004A27A1">
        <w:rPr>
          <w:noProof w:val="0"/>
        </w:rPr>
        <w:t>Social Care (DHSC), with the head of the NICE sponsor team regularly attending its meetings</w:t>
      </w:r>
      <w:r w:rsidR="00ED7F95" w:rsidRPr="004A27A1">
        <w:rPr>
          <w:noProof w:val="0"/>
        </w:rPr>
        <w:t>.</w:t>
      </w:r>
    </w:p>
    <w:p w14:paraId="292F94D4" w14:textId="7882FB0E" w:rsidR="00F232B7" w:rsidRPr="004A27A1" w:rsidRDefault="00F232B7" w:rsidP="00F232B7">
      <w:pPr>
        <w:pStyle w:val="Heading2"/>
      </w:pPr>
      <w:r w:rsidRPr="004A27A1">
        <w:t xml:space="preserve">Audit </w:t>
      </w:r>
      <w:r w:rsidR="00BE718E" w:rsidRPr="004A27A1">
        <w:t xml:space="preserve">and </w:t>
      </w:r>
      <w:r w:rsidRPr="004A27A1">
        <w:t xml:space="preserve">risk </w:t>
      </w:r>
      <w:r w:rsidR="003F0A74" w:rsidRPr="004A27A1">
        <w:t xml:space="preserve">assurance </w:t>
      </w:r>
      <w:r w:rsidRPr="004A27A1">
        <w:t>committee’s assessment</w:t>
      </w:r>
    </w:p>
    <w:p w14:paraId="0891E465" w14:textId="41693E66" w:rsidR="00F232B7" w:rsidRPr="004A27A1" w:rsidRDefault="00F232B7" w:rsidP="00F232B7">
      <w:pPr>
        <w:pStyle w:val="NICEnormalnumbered"/>
        <w:rPr>
          <w:noProof w:val="0"/>
        </w:rPr>
      </w:pPr>
      <w:r w:rsidRPr="004A27A1">
        <w:rPr>
          <w:rFonts w:cs="Arial"/>
          <w:noProof w:val="0"/>
        </w:rPr>
        <w:t xml:space="preserve">The assessment of the committee, </w:t>
      </w:r>
      <w:r w:rsidRPr="004A27A1">
        <w:rPr>
          <w:noProof w:val="0"/>
          <w:color w:val="000000"/>
        </w:rPr>
        <w:t xml:space="preserve">based on the totality of the work presented to it, including but not exclusively the internal and external audit work, </w:t>
      </w:r>
      <w:r w:rsidRPr="004A27A1">
        <w:rPr>
          <w:rFonts w:cs="Arial"/>
          <w:noProof w:val="0"/>
        </w:rPr>
        <w:t xml:space="preserve">is that financial reporting, internal control and governance processes are well designed, </w:t>
      </w:r>
      <w:r w:rsidR="009C5461" w:rsidRPr="004A27A1">
        <w:rPr>
          <w:rFonts w:cs="Arial"/>
          <w:noProof w:val="0"/>
        </w:rPr>
        <w:t xml:space="preserve">and </w:t>
      </w:r>
      <w:r w:rsidR="009933CF" w:rsidRPr="004A27A1">
        <w:rPr>
          <w:rFonts w:cs="Arial"/>
          <w:noProof w:val="0"/>
        </w:rPr>
        <w:t xml:space="preserve">are generally </w:t>
      </w:r>
      <w:r w:rsidRPr="004A27A1">
        <w:rPr>
          <w:rFonts w:cs="Arial"/>
          <w:noProof w:val="0"/>
        </w:rPr>
        <w:t>well managed and effective.</w:t>
      </w:r>
    </w:p>
    <w:p w14:paraId="008844E4" w14:textId="65A71580" w:rsidR="009B748A" w:rsidRPr="004A27A1" w:rsidRDefault="009B748A" w:rsidP="009B748A">
      <w:pPr>
        <w:pStyle w:val="Heading2"/>
      </w:pPr>
      <w:r w:rsidRPr="004A27A1">
        <w:lastRenderedPageBreak/>
        <w:t>Information supporting the committee’s opinion</w:t>
      </w:r>
    </w:p>
    <w:p w14:paraId="37D4E802" w14:textId="62439604" w:rsidR="009B748A" w:rsidRPr="004A27A1" w:rsidRDefault="009B748A" w:rsidP="00F232B7">
      <w:pPr>
        <w:pStyle w:val="NICEnormalnumbered"/>
        <w:rPr>
          <w:noProof w:val="0"/>
        </w:rPr>
      </w:pPr>
      <w:r w:rsidRPr="004A27A1">
        <w:rPr>
          <w:rFonts w:cs="Arial"/>
          <w:noProof w:val="0"/>
        </w:rPr>
        <w:t>Summarised below are the key sources of assurance that the committee has relied upon when formulating this opinion.</w:t>
      </w:r>
    </w:p>
    <w:p w14:paraId="4527DC8D" w14:textId="6512567D" w:rsidR="00AC0665" w:rsidRPr="004A27A1" w:rsidRDefault="00DF41A4" w:rsidP="00E24E43">
      <w:pPr>
        <w:pStyle w:val="Heading2boardreport"/>
        <w:rPr>
          <w:rFonts w:cs="Times New Roman"/>
          <w:sz w:val="26"/>
          <w:szCs w:val="26"/>
        </w:rPr>
      </w:pPr>
      <w:r w:rsidRPr="004A27A1">
        <w:rPr>
          <w:sz w:val="26"/>
          <w:szCs w:val="26"/>
        </w:rPr>
        <w:t>Internal controls</w:t>
      </w:r>
    </w:p>
    <w:p w14:paraId="7CDE25F0" w14:textId="16716B4B" w:rsidR="00233F3B" w:rsidRPr="004A27A1" w:rsidRDefault="00D81899" w:rsidP="00995971">
      <w:pPr>
        <w:pStyle w:val="NICEnormalnumbered"/>
        <w:rPr>
          <w:noProof w:val="0"/>
        </w:rPr>
      </w:pPr>
      <w:r w:rsidRPr="004A27A1">
        <w:rPr>
          <w:rFonts w:cs="Arial"/>
          <w:noProof w:val="0"/>
        </w:rPr>
        <w:t>Overall</w:t>
      </w:r>
      <w:r w:rsidR="00292BD6" w:rsidRPr="004A27A1">
        <w:rPr>
          <w:rFonts w:cs="Arial"/>
          <w:noProof w:val="0"/>
        </w:rPr>
        <w:t>,</w:t>
      </w:r>
      <w:r w:rsidR="00366E6E" w:rsidRPr="004A27A1">
        <w:rPr>
          <w:rFonts w:cs="Arial"/>
          <w:noProof w:val="0"/>
        </w:rPr>
        <w:t xml:space="preserve"> t</w:t>
      </w:r>
      <w:r w:rsidR="00E24E43" w:rsidRPr="004A27A1">
        <w:rPr>
          <w:rFonts w:cs="Arial"/>
          <w:noProof w:val="0"/>
        </w:rPr>
        <w:t>he committee</w:t>
      </w:r>
      <w:r w:rsidR="009F7250" w:rsidRPr="004A27A1">
        <w:rPr>
          <w:rFonts w:cs="Arial"/>
          <w:noProof w:val="0"/>
        </w:rPr>
        <w:t xml:space="preserve"> was </w:t>
      </w:r>
      <w:r w:rsidR="00233F3B" w:rsidRPr="004A27A1">
        <w:rPr>
          <w:rFonts w:cs="Arial"/>
          <w:noProof w:val="0"/>
        </w:rPr>
        <w:t xml:space="preserve">satisfied that the </w:t>
      </w:r>
      <w:r w:rsidR="009F7250" w:rsidRPr="004A27A1">
        <w:rPr>
          <w:rFonts w:cs="Arial"/>
          <w:noProof w:val="0"/>
        </w:rPr>
        <w:t xml:space="preserve">internal control </w:t>
      </w:r>
      <w:r w:rsidR="00233F3B" w:rsidRPr="004A27A1">
        <w:rPr>
          <w:rFonts w:cs="Arial"/>
          <w:noProof w:val="0"/>
        </w:rPr>
        <w:t xml:space="preserve">framework was </w:t>
      </w:r>
      <w:r w:rsidR="00292BD6" w:rsidRPr="004A27A1">
        <w:rPr>
          <w:rFonts w:cs="Arial"/>
          <w:noProof w:val="0"/>
        </w:rPr>
        <w:t xml:space="preserve">appropriately managed and effective.  </w:t>
      </w:r>
      <w:r w:rsidR="003D4A20" w:rsidRPr="004A27A1">
        <w:rPr>
          <w:rFonts w:cs="Arial"/>
          <w:noProof w:val="0"/>
        </w:rPr>
        <w:t>There was h</w:t>
      </w:r>
      <w:r w:rsidR="00292BD6" w:rsidRPr="004A27A1">
        <w:rPr>
          <w:rFonts w:cs="Arial"/>
          <w:noProof w:val="0"/>
        </w:rPr>
        <w:t xml:space="preserve">owever, one </w:t>
      </w:r>
      <w:r w:rsidR="00BE718E" w:rsidRPr="004A27A1">
        <w:rPr>
          <w:rFonts w:cs="Arial"/>
          <w:noProof w:val="0"/>
        </w:rPr>
        <w:t xml:space="preserve">instance of non-compliance with NICE’s statutory framework and </w:t>
      </w:r>
      <w:r w:rsidR="002910F0" w:rsidRPr="004A27A1">
        <w:rPr>
          <w:rFonts w:cs="Arial"/>
          <w:noProof w:val="0"/>
        </w:rPr>
        <w:t xml:space="preserve">internal standing orders and standing financial instructions relating to the past contractual arrangements </w:t>
      </w:r>
      <w:r w:rsidR="004B0EAD" w:rsidRPr="004A27A1">
        <w:rPr>
          <w:rFonts w:cs="Arial"/>
          <w:noProof w:val="0"/>
        </w:rPr>
        <w:t xml:space="preserve">for </w:t>
      </w:r>
      <w:r w:rsidR="002910F0" w:rsidRPr="004A27A1">
        <w:rPr>
          <w:rFonts w:cs="Arial"/>
          <w:noProof w:val="0"/>
        </w:rPr>
        <w:t>a senior member of staff. This was discussed by the Board and committee</w:t>
      </w:r>
      <w:r w:rsidR="00B925CA" w:rsidRPr="004A27A1">
        <w:rPr>
          <w:rFonts w:cs="Arial"/>
          <w:noProof w:val="0"/>
        </w:rPr>
        <w:t xml:space="preserve">, who both noted the issue had been resolved and </w:t>
      </w:r>
      <w:r w:rsidR="00910656" w:rsidRPr="004A27A1">
        <w:rPr>
          <w:rFonts w:cs="Arial"/>
          <w:noProof w:val="0"/>
        </w:rPr>
        <w:t xml:space="preserve">the </w:t>
      </w:r>
      <w:r w:rsidR="00B925CA" w:rsidRPr="004A27A1">
        <w:rPr>
          <w:rFonts w:cs="Arial"/>
          <w:noProof w:val="0"/>
        </w:rPr>
        <w:t xml:space="preserve">steps taken to prevent a future reoccurrence. </w:t>
      </w:r>
    </w:p>
    <w:p w14:paraId="6E5F9801" w14:textId="28ABA371" w:rsidR="0081080C" w:rsidRPr="004A27A1" w:rsidRDefault="00152C69" w:rsidP="00C423F1">
      <w:pPr>
        <w:pStyle w:val="NICEnormalnumbered"/>
        <w:rPr>
          <w:noProof w:val="0"/>
        </w:rPr>
      </w:pPr>
      <w:r w:rsidRPr="004A27A1">
        <w:rPr>
          <w:rFonts w:cs="Arial"/>
          <w:noProof w:val="0"/>
        </w:rPr>
        <w:t xml:space="preserve">The committee was pleased </w:t>
      </w:r>
      <w:r w:rsidR="00CC4C17" w:rsidRPr="004A27A1">
        <w:rPr>
          <w:rFonts w:cs="Arial"/>
          <w:noProof w:val="0"/>
        </w:rPr>
        <w:t xml:space="preserve">to </w:t>
      </w:r>
      <w:r w:rsidRPr="004A27A1">
        <w:rPr>
          <w:rFonts w:cs="Arial"/>
          <w:noProof w:val="0"/>
        </w:rPr>
        <w:t>note the ongoing</w:t>
      </w:r>
      <w:r w:rsidR="00DC0948" w:rsidRPr="004A27A1">
        <w:rPr>
          <w:rFonts w:cs="Arial"/>
          <w:noProof w:val="0"/>
        </w:rPr>
        <w:t>,</w:t>
      </w:r>
      <w:r w:rsidRPr="004A27A1">
        <w:rPr>
          <w:rFonts w:cs="Arial"/>
          <w:noProof w:val="0"/>
        </w:rPr>
        <w:t xml:space="preserve"> </w:t>
      </w:r>
      <w:r w:rsidR="00995971" w:rsidRPr="004A27A1">
        <w:rPr>
          <w:rFonts w:cs="Arial"/>
          <w:noProof w:val="0"/>
        </w:rPr>
        <w:t xml:space="preserve">strengthened process for the Accounting Officer to receive evidence-based assurance </w:t>
      </w:r>
      <w:r w:rsidR="00D96B1A" w:rsidRPr="004A27A1">
        <w:rPr>
          <w:rFonts w:cs="Arial"/>
          <w:noProof w:val="0"/>
        </w:rPr>
        <w:t xml:space="preserve">to underpin </w:t>
      </w:r>
      <w:r w:rsidR="00995971" w:rsidRPr="004A27A1">
        <w:rPr>
          <w:rFonts w:cs="Arial"/>
          <w:noProof w:val="0"/>
        </w:rPr>
        <w:t>the annual governance statement in the annual report and accounts</w:t>
      </w:r>
      <w:r w:rsidR="00FA26F0" w:rsidRPr="004A27A1">
        <w:rPr>
          <w:rFonts w:cs="Arial"/>
          <w:noProof w:val="0"/>
        </w:rPr>
        <w:t xml:space="preserve">.  A </w:t>
      </w:r>
      <w:r w:rsidR="00C2185E" w:rsidRPr="004A27A1">
        <w:rPr>
          <w:rFonts w:cs="Arial"/>
          <w:noProof w:val="0"/>
        </w:rPr>
        <w:t xml:space="preserve">year-end assurance </w:t>
      </w:r>
      <w:r w:rsidR="000609AE" w:rsidRPr="004A27A1">
        <w:rPr>
          <w:rFonts w:cs="Arial"/>
          <w:noProof w:val="0"/>
        </w:rPr>
        <w:t>process</w:t>
      </w:r>
      <w:r w:rsidR="00FA26F0" w:rsidRPr="004A27A1">
        <w:rPr>
          <w:rFonts w:cs="Arial"/>
          <w:noProof w:val="0"/>
        </w:rPr>
        <w:t xml:space="preserve"> </w:t>
      </w:r>
      <w:r w:rsidR="001B4289" w:rsidRPr="004A27A1">
        <w:rPr>
          <w:rFonts w:cs="Arial"/>
          <w:noProof w:val="0"/>
        </w:rPr>
        <w:t>is in place</w:t>
      </w:r>
      <w:r w:rsidR="00ED6EA1" w:rsidRPr="004A27A1">
        <w:rPr>
          <w:rFonts w:cs="Arial"/>
          <w:noProof w:val="0"/>
        </w:rPr>
        <w:t xml:space="preserve"> </w:t>
      </w:r>
      <w:r w:rsidR="00FA26F0" w:rsidRPr="004A27A1">
        <w:rPr>
          <w:rFonts w:cs="Arial"/>
          <w:noProof w:val="0"/>
        </w:rPr>
        <w:t xml:space="preserve">which </w:t>
      </w:r>
      <w:r w:rsidR="00115677" w:rsidRPr="004A27A1">
        <w:rPr>
          <w:rFonts w:cs="Arial"/>
          <w:noProof w:val="0"/>
        </w:rPr>
        <w:t xml:space="preserve">requires </w:t>
      </w:r>
      <w:r w:rsidR="0079522E" w:rsidRPr="004A27A1">
        <w:rPr>
          <w:rFonts w:cs="Arial"/>
          <w:noProof w:val="0"/>
        </w:rPr>
        <w:t>e</w:t>
      </w:r>
      <w:r w:rsidR="001609EA" w:rsidRPr="004A27A1">
        <w:rPr>
          <w:rFonts w:cs="Arial"/>
          <w:noProof w:val="0"/>
        </w:rPr>
        <w:t xml:space="preserve">ach director </w:t>
      </w:r>
      <w:r w:rsidR="00FA26F0" w:rsidRPr="004A27A1">
        <w:rPr>
          <w:rFonts w:cs="Arial"/>
          <w:noProof w:val="0"/>
        </w:rPr>
        <w:t xml:space="preserve">to </w:t>
      </w:r>
      <w:r w:rsidR="001609EA" w:rsidRPr="004A27A1">
        <w:rPr>
          <w:rFonts w:cs="Arial"/>
          <w:noProof w:val="0"/>
        </w:rPr>
        <w:t xml:space="preserve">complete a </w:t>
      </w:r>
      <w:r w:rsidR="00535FE1" w:rsidRPr="004A27A1">
        <w:rPr>
          <w:rFonts w:cs="Arial"/>
          <w:noProof w:val="0"/>
        </w:rPr>
        <w:t xml:space="preserve">comprehensive </w:t>
      </w:r>
      <w:r w:rsidR="001609EA" w:rsidRPr="004A27A1">
        <w:rPr>
          <w:rFonts w:cs="Arial"/>
          <w:noProof w:val="0"/>
        </w:rPr>
        <w:t>checklist</w:t>
      </w:r>
      <w:r w:rsidR="0079522E" w:rsidRPr="004A27A1">
        <w:rPr>
          <w:rFonts w:cs="Arial"/>
          <w:noProof w:val="0"/>
        </w:rPr>
        <w:t xml:space="preserve"> of control measures to confirm </w:t>
      </w:r>
      <w:r w:rsidR="00CF735E" w:rsidRPr="004A27A1">
        <w:rPr>
          <w:rFonts w:cs="Arial"/>
          <w:noProof w:val="0"/>
        </w:rPr>
        <w:t xml:space="preserve">compliance with all </w:t>
      </w:r>
      <w:r w:rsidR="001070D3" w:rsidRPr="004A27A1">
        <w:rPr>
          <w:rFonts w:cs="Arial"/>
          <w:noProof w:val="0"/>
        </w:rPr>
        <w:t>th</w:t>
      </w:r>
      <w:r w:rsidR="00535FE1" w:rsidRPr="004A27A1">
        <w:rPr>
          <w:rFonts w:cs="Arial"/>
          <w:noProof w:val="0"/>
        </w:rPr>
        <w:t>e</w:t>
      </w:r>
      <w:r w:rsidR="001070D3" w:rsidRPr="004A27A1">
        <w:rPr>
          <w:rFonts w:cs="Arial"/>
          <w:noProof w:val="0"/>
        </w:rPr>
        <w:t xml:space="preserve"> </w:t>
      </w:r>
      <w:r w:rsidR="00C74DB8" w:rsidRPr="004A27A1">
        <w:rPr>
          <w:rFonts w:cs="Arial"/>
          <w:noProof w:val="0"/>
        </w:rPr>
        <w:t xml:space="preserve">key controls </w:t>
      </w:r>
      <w:r w:rsidR="001070D3" w:rsidRPr="004A27A1">
        <w:rPr>
          <w:rFonts w:cs="Arial"/>
          <w:noProof w:val="0"/>
        </w:rPr>
        <w:t>within their responsibility.</w:t>
      </w:r>
      <w:r w:rsidR="005D0CA6" w:rsidRPr="004A27A1">
        <w:rPr>
          <w:rFonts w:cs="Arial"/>
          <w:noProof w:val="0"/>
        </w:rPr>
        <w:t xml:space="preserve"> </w:t>
      </w:r>
    </w:p>
    <w:p w14:paraId="6908EBCE" w14:textId="3E2D6036" w:rsidR="009B748A" w:rsidRPr="004A27A1" w:rsidRDefault="009B748A" w:rsidP="009B748A">
      <w:pPr>
        <w:pStyle w:val="Heading3boardreport"/>
      </w:pPr>
      <w:r w:rsidRPr="004A27A1">
        <w:t>Internal Audit</w:t>
      </w:r>
    </w:p>
    <w:p w14:paraId="69E8B962" w14:textId="5BB017A1" w:rsidR="009B748A" w:rsidRPr="004A27A1" w:rsidRDefault="00CC1E8F" w:rsidP="00F232B7">
      <w:pPr>
        <w:pStyle w:val="NICEnormalnumbered"/>
        <w:rPr>
          <w:noProof w:val="0"/>
        </w:rPr>
      </w:pPr>
      <w:r w:rsidRPr="004A27A1">
        <w:rPr>
          <w:rFonts w:cs="Arial"/>
          <w:noProof w:val="0"/>
        </w:rPr>
        <w:t>NICE’s internal audit service is provided by the Government Internal Audit Agency (GIAA), with the ability to commission additional specialist work if required for specific audits. NICE’s</w:t>
      </w:r>
      <w:r w:rsidR="009C079C" w:rsidRPr="004A27A1">
        <w:rPr>
          <w:rFonts w:cs="Arial"/>
          <w:noProof w:val="0"/>
        </w:rPr>
        <w:t xml:space="preserve"> </w:t>
      </w:r>
      <w:r w:rsidR="00F43B0B" w:rsidRPr="004A27A1">
        <w:rPr>
          <w:rFonts w:cs="Arial"/>
          <w:noProof w:val="0"/>
        </w:rPr>
        <w:t xml:space="preserve">head of internal audit continued to be </w:t>
      </w:r>
      <w:r w:rsidRPr="004A27A1">
        <w:rPr>
          <w:rFonts w:cs="Arial"/>
          <w:noProof w:val="0"/>
        </w:rPr>
        <w:t xml:space="preserve">Niki Parker.  The committee agreed an annual work programme for internal audit at the start of the year which included </w:t>
      </w:r>
      <w:r w:rsidR="00583E79" w:rsidRPr="004A27A1">
        <w:rPr>
          <w:rFonts w:cs="Arial"/>
          <w:noProof w:val="0"/>
        </w:rPr>
        <w:t>five</w:t>
      </w:r>
      <w:r w:rsidRPr="004A27A1">
        <w:rPr>
          <w:rFonts w:cs="Arial"/>
          <w:noProof w:val="0"/>
        </w:rPr>
        <w:t xml:space="preserve"> business areas to be reviewed.  </w:t>
      </w:r>
      <w:r w:rsidR="00700736" w:rsidRPr="004A27A1">
        <w:rPr>
          <w:rFonts w:cs="Arial"/>
          <w:noProof w:val="0"/>
        </w:rPr>
        <w:t>In addition, GIAA w</w:t>
      </w:r>
      <w:r w:rsidR="00AF6772" w:rsidRPr="004A27A1">
        <w:rPr>
          <w:rFonts w:cs="Arial"/>
          <w:noProof w:val="0"/>
        </w:rPr>
        <w:t>as</w:t>
      </w:r>
      <w:r w:rsidR="00700736" w:rsidRPr="004A27A1">
        <w:rPr>
          <w:rFonts w:cs="Arial"/>
          <w:noProof w:val="0"/>
        </w:rPr>
        <w:t xml:space="preserve"> engaged to undertake </w:t>
      </w:r>
      <w:r w:rsidRPr="004A27A1">
        <w:rPr>
          <w:rFonts w:cs="Arial"/>
          <w:noProof w:val="0"/>
        </w:rPr>
        <w:t xml:space="preserve">an audit of NICE’s Data Security and Protection Toolkit (DPST) submission </w:t>
      </w:r>
      <w:r w:rsidR="00700736" w:rsidRPr="004A27A1">
        <w:rPr>
          <w:rFonts w:cs="Arial"/>
          <w:noProof w:val="0"/>
        </w:rPr>
        <w:t xml:space="preserve">in line with NHS </w:t>
      </w:r>
      <w:r w:rsidR="00F43B0B" w:rsidRPr="004A27A1">
        <w:rPr>
          <w:rFonts w:cs="Arial"/>
          <w:noProof w:val="0"/>
        </w:rPr>
        <w:t xml:space="preserve">England </w:t>
      </w:r>
      <w:r w:rsidR="00700736" w:rsidRPr="004A27A1">
        <w:rPr>
          <w:rFonts w:cs="Arial"/>
          <w:noProof w:val="0"/>
        </w:rPr>
        <w:t xml:space="preserve">requirements. </w:t>
      </w:r>
    </w:p>
    <w:p w14:paraId="7767B38E" w14:textId="4809271B" w:rsidR="003C054C" w:rsidRPr="004A27A1" w:rsidRDefault="00AA5FD8" w:rsidP="005B53B0">
      <w:pPr>
        <w:pStyle w:val="NICEnormalnumbered"/>
        <w:ind w:left="357" w:hanging="357"/>
        <w:rPr>
          <w:rFonts w:cs="Arial"/>
          <w:noProof w:val="0"/>
        </w:rPr>
      </w:pPr>
      <w:r w:rsidRPr="004A27A1">
        <w:rPr>
          <w:rFonts w:cs="Arial"/>
          <w:noProof w:val="0"/>
        </w:rPr>
        <w:t>The head of internal audit will issue her annual opinion of assurance in June</w:t>
      </w:r>
      <w:r w:rsidR="00FD6EBD" w:rsidRPr="004A27A1">
        <w:rPr>
          <w:rFonts w:cs="Arial"/>
          <w:noProof w:val="0"/>
        </w:rPr>
        <w:t xml:space="preserve"> 2026</w:t>
      </w:r>
      <w:r w:rsidRPr="004A27A1">
        <w:rPr>
          <w:rFonts w:cs="Arial"/>
          <w:noProof w:val="0"/>
        </w:rPr>
        <w:t xml:space="preserve"> when the committee reviews the final version of the annual report and accounts for 202</w:t>
      </w:r>
      <w:r w:rsidR="00A227E2" w:rsidRPr="004A27A1">
        <w:rPr>
          <w:rFonts w:cs="Arial"/>
          <w:noProof w:val="0"/>
        </w:rPr>
        <w:t>5/26.</w:t>
      </w:r>
    </w:p>
    <w:p w14:paraId="6C06BA05" w14:textId="77777777" w:rsidR="003A571A" w:rsidRPr="004A27A1" w:rsidRDefault="003A571A">
      <w:pPr>
        <w:rPr>
          <w:rFonts w:ascii="Arial" w:hAnsi="Arial" w:cs="Arial"/>
          <w:lang w:eastAsia="en-GB"/>
        </w:rPr>
      </w:pPr>
      <w:r w:rsidRPr="004A27A1">
        <w:rPr>
          <w:rFonts w:cs="Arial"/>
        </w:rPr>
        <w:br w:type="page"/>
      </w:r>
    </w:p>
    <w:p w14:paraId="50A81BB0" w14:textId="6DC9A689" w:rsidR="00AA5FD8" w:rsidRPr="004A27A1" w:rsidRDefault="00AA5FD8" w:rsidP="00F32D1E">
      <w:pPr>
        <w:pStyle w:val="NICEnormalnumbered"/>
        <w:spacing w:after="120"/>
        <w:ind w:left="357" w:hanging="357"/>
        <w:rPr>
          <w:noProof w:val="0"/>
        </w:rPr>
      </w:pPr>
      <w:r w:rsidRPr="004A27A1">
        <w:rPr>
          <w:rFonts w:cs="Arial"/>
          <w:noProof w:val="0"/>
        </w:rPr>
        <w:lastRenderedPageBreak/>
        <w:t xml:space="preserve">The table below </w:t>
      </w:r>
      <w:r w:rsidR="006D79A6" w:rsidRPr="004A27A1">
        <w:rPr>
          <w:rFonts w:cs="Arial"/>
          <w:noProof w:val="0"/>
        </w:rPr>
        <w:t>summarises the</w:t>
      </w:r>
      <w:r w:rsidRPr="004A27A1">
        <w:rPr>
          <w:rFonts w:cs="Arial"/>
          <w:noProof w:val="0"/>
        </w:rPr>
        <w:t xml:space="preserve"> </w:t>
      </w:r>
      <w:r w:rsidR="006D79A6" w:rsidRPr="004A27A1">
        <w:rPr>
          <w:rFonts w:cs="Arial"/>
          <w:noProof w:val="0"/>
        </w:rPr>
        <w:t xml:space="preserve">internal </w:t>
      </w:r>
      <w:r w:rsidRPr="004A27A1">
        <w:rPr>
          <w:rFonts w:cs="Arial"/>
          <w:noProof w:val="0"/>
        </w:rPr>
        <w:t xml:space="preserve">audit work </w:t>
      </w:r>
      <w:r w:rsidR="006D79A6" w:rsidRPr="004A27A1">
        <w:rPr>
          <w:rFonts w:cs="Arial"/>
          <w:noProof w:val="0"/>
        </w:rPr>
        <w:t xml:space="preserve">and outcomes </w:t>
      </w:r>
      <w:r w:rsidRPr="004A27A1">
        <w:rPr>
          <w:rFonts w:cs="Arial"/>
          <w:noProof w:val="0"/>
        </w:rPr>
        <w:t xml:space="preserve">in </w:t>
      </w:r>
      <w:r w:rsidR="00983E48" w:rsidRPr="004A27A1">
        <w:rPr>
          <w:rFonts w:cs="Arial"/>
          <w:noProof w:val="0"/>
        </w:rPr>
        <w:t>202</w:t>
      </w:r>
      <w:r w:rsidR="00A227E2" w:rsidRPr="004A27A1">
        <w:rPr>
          <w:rFonts w:cs="Arial"/>
          <w:noProof w:val="0"/>
        </w:rPr>
        <w:t>5/26</w:t>
      </w:r>
      <w:r w:rsidR="00F32D1E" w:rsidRPr="004A27A1">
        <w:rPr>
          <w:rFonts w:cs="Arial"/>
          <w:noProof w:val="0"/>
        </w:rPr>
        <w:t>:</w:t>
      </w:r>
    </w:p>
    <w:p w14:paraId="512CE9F2" w14:textId="77777777" w:rsidR="00BB78BA" w:rsidRPr="004A27A1" w:rsidRDefault="00BB78BA" w:rsidP="00F32836">
      <w:pPr>
        <w:pStyle w:val="BodyTextIndent3"/>
        <w:keepNext/>
        <w:spacing w:after="120"/>
        <w:ind w:left="0" w:firstLine="425"/>
        <w:jc w:val="both"/>
        <w:rPr>
          <w:rFonts w:cs="Arial"/>
          <w:b/>
          <w:sz w:val="22"/>
          <w:szCs w:val="22"/>
          <w:u w:val="none"/>
        </w:rPr>
      </w:pPr>
      <w:r w:rsidRPr="004A27A1">
        <w:rPr>
          <w:rFonts w:cs="Arial"/>
          <w:b/>
          <w:sz w:val="22"/>
          <w:szCs w:val="22"/>
          <w:u w:val="none"/>
        </w:rPr>
        <w:t>Table 1 – Internal audit reviews</w:t>
      </w:r>
    </w:p>
    <w:tbl>
      <w:tblPr>
        <w:tblStyle w:val="TableGridLight"/>
        <w:tblW w:w="8505"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60"/>
        <w:gridCol w:w="992"/>
        <w:gridCol w:w="992"/>
        <w:gridCol w:w="992"/>
      </w:tblGrid>
      <w:tr w:rsidR="003C054C" w:rsidRPr="004A27A1" w14:paraId="5F258471" w14:textId="77777777" w:rsidTr="001714A5">
        <w:tc>
          <w:tcPr>
            <w:tcW w:w="3969" w:type="dxa"/>
            <w:shd w:val="clear" w:color="auto" w:fill="B4C6E7" w:themeFill="accent1" w:themeFillTint="66"/>
            <w:hideMark/>
          </w:tcPr>
          <w:p w14:paraId="319742FA" w14:textId="77777777" w:rsidR="003C054C" w:rsidRPr="004A27A1" w:rsidRDefault="003C054C" w:rsidP="00BB78BA">
            <w:pPr>
              <w:pStyle w:val="Paragraph"/>
              <w:numPr>
                <w:ilvl w:val="0"/>
                <w:numId w:val="0"/>
              </w:numPr>
              <w:spacing w:after="0" w:line="240" w:lineRule="auto"/>
              <w:ind w:left="68"/>
              <w:rPr>
                <w:b/>
                <w:bCs/>
                <w:noProof w:val="0"/>
              </w:rPr>
            </w:pPr>
            <w:r w:rsidRPr="004A27A1">
              <w:rPr>
                <w:b/>
                <w:bCs/>
                <w:noProof w:val="0"/>
              </w:rPr>
              <w:t>Business area</w:t>
            </w:r>
          </w:p>
        </w:tc>
        <w:tc>
          <w:tcPr>
            <w:tcW w:w="1560" w:type="dxa"/>
            <w:shd w:val="clear" w:color="auto" w:fill="B4C6E7" w:themeFill="accent1" w:themeFillTint="66"/>
            <w:hideMark/>
          </w:tcPr>
          <w:p w14:paraId="12F12DF7" w14:textId="77777777" w:rsidR="003C054C" w:rsidRPr="004A27A1" w:rsidRDefault="003C054C" w:rsidP="00BB78BA">
            <w:pPr>
              <w:pStyle w:val="Paragraph"/>
              <w:numPr>
                <w:ilvl w:val="0"/>
                <w:numId w:val="0"/>
              </w:numPr>
              <w:spacing w:after="0" w:line="240" w:lineRule="auto"/>
              <w:ind w:left="68"/>
              <w:rPr>
                <w:b/>
                <w:bCs/>
                <w:noProof w:val="0"/>
              </w:rPr>
            </w:pPr>
            <w:r w:rsidRPr="004A27A1">
              <w:rPr>
                <w:b/>
                <w:bCs/>
                <w:noProof w:val="0"/>
              </w:rPr>
              <w:t xml:space="preserve">Assurance rating </w:t>
            </w:r>
          </w:p>
        </w:tc>
        <w:tc>
          <w:tcPr>
            <w:tcW w:w="2976" w:type="dxa"/>
            <w:gridSpan w:val="3"/>
            <w:shd w:val="clear" w:color="auto" w:fill="B4C6E7" w:themeFill="accent1" w:themeFillTint="66"/>
            <w:hideMark/>
          </w:tcPr>
          <w:p w14:paraId="497D1899" w14:textId="77777777" w:rsidR="003C054C" w:rsidRPr="004A27A1" w:rsidRDefault="003C054C" w:rsidP="00BB78BA">
            <w:pPr>
              <w:pStyle w:val="Paragraph"/>
              <w:numPr>
                <w:ilvl w:val="0"/>
                <w:numId w:val="0"/>
              </w:numPr>
              <w:spacing w:after="0" w:line="240" w:lineRule="auto"/>
              <w:ind w:left="68"/>
              <w:rPr>
                <w:b/>
                <w:bCs/>
                <w:noProof w:val="0"/>
              </w:rPr>
            </w:pPr>
            <w:r w:rsidRPr="004A27A1">
              <w:rPr>
                <w:b/>
                <w:bCs/>
                <w:noProof w:val="0"/>
              </w:rPr>
              <w:t>Recommendations made</w:t>
            </w:r>
          </w:p>
        </w:tc>
      </w:tr>
      <w:tr w:rsidR="003C054C" w:rsidRPr="004A27A1" w14:paraId="679443E1" w14:textId="77777777" w:rsidTr="001714A5">
        <w:tc>
          <w:tcPr>
            <w:tcW w:w="3969" w:type="dxa"/>
          </w:tcPr>
          <w:p w14:paraId="3D56BB3E" w14:textId="77777777" w:rsidR="003C054C" w:rsidRPr="004A27A1" w:rsidRDefault="003C054C">
            <w:pPr>
              <w:pStyle w:val="Paragraph"/>
              <w:numPr>
                <w:ilvl w:val="0"/>
                <w:numId w:val="0"/>
              </w:numPr>
              <w:spacing w:before="60" w:after="60" w:line="240" w:lineRule="auto"/>
              <w:ind w:left="68"/>
              <w:rPr>
                <w:b/>
                <w:bCs/>
                <w:noProof w:val="0"/>
              </w:rPr>
            </w:pPr>
          </w:p>
        </w:tc>
        <w:tc>
          <w:tcPr>
            <w:tcW w:w="1560" w:type="dxa"/>
          </w:tcPr>
          <w:p w14:paraId="435A0B58" w14:textId="77777777" w:rsidR="003C054C" w:rsidRPr="004A27A1" w:rsidRDefault="003C054C">
            <w:pPr>
              <w:pStyle w:val="Paragraph"/>
              <w:numPr>
                <w:ilvl w:val="0"/>
                <w:numId w:val="0"/>
              </w:numPr>
              <w:spacing w:before="60" w:after="60" w:line="240" w:lineRule="auto"/>
              <w:ind w:left="68"/>
              <w:rPr>
                <w:b/>
                <w:bCs/>
                <w:noProof w:val="0"/>
              </w:rPr>
            </w:pPr>
          </w:p>
        </w:tc>
        <w:tc>
          <w:tcPr>
            <w:tcW w:w="992" w:type="dxa"/>
            <w:hideMark/>
          </w:tcPr>
          <w:p w14:paraId="7072164B" w14:textId="77777777" w:rsidR="003C054C" w:rsidRPr="004A27A1" w:rsidRDefault="003C054C">
            <w:pPr>
              <w:pStyle w:val="Paragraph"/>
              <w:numPr>
                <w:ilvl w:val="0"/>
                <w:numId w:val="0"/>
              </w:numPr>
              <w:spacing w:before="60" w:after="60" w:line="240" w:lineRule="auto"/>
              <w:ind w:left="68"/>
              <w:jc w:val="center"/>
              <w:rPr>
                <w:b/>
                <w:bCs/>
                <w:noProof w:val="0"/>
              </w:rPr>
            </w:pPr>
            <w:r w:rsidRPr="004A27A1">
              <w:rPr>
                <w:b/>
                <w:bCs/>
                <w:noProof w:val="0"/>
              </w:rPr>
              <w:t>High</w:t>
            </w:r>
          </w:p>
        </w:tc>
        <w:tc>
          <w:tcPr>
            <w:tcW w:w="992" w:type="dxa"/>
            <w:hideMark/>
          </w:tcPr>
          <w:p w14:paraId="63CE2797" w14:textId="77777777" w:rsidR="003C054C" w:rsidRPr="004A27A1" w:rsidRDefault="003C054C">
            <w:pPr>
              <w:pStyle w:val="Paragraph"/>
              <w:numPr>
                <w:ilvl w:val="0"/>
                <w:numId w:val="0"/>
              </w:numPr>
              <w:spacing w:before="60" w:after="60" w:line="240" w:lineRule="auto"/>
              <w:ind w:left="68"/>
              <w:jc w:val="center"/>
              <w:rPr>
                <w:b/>
                <w:bCs/>
                <w:noProof w:val="0"/>
              </w:rPr>
            </w:pPr>
            <w:r w:rsidRPr="004A27A1">
              <w:rPr>
                <w:b/>
                <w:bCs/>
                <w:noProof w:val="0"/>
              </w:rPr>
              <w:t>Med</w:t>
            </w:r>
          </w:p>
        </w:tc>
        <w:tc>
          <w:tcPr>
            <w:tcW w:w="992" w:type="dxa"/>
            <w:hideMark/>
          </w:tcPr>
          <w:p w14:paraId="76D1BEDE" w14:textId="77777777" w:rsidR="003C054C" w:rsidRPr="004A27A1" w:rsidRDefault="003C054C">
            <w:pPr>
              <w:pStyle w:val="Paragraph"/>
              <w:numPr>
                <w:ilvl w:val="0"/>
                <w:numId w:val="0"/>
              </w:numPr>
              <w:spacing w:before="60" w:after="60" w:line="240" w:lineRule="auto"/>
              <w:ind w:left="68"/>
              <w:jc w:val="center"/>
              <w:rPr>
                <w:b/>
                <w:bCs/>
                <w:noProof w:val="0"/>
              </w:rPr>
            </w:pPr>
            <w:r w:rsidRPr="004A27A1">
              <w:rPr>
                <w:b/>
                <w:bCs/>
                <w:noProof w:val="0"/>
              </w:rPr>
              <w:t>Low</w:t>
            </w:r>
          </w:p>
        </w:tc>
      </w:tr>
      <w:tr w:rsidR="003C054C" w:rsidRPr="004A27A1" w14:paraId="3BA42EFC" w14:textId="77777777" w:rsidTr="004F3A04">
        <w:tc>
          <w:tcPr>
            <w:tcW w:w="3969" w:type="dxa"/>
          </w:tcPr>
          <w:p w14:paraId="3DFD0B0B" w14:textId="2B445810" w:rsidR="003C054C" w:rsidRPr="004A27A1" w:rsidRDefault="00010353">
            <w:pPr>
              <w:pStyle w:val="Paragraph"/>
              <w:numPr>
                <w:ilvl w:val="0"/>
                <w:numId w:val="0"/>
              </w:numPr>
              <w:spacing w:before="60" w:after="60" w:line="240" w:lineRule="auto"/>
              <w:ind w:left="68"/>
              <w:rPr>
                <w:noProof w:val="0"/>
                <w:sz w:val="22"/>
                <w:szCs w:val="22"/>
              </w:rPr>
            </w:pPr>
            <w:r w:rsidRPr="004A27A1">
              <w:rPr>
                <w:noProof w:val="0"/>
                <w:sz w:val="22"/>
                <w:szCs w:val="22"/>
              </w:rPr>
              <w:t>Counter fraud and gifts &amp; hospitality</w:t>
            </w:r>
          </w:p>
        </w:tc>
        <w:tc>
          <w:tcPr>
            <w:tcW w:w="1560" w:type="dxa"/>
          </w:tcPr>
          <w:p w14:paraId="2F9D8BF3" w14:textId="627AAA1B" w:rsidR="003C054C" w:rsidRPr="004A27A1" w:rsidRDefault="007621B9" w:rsidP="00E444B5">
            <w:pPr>
              <w:pStyle w:val="Paragraph"/>
              <w:numPr>
                <w:ilvl w:val="0"/>
                <w:numId w:val="0"/>
              </w:numPr>
              <w:spacing w:before="60" w:after="60" w:line="240" w:lineRule="auto"/>
              <w:ind w:left="68"/>
              <w:jc w:val="center"/>
              <w:rPr>
                <w:noProof w:val="0"/>
                <w:sz w:val="22"/>
                <w:szCs w:val="22"/>
              </w:rPr>
            </w:pPr>
            <w:r w:rsidRPr="004A27A1">
              <w:rPr>
                <w:noProof w:val="0"/>
                <w:sz w:val="22"/>
                <w:szCs w:val="22"/>
              </w:rPr>
              <w:t>Moderate</w:t>
            </w:r>
          </w:p>
        </w:tc>
        <w:tc>
          <w:tcPr>
            <w:tcW w:w="992" w:type="dxa"/>
          </w:tcPr>
          <w:p w14:paraId="4A0EB2C8" w14:textId="168D3123" w:rsidR="003C054C" w:rsidRPr="004A27A1" w:rsidRDefault="00F17DBA">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c>
          <w:tcPr>
            <w:tcW w:w="992" w:type="dxa"/>
          </w:tcPr>
          <w:p w14:paraId="30ED83C4" w14:textId="0C1DF595" w:rsidR="003C054C" w:rsidRPr="004A27A1" w:rsidRDefault="00F17DBA">
            <w:pPr>
              <w:pStyle w:val="Paragraph"/>
              <w:numPr>
                <w:ilvl w:val="0"/>
                <w:numId w:val="0"/>
              </w:numPr>
              <w:spacing w:before="60" w:after="60" w:line="240" w:lineRule="auto"/>
              <w:ind w:left="68"/>
              <w:jc w:val="center"/>
              <w:rPr>
                <w:noProof w:val="0"/>
                <w:sz w:val="22"/>
                <w:szCs w:val="22"/>
              </w:rPr>
            </w:pPr>
            <w:r w:rsidRPr="004A27A1">
              <w:rPr>
                <w:noProof w:val="0"/>
                <w:sz w:val="22"/>
                <w:szCs w:val="22"/>
              </w:rPr>
              <w:t>4</w:t>
            </w:r>
          </w:p>
        </w:tc>
        <w:tc>
          <w:tcPr>
            <w:tcW w:w="992" w:type="dxa"/>
          </w:tcPr>
          <w:p w14:paraId="22E4B944" w14:textId="74630A40" w:rsidR="003C054C" w:rsidRPr="004A27A1" w:rsidRDefault="00F17DBA">
            <w:pPr>
              <w:pStyle w:val="Paragraph"/>
              <w:numPr>
                <w:ilvl w:val="0"/>
                <w:numId w:val="0"/>
              </w:numPr>
              <w:spacing w:before="60" w:after="60" w:line="240" w:lineRule="auto"/>
              <w:ind w:left="68"/>
              <w:jc w:val="center"/>
              <w:rPr>
                <w:noProof w:val="0"/>
                <w:sz w:val="22"/>
                <w:szCs w:val="22"/>
              </w:rPr>
            </w:pPr>
            <w:r w:rsidRPr="004A27A1">
              <w:rPr>
                <w:noProof w:val="0"/>
                <w:sz w:val="22"/>
                <w:szCs w:val="22"/>
              </w:rPr>
              <w:t>1</w:t>
            </w:r>
          </w:p>
        </w:tc>
      </w:tr>
      <w:tr w:rsidR="003C054C" w:rsidRPr="004A27A1" w14:paraId="78CB4AC2" w14:textId="77777777" w:rsidTr="004F3A04">
        <w:tc>
          <w:tcPr>
            <w:tcW w:w="3969" w:type="dxa"/>
          </w:tcPr>
          <w:p w14:paraId="24AB45C0" w14:textId="2CE50733" w:rsidR="003C054C" w:rsidRPr="004A27A1" w:rsidRDefault="00211741">
            <w:pPr>
              <w:pStyle w:val="Paragraph"/>
              <w:numPr>
                <w:ilvl w:val="0"/>
                <w:numId w:val="0"/>
              </w:numPr>
              <w:spacing w:before="60" w:after="60" w:line="240" w:lineRule="auto"/>
              <w:ind w:left="68"/>
              <w:rPr>
                <w:noProof w:val="0"/>
                <w:sz w:val="22"/>
                <w:szCs w:val="22"/>
              </w:rPr>
            </w:pPr>
            <w:r w:rsidRPr="004A27A1">
              <w:rPr>
                <w:noProof w:val="0"/>
                <w:sz w:val="22"/>
                <w:szCs w:val="22"/>
              </w:rPr>
              <w:t>Budget management</w:t>
            </w:r>
          </w:p>
        </w:tc>
        <w:tc>
          <w:tcPr>
            <w:tcW w:w="1560" w:type="dxa"/>
          </w:tcPr>
          <w:p w14:paraId="599FA62C" w14:textId="2B84F626" w:rsidR="003C054C" w:rsidRPr="004A27A1" w:rsidRDefault="004E37DC" w:rsidP="00E444B5">
            <w:pPr>
              <w:pStyle w:val="Paragraph"/>
              <w:numPr>
                <w:ilvl w:val="0"/>
                <w:numId w:val="0"/>
              </w:numPr>
              <w:spacing w:before="60" w:after="60" w:line="240" w:lineRule="auto"/>
              <w:ind w:left="68"/>
              <w:jc w:val="center"/>
              <w:rPr>
                <w:noProof w:val="0"/>
                <w:sz w:val="22"/>
                <w:szCs w:val="22"/>
              </w:rPr>
            </w:pPr>
            <w:r w:rsidRPr="004A27A1">
              <w:rPr>
                <w:noProof w:val="0"/>
                <w:sz w:val="22"/>
                <w:szCs w:val="22"/>
              </w:rPr>
              <w:t>Moderate</w:t>
            </w:r>
          </w:p>
        </w:tc>
        <w:tc>
          <w:tcPr>
            <w:tcW w:w="992" w:type="dxa"/>
          </w:tcPr>
          <w:p w14:paraId="5CB6D481" w14:textId="1E903718" w:rsidR="003C054C" w:rsidRPr="004A27A1" w:rsidRDefault="00BF6116">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c>
          <w:tcPr>
            <w:tcW w:w="992" w:type="dxa"/>
          </w:tcPr>
          <w:p w14:paraId="6D032FA1" w14:textId="01EE7747" w:rsidR="003C054C" w:rsidRPr="004A27A1" w:rsidRDefault="0035725C">
            <w:pPr>
              <w:pStyle w:val="Paragraph"/>
              <w:numPr>
                <w:ilvl w:val="0"/>
                <w:numId w:val="0"/>
              </w:numPr>
              <w:spacing w:before="60" w:after="60" w:line="240" w:lineRule="auto"/>
              <w:ind w:left="68"/>
              <w:jc w:val="center"/>
              <w:rPr>
                <w:noProof w:val="0"/>
                <w:sz w:val="22"/>
                <w:szCs w:val="22"/>
              </w:rPr>
            </w:pPr>
            <w:r w:rsidRPr="004A27A1">
              <w:rPr>
                <w:noProof w:val="0"/>
                <w:sz w:val="22"/>
                <w:szCs w:val="22"/>
              </w:rPr>
              <w:t>2</w:t>
            </w:r>
          </w:p>
        </w:tc>
        <w:tc>
          <w:tcPr>
            <w:tcW w:w="992" w:type="dxa"/>
          </w:tcPr>
          <w:p w14:paraId="2E471A5E" w14:textId="3462A155" w:rsidR="003C054C" w:rsidRPr="004A27A1" w:rsidRDefault="0035725C">
            <w:pPr>
              <w:pStyle w:val="Paragraph"/>
              <w:numPr>
                <w:ilvl w:val="0"/>
                <w:numId w:val="0"/>
              </w:numPr>
              <w:spacing w:before="60" w:after="60" w:line="240" w:lineRule="auto"/>
              <w:ind w:left="68"/>
              <w:jc w:val="center"/>
              <w:rPr>
                <w:noProof w:val="0"/>
                <w:sz w:val="22"/>
                <w:szCs w:val="22"/>
              </w:rPr>
            </w:pPr>
            <w:r w:rsidRPr="004A27A1">
              <w:rPr>
                <w:noProof w:val="0"/>
                <w:sz w:val="22"/>
                <w:szCs w:val="22"/>
              </w:rPr>
              <w:t>1</w:t>
            </w:r>
          </w:p>
        </w:tc>
      </w:tr>
      <w:tr w:rsidR="003C054C" w:rsidRPr="004A27A1" w14:paraId="309D7A13" w14:textId="77777777" w:rsidTr="004F3A04">
        <w:tc>
          <w:tcPr>
            <w:tcW w:w="3969" w:type="dxa"/>
          </w:tcPr>
          <w:p w14:paraId="29FFE0AD" w14:textId="3752D5F8" w:rsidR="003C054C" w:rsidRPr="004A27A1" w:rsidRDefault="00211741">
            <w:pPr>
              <w:pStyle w:val="Paragraph"/>
              <w:numPr>
                <w:ilvl w:val="0"/>
                <w:numId w:val="0"/>
              </w:numPr>
              <w:spacing w:before="60" w:after="60" w:line="240" w:lineRule="auto"/>
              <w:ind w:left="68"/>
              <w:rPr>
                <w:noProof w:val="0"/>
                <w:sz w:val="22"/>
                <w:szCs w:val="22"/>
              </w:rPr>
            </w:pPr>
            <w:r w:rsidRPr="004A27A1">
              <w:rPr>
                <w:noProof w:val="0"/>
                <w:sz w:val="22"/>
                <w:szCs w:val="22"/>
              </w:rPr>
              <w:t>Stakeholder management</w:t>
            </w:r>
          </w:p>
        </w:tc>
        <w:tc>
          <w:tcPr>
            <w:tcW w:w="1560" w:type="dxa"/>
          </w:tcPr>
          <w:p w14:paraId="585B0B69" w14:textId="60A5A302" w:rsidR="003C054C" w:rsidRPr="004A27A1" w:rsidRDefault="00995847" w:rsidP="00E444B5">
            <w:pPr>
              <w:pStyle w:val="Paragraph"/>
              <w:numPr>
                <w:ilvl w:val="0"/>
                <w:numId w:val="0"/>
              </w:numPr>
              <w:spacing w:before="60" w:after="60" w:line="240" w:lineRule="auto"/>
              <w:ind w:left="68"/>
              <w:jc w:val="center"/>
              <w:rPr>
                <w:noProof w:val="0"/>
                <w:sz w:val="22"/>
                <w:szCs w:val="22"/>
              </w:rPr>
            </w:pPr>
            <w:r w:rsidRPr="004A27A1">
              <w:rPr>
                <w:noProof w:val="0"/>
                <w:sz w:val="22"/>
                <w:szCs w:val="22"/>
              </w:rPr>
              <w:t>Moderate</w:t>
            </w:r>
          </w:p>
        </w:tc>
        <w:tc>
          <w:tcPr>
            <w:tcW w:w="992" w:type="dxa"/>
          </w:tcPr>
          <w:p w14:paraId="37D1AEAF" w14:textId="1D9E45C6" w:rsidR="003C054C" w:rsidRPr="004A27A1" w:rsidRDefault="00BF6116">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c>
          <w:tcPr>
            <w:tcW w:w="992" w:type="dxa"/>
          </w:tcPr>
          <w:p w14:paraId="02274CDD" w14:textId="56373244" w:rsidR="003C054C" w:rsidRPr="004A27A1" w:rsidRDefault="00BF6116">
            <w:pPr>
              <w:pStyle w:val="Paragraph"/>
              <w:numPr>
                <w:ilvl w:val="0"/>
                <w:numId w:val="0"/>
              </w:numPr>
              <w:spacing w:before="60" w:after="60" w:line="240" w:lineRule="auto"/>
              <w:ind w:left="68"/>
              <w:jc w:val="center"/>
              <w:rPr>
                <w:noProof w:val="0"/>
                <w:sz w:val="22"/>
                <w:szCs w:val="22"/>
              </w:rPr>
            </w:pPr>
            <w:r w:rsidRPr="004A27A1">
              <w:rPr>
                <w:noProof w:val="0"/>
                <w:sz w:val="22"/>
                <w:szCs w:val="22"/>
              </w:rPr>
              <w:t>6</w:t>
            </w:r>
          </w:p>
        </w:tc>
        <w:tc>
          <w:tcPr>
            <w:tcW w:w="992" w:type="dxa"/>
          </w:tcPr>
          <w:p w14:paraId="38BC733B" w14:textId="5BE77D4B" w:rsidR="003C054C" w:rsidRPr="004A27A1" w:rsidRDefault="00BF6116">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r>
      <w:tr w:rsidR="003C054C" w:rsidRPr="004A27A1" w14:paraId="7DDEE723" w14:textId="77777777" w:rsidTr="004F3A04">
        <w:tc>
          <w:tcPr>
            <w:tcW w:w="3969" w:type="dxa"/>
          </w:tcPr>
          <w:p w14:paraId="2460FB01" w14:textId="612CC158" w:rsidR="003C054C" w:rsidRPr="004A27A1" w:rsidRDefault="00332CCD">
            <w:pPr>
              <w:pStyle w:val="Paragraph"/>
              <w:numPr>
                <w:ilvl w:val="0"/>
                <w:numId w:val="0"/>
              </w:numPr>
              <w:spacing w:before="60" w:after="60" w:line="240" w:lineRule="auto"/>
              <w:ind w:left="68"/>
              <w:rPr>
                <w:noProof w:val="0"/>
                <w:sz w:val="22"/>
                <w:szCs w:val="22"/>
              </w:rPr>
            </w:pPr>
            <w:r w:rsidRPr="004A27A1">
              <w:rPr>
                <w:noProof w:val="0"/>
                <w:sz w:val="22"/>
                <w:szCs w:val="22"/>
              </w:rPr>
              <w:t>Incorporat</w:t>
            </w:r>
            <w:r w:rsidR="00A31005" w:rsidRPr="004A27A1">
              <w:rPr>
                <w:noProof w:val="0"/>
                <w:sz w:val="22"/>
                <w:szCs w:val="22"/>
              </w:rPr>
              <w:t>ion of TAs into guidelines</w:t>
            </w:r>
          </w:p>
        </w:tc>
        <w:tc>
          <w:tcPr>
            <w:tcW w:w="1560" w:type="dxa"/>
          </w:tcPr>
          <w:p w14:paraId="378A0F82" w14:textId="51EDF4F9" w:rsidR="003C054C" w:rsidRPr="004A27A1" w:rsidRDefault="00DA1C24" w:rsidP="00E444B5">
            <w:pPr>
              <w:pStyle w:val="Paragraph"/>
              <w:numPr>
                <w:ilvl w:val="0"/>
                <w:numId w:val="0"/>
              </w:numPr>
              <w:spacing w:before="60" w:after="60" w:line="240" w:lineRule="auto"/>
              <w:ind w:left="68"/>
              <w:jc w:val="center"/>
              <w:rPr>
                <w:noProof w:val="0"/>
                <w:sz w:val="22"/>
                <w:szCs w:val="22"/>
              </w:rPr>
            </w:pPr>
            <w:r w:rsidRPr="004A27A1">
              <w:rPr>
                <w:noProof w:val="0"/>
                <w:sz w:val="22"/>
                <w:szCs w:val="22"/>
              </w:rPr>
              <w:t>Moderate</w:t>
            </w:r>
          </w:p>
        </w:tc>
        <w:tc>
          <w:tcPr>
            <w:tcW w:w="992" w:type="dxa"/>
          </w:tcPr>
          <w:p w14:paraId="4681C644" w14:textId="03D9F9BA" w:rsidR="003C054C" w:rsidRPr="004A27A1" w:rsidRDefault="008E229C">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c>
          <w:tcPr>
            <w:tcW w:w="992" w:type="dxa"/>
          </w:tcPr>
          <w:p w14:paraId="7BA008F3" w14:textId="755246B3" w:rsidR="003C054C" w:rsidRPr="004A27A1" w:rsidRDefault="008B59EC">
            <w:pPr>
              <w:pStyle w:val="Paragraph"/>
              <w:numPr>
                <w:ilvl w:val="0"/>
                <w:numId w:val="0"/>
              </w:numPr>
              <w:spacing w:before="60" w:after="60" w:line="240" w:lineRule="auto"/>
              <w:ind w:left="68"/>
              <w:jc w:val="center"/>
              <w:rPr>
                <w:noProof w:val="0"/>
                <w:sz w:val="22"/>
                <w:szCs w:val="22"/>
              </w:rPr>
            </w:pPr>
            <w:r w:rsidRPr="004A27A1">
              <w:rPr>
                <w:noProof w:val="0"/>
                <w:sz w:val="22"/>
                <w:szCs w:val="22"/>
              </w:rPr>
              <w:t>3</w:t>
            </w:r>
          </w:p>
        </w:tc>
        <w:tc>
          <w:tcPr>
            <w:tcW w:w="992" w:type="dxa"/>
          </w:tcPr>
          <w:p w14:paraId="458441D8" w14:textId="706F41E7" w:rsidR="003C054C" w:rsidRPr="004A27A1" w:rsidRDefault="008B59EC">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r>
      <w:tr w:rsidR="001F772F" w:rsidRPr="004A27A1" w14:paraId="2510CB5C" w14:textId="77777777" w:rsidTr="00492B30">
        <w:tc>
          <w:tcPr>
            <w:tcW w:w="3969" w:type="dxa"/>
          </w:tcPr>
          <w:p w14:paraId="0DFD8719" w14:textId="5ADA199C" w:rsidR="001F772F" w:rsidRPr="004A27A1" w:rsidRDefault="00FD1E62">
            <w:pPr>
              <w:pStyle w:val="Paragraph"/>
              <w:numPr>
                <w:ilvl w:val="0"/>
                <w:numId w:val="0"/>
              </w:numPr>
              <w:spacing w:before="60" w:after="60" w:line="240" w:lineRule="auto"/>
              <w:ind w:left="68"/>
              <w:rPr>
                <w:noProof w:val="0"/>
                <w:sz w:val="22"/>
                <w:szCs w:val="22"/>
                <w:highlight w:val="yellow"/>
              </w:rPr>
            </w:pPr>
            <w:r w:rsidRPr="004A27A1">
              <w:rPr>
                <w:noProof w:val="0"/>
                <w:sz w:val="22"/>
                <w:szCs w:val="22"/>
              </w:rPr>
              <w:t>Cyber security</w:t>
            </w:r>
            <w:r w:rsidR="00A31005" w:rsidRPr="004A27A1">
              <w:rPr>
                <w:noProof w:val="0"/>
                <w:sz w:val="22"/>
                <w:szCs w:val="22"/>
              </w:rPr>
              <w:t xml:space="preserve"> (</w:t>
            </w:r>
            <w:r w:rsidR="00E444B5" w:rsidRPr="004A27A1">
              <w:rPr>
                <w:noProof w:val="0"/>
                <w:sz w:val="22"/>
                <w:szCs w:val="22"/>
              </w:rPr>
              <w:t>major incident planning</w:t>
            </w:r>
            <w:r w:rsidR="00A31005" w:rsidRPr="004A27A1">
              <w:rPr>
                <w:noProof w:val="0"/>
                <w:sz w:val="22"/>
                <w:szCs w:val="22"/>
              </w:rPr>
              <w:t>)</w:t>
            </w:r>
          </w:p>
        </w:tc>
        <w:tc>
          <w:tcPr>
            <w:tcW w:w="1560" w:type="dxa"/>
          </w:tcPr>
          <w:p w14:paraId="5234802E" w14:textId="3AABCCFE" w:rsidR="001F772F" w:rsidRPr="004A27A1" w:rsidRDefault="00E444B5" w:rsidP="00E444B5">
            <w:pPr>
              <w:pStyle w:val="Paragraph"/>
              <w:numPr>
                <w:ilvl w:val="0"/>
                <w:numId w:val="0"/>
              </w:numPr>
              <w:spacing w:before="60" w:after="60" w:line="240" w:lineRule="auto"/>
              <w:ind w:left="360" w:hanging="360"/>
              <w:jc w:val="center"/>
              <w:rPr>
                <w:noProof w:val="0"/>
                <w:sz w:val="22"/>
                <w:szCs w:val="22"/>
              </w:rPr>
            </w:pPr>
            <w:r w:rsidRPr="004A27A1">
              <w:rPr>
                <w:noProof w:val="0"/>
                <w:sz w:val="22"/>
                <w:szCs w:val="22"/>
              </w:rPr>
              <w:t xml:space="preserve"> Moderate</w:t>
            </w:r>
          </w:p>
        </w:tc>
        <w:tc>
          <w:tcPr>
            <w:tcW w:w="992" w:type="dxa"/>
          </w:tcPr>
          <w:p w14:paraId="43264418" w14:textId="0BF0A746" w:rsidR="001F772F" w:rsidRPr="004A27A1" w:rsidRDefault="00E15CDE">
            <w:pPr>
              <w:pStyle w:val="Paragraph"/>
              <w:numPr>
                <w:ilvl w:val="0"/>
                <w:numId w:val="0"/>
              </w:numPr>
              <w:spacing w:before="60" w:after="60" w:line="240" w:lineRule="auto"/>
              <w:ind w:left="68"/>
              <w:jc w:val="center"/>
              <w:rPr>
                <w:noProof w:val="0"/>
                <w:sz w:val="22"/>
                <w:szCs w:val="22"/>
              </w:rPr>
            </w:pPr>
            <w:r w:rsidRPr="004A27A1">
              <w:rPr>
                <w:noProof w:val="0"/>
                <w:sz w:val="22"/>
                <w:szCs w:val="22"/>
              </w:rPr>
              <w:t>-</w:t>
            </w:r>
          </w:p>
        </w:tc>
        <w:tc>
          <w:tcPr>
            <w:tcW w:w="992" w:type="dxa"/>
          </w:tcPr>
          <w:p w14:paraId="2E0F2F53" w14:textId="5FFB2672" w:rsidR="001F772F" w:rsidRPr="004A27A1" w:rsidRDefault="00E15CDE">
            <w:pPr>
              <w:pStyle w:val="Paragraph"/>
              <w:numPr>
                <w:ilvl w:val="0"/>
                <w:numId w:val="0"/>
              </w:numPr>
              <w:spacing w:before="60" w:after="60" w:line="240" w:lineRule="auto"/>
              <w:ind w:left="68"/>
              <w:jc w:val="center"/>
              <w:rPr>
                <w:noProof w:val="0"/>
                <w:sz w:val="22"/>
                <w:szCs w:val="22"/>
              </w:rPr>
            </w:pPr>
            <w:r w:rsidRPr="004A27A1">
              <w:rPr>
                <w:noProof w:val="0"/>
                <w:sz w:val="22"/>
                <w:szCs w:val="22"/>
              </w:rPr>
              <w:t>3</w:t>
            </w:r>
          </w:p>
        </w:tc>
        <w:tc>
          <w:tcPr>
            <w:tcW w:w="992" w:type="dxa"/>
          </w:tcPr>
          <w:p w14:paraId="17975E7E" w14:textId="40FED9A7" w:rsidR="001F772F" w:rsidRPr="004A27A1" w:rsidRDefault="00E15CDE">
            <w:pPr>
              <w:pStyle w:val="Paragraph"/>
              <w:numPr>
                <w:ilvl w:val="0"/>
                <w:numId w:val="0"/>
              </w:numPr>
              <w:spacing w:before="60" w:after="60" w:line="240" w:lineRule="auto"/>
              <w:ind w:left="68"/>
              <w:jc w:val="center"/>
              <w:rPr>
                <w:noProof w:val="0"/>
                <w:sz w:val="22"/>
                <w:szCs w:val="22"/>
              </w:rPr>
            </w:pPr>
            <w:r w:rsidRPr="004A27A1">
              <w:rPr>
                <w:noProof w:val="0"/>
                <w:sz w:val="22"/>
                <w:szCs w:val="22"/>
              </w:rPr>
              <w:t>4</w:t>
            </w:r>
          </w:p>
        </w:tc>
      </w:tr>
      <w:tr w:rsidR="00F54A7D" w:rsidRPr="004A27A1" w14:paraId="3A8DC1BE" w14:textId="77777777" w:rsidTr="00CE06D8">
        <w:tc>
          <w:tcPr>
            <w:tcW w:w="3969" w:type="dxa"/>
          </w:tcPr>
          <w:p w14:paraId="6B562A97" w14:textId="0D26BFD1" w:rsidR="00F54A7D" w:rsidRPr="004A27A1" w:rsidRDefault="00F54A7D">
            <w:pPr>
              <w:pStyle w:val="Paragraph"/>
              <w:numPr>
                <w:ilvl w:val="0"/>
                <w:numId w:val="0"/>
              </w:numPr>
              <w:spacing w:before="60" w:after="60" w:line="240" w:lineRule="auto"/>
              <w:ind w:left="68"/>
              <w:rPr>
                <w:noProof w:val="0"/>
                <w:sz w:val="22"/>
                <w:szCs w:val="22"/>
              </w:rPr>
            </w:pPr>
            <w:r w:rsidRPr="004A27A1">
              <w:rPr>
                <w:noProof w:val="0"/>
                <w:sz w:val="22"/>
                <w:szCs w:val="22"/>
              </w:rPr>
              <w:t>D</w:t>
            </w:r>
            <w:r w:rsidR="008028A1" w:rsidRPr="004A27A1">
              <w:rPr>
                <w:noProof w:val="0"/>
                <w:sz w:val="22"/>
                <w:szCs w:val="22"/>
              </w:rPr>
              <w:t xml:space="preserve">ata </w:t>
            </w:r>
            <w:r w:rsidRPr="004A27A1">
              <w:rPr>
                <w:noProof w:val="0"/>
                <w:sz w:val="22"/>
                <w:szCs w:val="22"/>
              </w:rPr>
              <w:t>S</w:t>
            </w:r>
            <w:r w:rsidR="008028A1" w:rsidRPr="004A27A1">
              <w:rPr>
                <w:noProof w:val="0"/>
                <w:sz w:val="22"/>
                <w:szCs w:val="22"/>
              </w:rPr>
              <w:t xml:space="preserve">ecurity &amp; </w:t>
            </w:r>
            <w:r w:rsidRPr="004A27A1">
              <w:rPr>
                <w:noProof w:val="0"/>
                <w:sz w:val="22"/>
                <w:szCs w:val="22"/>
              </w:rPr>
              <w:t>P</w:t>
            </w:r>
            <w:r w:rsidR="008028A1" w:rsidRPr="004A27A1">
              <w:rPr>
                <w:noProof w:val="0"/>
                <w:sz w:val="22"/>
                <w:szCs w:val="22"/>
              </w:rPr>
              <w:t xml:space="preserve">rotection </w:t>
            </w:r>
            <w:r w:rsidRPr="004A27A1">
              <w:rPr>
                <w:noProof w:val="0"/>
                <w:sz w:val="22"/>
                <w:szCs w:val="22"/>
              </w:rPr>
              <w:t>T</w:t>
            </w:r>
            <w:r w:rsidR="008028A1" w:rsidRPr="004A27A1">
              <w:rPr>
                <w:noProof w:val="0"/>
                <w:sz w:val="22"/>
                <w:szCs w:val="22"/>
              </w:rPr>
              <w:t>oolkit</w:t>
            </w:r>
          </w:p>
        </w:tc>
        <w:tc>
          <w:tcPr>
            <w:tcW w:w="4536" w:type="dxa"/>
            <w:gridSpan w:val="4"/>
          </w:tcPr>
          <w:p w14:paraId="3F245154" w14:textId="371D6DEF" w:rsidR="00F54A7D" w:rsidRPr="004A27A1" w:rsidRDefault="0065188F" w:rsidP="0065188F">
            <w:pPr>
              <w:pStyle w:val="Paragraph"/>
              <w:numPr>
                <w:ilvl w:val="0"/>
                <w:numId w:val="0"/>
              </w:numPr>
              <w:spacing w:before="60" w:after="60" w:line="240" w:lineRule="auto"/>
              <w:ind w:left="68"/>
              <w:jc w:val="both"/>
              <w:rPr>
                <w:noProof w:val="0"/>
                <w:sz w:val="22"/>
                <w:szCs w:val="22"/>
              </w:rPr>
            </w:pPr>
            <w:r w:rsidRPr="004A27A1">
              <w:rPr>
                <w:noProof w:val="0"/>
                <w:sz w:val="22"/>
                <w:szCs w:val="22"/>
              </w:rPr>
              <w:t>Risk assessment:</w:t>
            </w:r>
            <w:r w:rsidR="008028A1" w:rsidRPr="004A27A1">
              <w:rPr>
                <w:noProof w:val="0"/>
                <w:sz w:val="22"/>
                <w:szCs w:val="22"/>
              </w:rPr>
              <w:tab/>
              <w:t>High</w:t>
            </w:r>
          </w:p>
          <w:p w14:paraId="515810EA" w14:textId="10CBB8E1" w:rsidR="0065188F" w:rsidRPr="004A27A1" w:rsidRDefault="0065188F" w:rsidP="0065188F">
            <w:pPr>
              <w:pStyle w:val="Paragraph"/>
              <w:numPr>
                <w:ilvl w:val="0"/>
                <w:numId w:val="0"/>
              </w:numPr>
              <w:spacing w:before="60" w:after="60" w:line="240" w:lineRule="auto"/>
              <w:ind w:left="68"/>
              <w:jc w:val="both"/>
              <w:rPr>
                <w:noProof w:val="0"/>
                <w:sz w:val="22"/>
                <w:szCs w:val="22"/>
              </w:rPr>
            </w:pPr>
            <w:r w:rsidRPr="004A27A1">
              <w:rPr>
                <w:noProof w:val="0"/>
                <w:sz w:val="22"/>
                <w:szCs w:val="22"/>
              </w:rPr>
              <w:t>Confidence level</w:t>
            </w:r>
            <w:r w:rsidR="00304027" w:rsidRPr="004A27A1">
              <w:rPr>
                <w:noProof w:val="0"/>
                <w:sz w:val="22"/>
                <w:szCs w:val="22"/>
              </w:rPr>
              <w:t xml:space="preserve">: </w:t>
            </w:r>
            <w:r w:rsidR="00F433CD" w:rsidRPr="004A27A1">
              <w:rPr>
                <w:noProof w:val="0"/>
                <w:sz w:val="22"/>
                <w:szCs w:val="22"/>
              </w:rPr>
              <w:tab/>
              <w:t>Medium</w:t>
            </w:r>
          </w:p>
        </w:tc>
      </w:tr>
      <w:tr w:rsidR="003C054C" w:rsidRPr="004A27A1" w14:paraId="406CC19B" w14:textId="77777777" w:rsidTr="00492B30">
        <w:tc>
          <w:tcPr>
            <w:tcW w:w="5529" w:type="dxa"/>
            <w:gridSpan w:val="2"/>
            <w:hideMark/>
          </w:tcPr>
          <w:p w14:paraId="11FF5460" w14:textId="73BECCF3" w:rsidR="003C054C" w:rsidRPr="004A27A1" w:rsidRDefault="003C054C">
            <w:pPr>
              <w:pStyle w:val="Paragraph"/>
              <w:numPr>
                <w:ilvl w:val="0"/>
                <w:numId w:val="0"/>
              </w:numPr>
              <w:spacing w:before="60" w:after="60" w:line="240" w:lineRule="auto"/>
              <w:ind w:left="68"/>
              <w:jc w:val="right"/>
              <w:rPr>
                <w:noProof w:val="0"/>
              </w:rPr>
            </w:pPr>
            <w:r w:rsidRPr="004A27A1">
              <w:rPr>
                <w:b/>
                <w:bCs/>
                <w:noProof w:val="0"/>
              </w:rPr>
              <w:t>Total recommendations =</w:t>
            </w:r>
            <w:r w:rsidR="00E70B0A" w:rsidRPr="004A27A1">
              <w:rPr>
                <w:b/>
                <w:bCs/>
                <w:noProof w:val="0"/>
              </w:rPr>
              <w:t xml:space="preserve"> </w:t>
            </w:r>
            <w:r w:rsidR="000F4970" w:rsidRPr="004A27A1">
              <w:rPr>
                <w:b/>
                <w:bCs/>
                <w:noProof w:val="0"/>
              </w:rPr>
              <w:t>24</w:t>
            </w:r>
            <w:r w:rsidR="00884250" w:rsidRPr="004A27A1">
              <w:rPr>
                <w:b/>
                <w:bCs/>
                <w:noProof w:val="0"/>
              </w:rPr>
              <w:t xml:space="preserve"> </w:t>
            </w:r>
            <w:r w:rsidR="00BC0325" w:rsidRPr="004A27A1">
              <w:rPr>
                <w:b/>
                <w:bCs/>
                <w:noProof w:val="0"/>
              </w:rPr>
              <w:t xml:space="preserve"> </w:t>
            </w:r>
            <w:r w:rsidRPr="004A27A1">
              <w:rPr>
                <w:b/>
                <w:bCs/>
                <w:noProof w:val="0"/>
              </w:rPr>
              <w:t xml:space="preserve"> </w:t>
            </w:r>
          </w:p>
        </w:tc>
        <w:tc>
          <w:tcPr>
            <w:tcW w:w="992" w:type="dxa"/>
          </w:tcPr>
          <w:p w14:paraId="0B54A119" w14:textId="2559E3E0" w:rsidR="003C054C" w:rsidRPr="004A27A1" w:rsidRDefault="003C054C" w:rsidP="003F4D50">
            <w:pPr>
              <w:pStyle w:val="Paragraph"/>
              <w:numPr>
                <w:ilvl w:val="0"/>
                <w:numId w:val="0"/>
              </w:numPr>
              <w:spacing w:before="60" w:after="60" w:line="240" w:lineRule="auto"/>
              <w:ind w:left="68"/>
              <w:jc w:val="center"/>
              <w:rPr>
                <w:b/>
                <w:bCs/>
                <w:noProof w:val="0"/>
              </w:rPr>
            </w:pPr>
          </w:p>
        </w:tc>
        <w:tc>
          <w:tcPr>
            <w:tcW w:w="992" w:type="dxa"/>
          </w:tcPr>
          <w:p w14:paraId="48B4F4BA" w14:textId="56F2E939" w:rsidR="003C054C" w:rsidRPr="004A27A1" w:rsidRDefault="00D173C3" w:rsidP="003F4D50">
            <w:pPr>
              <w:pStyle w:val="Paragraph"/>
              <w:numPr>
                <w:ilvl w:val="0"/>
                <w:numId w:val="0"/>
              </w:numPr>
              <w:spacing w:before="60" w:after="60" w:line="240" w:lineRule="auto"/>
              <w:ind w:left="68"/>
              <w:jc w:val="center"/>
              <w:rPr>
                <w:b/>
                <w:bCs/>
                <w:noProof w:val="0"/>
              </w:rPr>
            </w:pPr>
            <w:r w:rsidRPr="004A27A1">
              <w:rPr>
                <w:b/>
                <w:bCs/>
                <w:noProof w:val="0"/>
              </w:rPr>
              <w:t>1</w:t>
            </w:r>
            <w:r w:rsidR="000F4970" w:rsidRPr="004A27A1">
              <w:rPr>
                <w:b/>
                <w:bCs/>
                <w:noProof w:val="0"/>
              </w:rPr>
              <w:t>8</w:t>
            </w:r>
          </w:p>
        </w:tc>
        <w:tc>
          <w:tcPr>
            <w:tcW w:w="992" w:type="dxa"/>
          </w:tcPr>
          <w:p w14:paraId="611D69B2" w14:textId="3D596F16" w:rsidR="003C054C" w:rsidRPr="004A27A1" w:rsidRDefault="000F4970" w:rsidP="003F4D50">
            <w:pPr>
              <w:pStyle w:val="Paragraph"/>
              <w:numPr>
                <w:ilvl w:val="0"/>
                <w:numId w:val="0"/>
              </w:numPr>
              <w:spacing w:before="60" w:after="60" w:line="240" w:lineRule="auto"/>
              <w:ind w:left="68"/>
              <w:jc w:val="center"/>
              <w:rPr>
                <w:b/>
                <w:bCs/>
                <w:noProof w:val="0"/>
              </w:rPr>
            </w:pPr>
            <w:r w:rsidRPr="004A27A1">
              <w:rPr>
                <w:b/>
                <w:bCs/>
                <w:noProof w:val="0"/>
              </w:rPr>
              <w:t>6</w:t>
            </w:r>
          </w:p>
        </w:tc>
      </w:tr>
      <w:tr w:rsidR="003C054C" w:rsidRPr="004A27A1" w14:paraId="106E90D5" w14:textId="77777777" w:rsidTr="001714A5">
        <w:tc>
          <w:tcPr>
            <w:tcW w:w="5529" w:type="dxa"/>
            <w:gridSpan w:val="2"/>
          </w:tcPr>
          <w:p w14:paraId="274C3F63" w14:textId="7298C3E6" w:rsidR="003C054C" w:rsidRPr="004A27A1" w:rsidRDefault="003C054C">
            <w:pPr>
              <w:pStyle w:val="Paragraph"/>
              <w:numPr>
                <w:ilvl w:val="0"/>
                <w:numId w:val="0"/>
              </w:numPr>
              <w:spacing w:before="60" w:after="60" w:line="240" w:lineRule="auto"/>
              <w:ind w:left="68"/>
              <w:jc w:val="right"/>
              <w:rPr>
                <w:noProof w:val="0"/>
              </w:rPr>
            </w:pPr>
            <w:r w:rsidRPr="004A27A1">
              <w:rPr>
                <w:noProof w:val="0"/>
              </w:rPr>
              <w:t xml:space="preserve"> (202</w:t>
            </w:r>
            <w:r w:rsidR="00231AA4" w:rsidRPr="004A27A1">
              <w:rPr>
                <w:noProof w:val="0"/>
              </w:rPr>
              <w:t>4</w:t>
            </w:r>
            <w:r w:rsidRPr="004A27A1">
              <w:rPr>
                <w:noProof w:val="0"/>
              </w:rPr>
              <w:t>/2</w:t>
            </w:r>
            <w:r w:rsidR="00231AA4" w:rsidRPr="004A27A1">
              <w:rPr>
                <w:noProof w:val="0"/>
              </w:rPr>
              <w:t>5</w:t>
            </w:r>
            <w:r w:rsidRPr="004A27A1">
              <w:rPr>
                <w:noProof w:val="0"/>
              </w:rPr>
              <w:t xml:space="preserve"> </w:t>
            </w:r>
            <w:r w:rsidR="000A00CB" w:rsidRPr="004A27A1">
              <w:rPr>
                <w:noProof w:val="0"/>
              </w:rPr>
              <w:t>= 4</w:t>
            </w:r>
            <w:r w:rsidR="00231AA4" w:rsidRPr="004A27A1">
              <w:rPr>
                <w:noProof w:val="0"/>
              </w:rPr>
              <w:t>0</w:t>
            </w:r>
            <w:r w:rsidRPr="004A27A1">
              <w:rPr>
                <w:noProof w:val="0"/>
              </w:rPr>
              <w:t xml:space="preserve">) </w:t>
            </w:r>
          </w:p>
        </w:tc>
        <w:tc>
          <w:tcPr>
            <w:tcW w:w="992" w:type="dxa"/>
          </w:tcPr>
          <w:p w14:paraId="332877E8" w14:textId="439315E6" w:rsidR="003C054C" w:rsidRPr="004A27A1" w:rsidRDefault="00231AA4" w:rsidP="003F4D50">
            <w:pPr>
              <w:pStyle w:val="Paragraph"/>
              <w:numPr>
                <w:ilvl w:val="0"/>
                <w:numId w:val="0"/>
              </w:numPr>
              <w:spacing w:before="60" w:after="60" w:line="240" w:lineRule="auto"/>
              <w:ind w:left="68"/>
              <w:jc w:val="center"/>
              <w:rPr>
                <w:noProof w:val="0"/>
              </w:rPr>
            </w:pPr>
            <w:r w:rsidRPr="004A27A1">
              <w:rPr>
                <w:noProof w:val="0"/>
              </w:rPr>
              <w:t>1</w:t>
            </w:r>
          </w:p>
        </w:tc>
        <w:tc>
          <w:tcPr>
            <w:tcW w:w="992" w:type="dxa"/>
          </w:tcPr>
          <w:p w14:paraId="328CC8F0" w14:textId="5237B3E3" w:rsidR="003C054C" w:rsidRPr="004A27A1" w:rsidRDefault="004F3A04" w:rsidP="003F4D50">
            <w:pPr>
              <w:pStyle w:val="Paragraph"/>
              <w:numPr>
                <w:ilvl w:val="0"/>
                <w:numId w:val="0"/>
              </w:numPr>
              <w:spacing w:before="60" w:after="60" w:line="240" w:lineRule="auto"/>
              <w:ind w:left="68"/>
              <w:jc w:val="center"/>
              <w:rPr>
                <w:noProof w:val="0"/>
              </w:rPr>
            </w:pPr>
            <w:r w:rsidRPr="004A27A1">
              <w:rPr>
                <w:noProof w:val="0"/>
              </w:rPr>
              <w:t>2</w:t>
            </w:r>
            <w:r w:rsidR="00231AA4" w:rsidRPr="004A27A1">
              <w:rPr>
                <w:noProof w:val="0"/>
              </w:rPr>
              <w:t>7</w:t>
            </w:r>
          </w:p>
        </w:tc>
        <w:tc>
          <w:tcPr>
            <w:tcW w:w="992" w:type="dxa"/>
          </w:tcPr>
          <w:p w14:paraId="5E0567DE" w14:textId="2B9F1FDE" w:rsidR="003C054C" w:rsidRPr="004A27A1" w:rsidRDefault="004F3A04" w:rsidP="003F4D50">
            <w:pPr>
              <w:pStyle w:val="Paragraph"/>
              <w:numPr>
                <w:ilvl w:val="0"/>
                <w:numId w:val="0"/>
              </w:numPr>
              <w:spacing w:before="60" w:after="60" w:line="240" w:lineRule="auto"/>
              <w:ind w:left="68"/>
              <w:jc w:val="center"/>
              <w:rPr>
                <w:noProof w:val="0"/>
              </w:rPr>
            </w:pPr>
            <w:r w:rsidRPr="004A27A1">
              <w:rPr>
                <w:noProof w:val="0"/>
              </w:rPr>
              <w:t>1</w:t>
            </w:r>
            <w:r w:rsidR="00231AA4" w:rsidRPr="004A27A1">
              <w:rPr>
                <w:noProof w:val="0"/>
              </w:rPr>
              <w:t>2</w:t>
            </w:r>
          </w:p>
        </w:tc>
      </w:tr>
    </w:tbl>
    <w:p w14:paraId="24BB5464" w14:textId="735A6E4E" w:rsidR="006C5285" w:rsidRPr="004A27A1" w:rsidRDefault="006C5285" w:rsidP="003B02C4">
      <w:pPr>
        <w:pStyle w:val="NICEnormalnumbered"/>
        <w:spacing w:before="480"/>
        <w:ind w:left="357" w:hanging="357"/>
        <w:rPr>
          <w:noProof w:val="0"/>
        </w:rPr>
      </w:pPr>
      <w:r w:rsidRPr="004A27A1">
        <w:rPr>
          <w:noProof w:val="0"/>
        </w:rPr>
        <w:t>Throughout the year, recommended actions arising from internal audit reports are monitored to ensure robust follow-up. At the time of writing</w:t>
      </w:r>
      <w:r w:rsidR="001C2BE0" w:rsidRPr="004A27A1">
        <w:rPr>
          <w:noProof w:val="0"/>
        </w:rPr>
        <w:t xml:space="preserve">, there were no overdue actions from 2025/26, </w:t>
      </w:r>
      <w:r w:rsidRPr="004A27A1">
        <w:rPr>
          <w:noProof w:val="0"/>
        </w:rPr>
        <w:t xml:space="preserve">with </w:t>
      </w:r>
      <w:r w:rsidR="001C2BE0" w:rsidRPr="004A27A1">
        <w:rPr>
          <w:noProof w:val="0"/>
        </w:rPr>
        <w:t>one</w:t>
      </w:r>
      <w:r w:rsidR="00EA3209" w:rsidRPr="004A27A1">
        <w:rPr>
          <w:noProof w:val="0"/>
        </w:rPr>
        <w:t xml:space="preserve"> action </w:t>
      </w:r>
      <w:r w:rsidR="003D2A90" w:rsidRPr="004A27A1">
        <w:rPr>
          <w:noProof w:val="0"/>
        </w:rPr>
        <w:t>outstanding</w:t>
      </w:r>
      <w:r w:rsidR="00EA3209" w:rsidRPr="004A27A1">
        <w:rPr>
          <w:noProof w:val="0"/>
        </w:rPr>
        <w:t xml:space="preserve"> from 202</w:t>
      </w:r>
      <w:r w:rsidR="001C2BE0" w:rsidRPr="004A27A1">
        <w:rPr>
          <w:noProof w:val="0"/>
        </w:rPr>
        <w:t>4/25</w:t>
      </w:r>
      <w:r w:rsidR="003D2A90" w:rsidRPr="004A27A1">
        <w:rPr>
          <w:noProof w:val="0"/>
        </w:rPr>
        <w:t>.</w:t>
      </w:r>
    </w:p>
    <w:p w14:paraId="4D568EBF" w14:textId="77777777" w:rsidR="00F95C3C" w:rsidRPr="004A27A1" w:rsidRDefault="00F95C3C" w:rsidP="00F95C3C">
      <w:pPr>
        <w:pStyle w:val="Heading3"/>
      </w:pPr>
      <w:r w:rsidRPr="004A27A1">
        <w:t>External audit</w:t>
      </w:r>
    </w:p>
    <w:p w14:paraId="4F141AE6" w14:textId="22495AB2" w:rsidR="003C054C" w:rsidRPr="004A27A1" w:rsidRDefault="003C054C" w:rsidP="00F232B7">
      <w:pPr>
        <w:pStyle w:val="NICEnormalnumbered"/>
        <w:rPr>
          <w:noProof w:val="0"/>
        </w:rPr>
      </w:pPr>
      <w:r w:rsidRPr="004A27A1">
        <w:rPr>
          <w:rFonts w:cs="Arial"/>
          <w:noProof w:val="0"/>
        </w:rPr>
        <w:t xml:space="preserve">The National Audit Office (NAO) </w:t>
      </w:r>
      <w:r w:rsidR="00023893" w:rsidRPr="004A27A1">
        <w:rPr>
          <w:rFonts w:cs="Arial"/>
          <w:noProof w:val="0"/>
        </w:rPr>
        <w:t>is</w:t>
      </w:r>
      <w:r w:rsidRPr="004A27A1">
        <w:rPr>
          <w:rFonts w:cs="Arial"/>
          <w:noProof w:val="0"/>
        </w:rPr>
        <w:t xml:space="preserve"> NICE’s external auditor. The NAO </w:t>
      </w:r>
      <w:r w:rsidR="003C650E" w:rsidRPr="004A27A1">
        <w:rPr>
          <w:rFonts w:cs="Arial"/>
          <w:noProof w:val="0"/>
        </w:rPr>
        <w:t>continue</w:t>
      </w:r>
      <w:r w:rsidR="00364B2B" w:rsidRPr="004A27A1">
        <w:rPr>
          <w:rFonts w:cs="Arial"/>
          <w:noProof w:val="0"/>
        </w:rPr>
        <w:t>s</w:t>
      </w:r>
      <w:r w:rsidR="003C650E" w:rsidRPr="004A27A1">
        <w:rPr>
          <w:rFonts w:cs="Arial"/>
          <w:noProof w:val="0"/>
        </w:rPr>
        <w:t xml:space="preserve"> to </w:t>
      </w:r>
      <w:r w:rsidRPr="004A27A1">
        <w:rPr>
          <w:rFonts w:cs="Arial"/>
          <w:noProof w:val="0"/>
        </w:rPr>
        <w:t xml:space="preserve">contract KPMG to undertake </w:t>
      </w:r>
      <w:r w:rsidRPr="004A27A1">
        <w:rPr>
          <w:noProof w:val="0"/>
        </w:rPr>
        <w:t>the audit of NICE’s annual report and accounts but retain</w:t>
      </w:r>
      <w:r w:rsidR="00364B2B" w:rsidRPr="004A27A1">
        <w:rPr>
          <w:noProof w:val="0"/>
        </w:rPr>
        <w:t>s</w:t>
      </w:r>
      <w:r w:rsidRPr="004A27A1">
        <w:rPr>
          <w:noProof w:val="0"/>
        </w:rPr>
        <w:t xml:space="preserve"> </w:t>
      </w:r>
      <w:r w:rsidRPr="004A27A1">
        <w:rPr>
          <w:rFonts w:cs="Arial"/>
          <w:noProof w:val="0"/>
        </w:rPr>
        <w:t>responsibility for recommending the audit opinion to the Comptroller and Auditor General (C&amp;AG).  The NAO give</w:t>
      </w:r>
      <w:r w:rsidR="00364B2B" w:rsidRPr="004A27A1">
        <w:rPr>
          <w:rFonts w:cs="Arial"/>
          <w:noProof w:val="0"/>
        </w:rPr>
        <w:t xml:space="preserve">s </w:t>
      </w:r>
      <w:r w:rsidRPr="004A27A1">
        <w:rPr>
          <w:rFonts w:cs="Arial"/>
          <w:noProof w:val="0"/>
        </w:rPr>
        <w:t xml:space="preserve">an opinion on whether the accounts are a true and fair view of the financial affairs </w:t>
      </w:r>
      <w:proofErr w:type="gramStart"/>
      <w:r w:rsidRPr="004A27A1">
        <w:rPr>
          <w:rFonts w:cs="Arial"/>
          <w:noProof w:val="0"/>
        </w:rPr>
        <w:t>and also</w:t>
      </w:r>
      <w:proofErr w:type="gramEnd"/>
      <w:r w:rsidRPr="004A27A1">
        <w:rPr>
          <w:rFonts w:cs="Arial"/>
          <w:noProof w:val="0"/>
        </w:rPr>
        <w:t xml:space="preserve"> whether </w:t>
      </w:r>
      <w:r w:rsidR="00F024B1" w:rsidRPr="004A27A1">
        <w:rPr>
          <w:rFonts w:cs="Arial"/>
          <w:noProof w:val="0"/>
        </w:rPr>
        <w:t xml:space="preserve">NICE’s </w:t>
      </w:r>
      <w:r w:rsidRPr="004A27A1">
        <w:rPr>
          <w:rFonts w:cs="Arial"/>
          <w:noProof w:val="0"/>
        </w:rPr>
        <w:t xml:space="preserve">funds have been applied to the purposes intended by Parliament. This opinion will follow their audit </w:t>
      </w:r>
      <w:r w:rsidR="008C379B" w:rsidRPr="004A27A1">
        <w:rPr>
          <w:rFonts w:cs="Arial"/>
          <w:noProof w:val="0"/>
        </w:rPr>
        <w:t xml:space="preserve">that is due to </w:t>
      </w:r>
      <w:r w:rsidRPr="004A27A1">
        <w:rPr>
          <w:rFonts w:cs="Arial"/>
          <w:noProof w:val="0"/>
        </w:rPr>
        <w:t xml:space="preserve">start </w:t>
      </w:r>
      <w:r w:rsidR="00A039B1" w:rsidRPr="004A27A1">
        <w:rPr>
          <w:rFonts w:cs="Arial"/>
          <w:noProof w:val="0"/>
        </w:rPr>
        <w:t xml:space="preserve">in </w:t>
      </w:r>
      <w:r w:rsidRPr="004A27A1">
        <w:rPr>
          <w:rFonts w:cs="Arial"/>
          <w:noProof w:val="0"/>
        </w:rPr>
        <w:t xml:space="preserve">May </w:t>
      </w:r>
      <w:r w:rsidR="00F024B1" w:rsidRPr="004A27A1">
        <w:rPr>
          <w:rFonts w:cs="Arial"/>
          <w:noProof w:val="0"/>
        </w:rPr>
        <w:t>202</w:t>
      </w:r>
      <w:r w:rsidR="00DE677F" w:rsidRPr="004A27A1">
        <w:rPr>
          <w:rFonts w:cs="Arial"/>
          <w:noProof w:val="0"/>
        </w:rPr>
        <w:t>6</w:t>
      </w:r>
      <w:r w:rsidR="00F024B1" w:rsidRPr="004A27A1">
        <w:rPr>
          <w:rFonts w:cs="Arial"/>
          <w:noProof w:val="0"/>
        </w:rPr>
        <w:t xml:space="preserve">. </w:t>
      </w:r>
    </w:p>
    <w:p w14:paraId="1B69D18A" w14:textId="25D82434" w:rsidR="003C054C" w:rsidRPr="004A27A1" w:rsidRDefault="006F49FB" w:rsidP="006F49FB">
      <w:pPr>
        <w:pStyle w:val="NICEnormalnumbered"/>
        <w:rPr>
          <w:noProof w:val="0"/>
        </w:rPr>
      </w:pPr>
      <w:r w:rsidRPr="004A27A1">
        <w:rPr>
          <w:noProof w:val="0"/>
        </w:rPr>
        <w:t xml:space="preserve">The NAO’s engagement director Stephen Ferris, director at KPMG, provided support to the committee and attended meetings during the year.  </w:t>
      </w:r>
      <w:r w:rsidR="008F5456" w:rsidRPr="004A27A1">
        <w:rPr>
          <w:noProof w:val="0"/>
        </w:rPr>
        <w:t>Christopher Paisley took over from Katie Henry as the KPMG engagement director.</w:t>
      </w:r>
    </w:p>
    <w:p w14:paraId="4327909D" w14:textId="6B6CA4C7" w:rsidR="003C054C" w:rsidRPr="004A27A1" w:rsidRDefault="00E5439F" w:rsidP="00503ED1">
      <w:pPr>
        <w:pStyle w:val="Heading2boardreport"/>
      </w:pPr>
      <w:r w:rsidRPr="004A27A1">
        <w:t>Risk management</w:t>
      </w:r>
    </w:p>
    <w:p w14:paraId="34F8CBFD" w14:textId="6EA91963" w:rsidR="006025B7" w:rsidRPr="004A27A1" w:rsidRDefault="00E5439F" w:rsidP="00ED388B">
      <w:pPr>
        <w:pStyle w:val="NICEnormalnumbered"/>
        <w:rPr>
          <w:noProof w:val="0"/>
        </w:rPr>
      </w:pPr>
      <w:r w:rsidRPr="004A27A1">
        <w:rPr>
          <w:rFonts w:cs="Arial"/>
          <w:bCs/>
          <w:noProof w:val="0"/>
        </w:rPr>
        <w:t xml:space="preserve">The </w:t>
      </w:r>
      <w:r w:rsidRPr="004A27A1">
        <w:rPr>
          <w:rFonts w:cs="Arial"/>
          <w:noProof w:val="0"/>
        </w:rPr>
        <w:t xml:space="preserve">risk management </w:t>
      </w:r>
      <w:r w:rsidRPr="004A27A1">
        <w:rPr>
          <w:noProof w:val="0"/>
        </w:rPr>
        <w:t xml:space="preserve">policy </w:t>
      </w:r>
      <w:r w:rsidRPr="004A27A1">
        <w:rPr>
          <w:rFonts w:cs="Arial"/>
          <w:noProof w:val="0"/>
        </w:rPr>
        <w:t>sets out NICE’s approach to risk management</w:t>
      </w:r>
      <w:r w:rsidR="008C379B" w:rsidRPr="004A27A1">
        <w:rPr>
          <w:rFonts w:cs="Arial"/>
          <w:noProof w:val="0"/>
        </w:rPr>
        <w:t xml:space="preserve">, including roles and responsibilities, how risks are categorised, assessed and </w:t>
      </w:r>
      <w:r w:rsidR="008C379B" w:rsidRPr="004A27A1">
        <w:rPr>
          <w:rFonts w:cs="Arial"/>
          <w:noProof w:val="0"/>
        </w:rPr>
        <w:lastRenderedPageBreak/>
        <w:t>escalated</w:t>
      </w:r>
      <w:r w:rsidR="00B82A50" w:rsidRPr="004A27A1">
        <w:rPr>
          <w:rFonts w:cs="Arial"/>
          <w:noProof w:val="0"/>
        </w:rPr>
        <w:t>, and outlines NICE’s</w:t>
      </w:r>
      <w:r w:rsidRPr="004A27A1">
        <w:rPr>
          <w:rFonts w:cs="Arial"/>
          <w:noProof w:val="0"/>
        </w:rPr>
        <w:t xml:space="preserve"> risk appetite</w:t>
      </w:r>
      <w:r w:rsidR="00B82A50" w:rsidRPr="004A27A1">
        <w:rPr>
          <w:rFonts w:cs="Arial"/>
          <w:noProof w:val="0"/>
        </w:rPr>
        <w:t xml:space="preserve">. </w:t>
      </w:r>
      <w:r w:rsidR="001A4A84" w:rsidRPr="004A27A1">
        <w:rPr>
          <w:rFonts w:cs="Arial"/>
          <w:noProof w:val="0"/>
        </w:rPr>
        <w:t xml:space="preserve"> </w:t>
      </w:r>
      <w:r w:rsidR="00F52E96" w:rsidRPr="004A27A1">
        <w:rPr>
          <w:rFonts w:cs="Arial"/>
          <w:noProof w:val="0"/>
        </w:rPr>
        <w:t>The committee reviewe</w:t>
      </w:r>
      <w:r w:rsidR="001818EF" w:rsidRPr="004A27A1">
        <w:rPr>
          <w:rFonts w:cs="Arial"/>
          <w:noProof w:val="0"/>
        </w:rPr>
        <w:t xml:space="preserve">d NICE’s risk appetite in </w:t>
      </w:r>
      <w:r w:rsidR="002648E9" w:rsidRPr="004A27A1">
        <w:rPr>
          <w:rFonts w:cs="Arial"/>
          <w:noProof w:val="0"/>
        </w:rPr>
        <w:t>November 202</w:t>
      </w:r>
      <w:r w:rsidR="00E858F8" w:rsidRPr="004A27A1">
        <w:rPr>
          <w:rFonts w:cs="Arial"/>
          <w:noProof w:val="0"/>
        </w:rPr>
        <w:t>5</w:t>
      </w:r>
      <w:r w:rsidR="002648E9" w:rsidRPr="004A27A1">
        <w:rPr>
          <w:rFonts w:cs="Arial"/>
          <w:noProof w:val="0"/>
        </w:rPr>
        <w:t xml:space="preserve"> in line with the </w:t>
      </w:r>
      <w:r w:rsidR="00DE6D73" w:rsidRPr="004A27A1">
        <w:rPr>
          <w:rFonts w:cs="Arial"/>
          <w:noProof w:val="0"/>
        </w:rPr>
        <w:t xml:space="preserve">annual review cycle and agreed minor changes which were </w:t>
      </w:r>
      <w:r w:rsidR="00ED388B" w:rsidRPr="004A27A1">
        <w:rPr>
          <w:noProof w:val="0"/>
        </w:rPr>
        <w:t>subsequently approved by the board.</w:t>
      </w:r>
    </w:p>
    <w:p w14:paraId="02437AE4" w14:textId="29A86245" w:rsidR="00503ED1" w:rsidRPr="004A27A1" w:rsidRDefault="00503ED1" w:rsidP="00503ED1">
      <w:pPr>
        <w:pStyle w:val="Heading3boardreport"/>
      </w:pPr>
      <w:r w:rsidRPr="004A27A1">
        <w:t>Strategic risk register</w:t>
      </w:r>
    </w:p>
    <w:p w14:paraId="58E3B9DB" w14:textId="5B4ADA75" w:rsidR="007400DA" w:rsidRPr="004A27A1" w:rsidRDefault="00C909DF" w:rsidP="00B84A6C">
      <w:pPr>
        <w:pStyle w:val="NICEnormalnumbered"/>
        <w:rPr>
          <w:noProof w:val="0"/>
        </w:rPr>
      </w:pPr>
      <w:r w:rsidRPr="004A27A1">
        <w:rPr>
          <w:noProof w:val="0"/>
        </w:rPr>
        <w:t>The committee reviews the strategic risks at each of its quarterly meetings and ensures it sets aside sufficient time to discuss the highest scoring risks and to consider any new emerging risks.</w:t>
      </w:r>
    </w:p>
    <w:p w14:paraId="11DA7B1B" w14:textId="5E05761D" w:rsidR="00B84A6C" w:rsidRPr="004A27A1" w:rsidRDefault="004F51DB" w:rsidP="00B84A6C">
      <w:pPr>
        <w:pStyle w:val="NICEnormalnumbered"/>
        <w:rPr>
          <w:noProof w:val="0"/>
        </w:rPr>
      </w:pPr>
      <w:r w:rsidRPr="004A27A1">
        <w:rPr>
          <w:noProof w:val="0"/>
        </w:rPr>
        <w:t xml:space="preserve">The format of the risk register follows best practice </w:t>
      </w:r>
      <w:r w:rsidR="00950526" w:rsidRPr="004A27A1">
        <w:rPr>
          <w:noProof w:val="0"/>
        </w:rPr>
        <w:t xml:space="preserve">with current risk scores and the inclusion of </w:t>
      </w:r>
      <w:r w:rsidR="007B5571" w:rsidRPr="004A27A1">
        <w:rPr>
          <w:noProof w:val="0"/>
        </w:rPr>
        <w:t xml:space="preserve">target </w:t>
      </w:r>
      <w:r w:rsidR="00B84A6C" w:rsidRPr="004A27A1">
        <w:rPr>
          <w:noProof w:val="0"/>
        </w:rPr>
        <w:t xml:space="preserve">risk scores </w:t>
      </w:r>
      <w:r w:rsidR="00950526" w:rsidRPr="004A27A1">
        <w:rPr>
          <w:noProof w:val="0"/>
        </w:rPr>
        <w:t xml:space="preserve">aligned </w:t>
      </w:r>
      <w:r w:rsidR="00B84A6C" w:rsidRPr="004A27A1">
        <w:rPr>
          <w:noProof w:val="0"/>
        </w:rPr>
        <w:t>to the risk appetite statement.</w:t>
      </w:r>
      <w:r w:rsidR="007726F2" w:rsidRPr="004A27A1">
        <w:rPr>
          <w:noProof w:val="0"/>
        </w:rPr>
        <w:t xml:space="preserve">  </w:t>
      </w:r>
      <w:r w:rsidR="006516A1" w:rsidRPr="004A27A1">
        <w:rPr>
          <w:noProof w:val="0"/>
        </w:rPr>
        <w:t>During the year, t</w:t>
      </w:r>
      <w:r w:rsidR="007726F2" w:rsidRPr="004A27A1">
        <w:rPr>
          <w:noProof w:val="0"/>
        </w:rPr>
        <w:t xml:space="preserve">he committee </w:t>
      </w:r>
      <w:r w:rsidR="00D504B7" w:rsidRPr="004A27A1">
        <w:rPr>
          <w:noProof w:val="0"/>
        </w:rPr>
        <w:t>queri</w:t>
      </w:r>
      <w:r w:rsidR="00E712AF" w:rsidRPr="004A27A1">
        <w:rPr>
          <w:noProof w:val="0"/>
        </w:rPr>
        <w:t xml:space="preserve">ed whether </w:t>
      </w:r>
      <w:r w:rsidR="007726F2" w:rsidRPr="004A27A1">
        <w:rPr>
          <w:noProof w:val="0"/>
        </w:rPr>
        <w:t xml:space="preserve">the </w:t>
      </w:r>
      <w:r w:rsidR="00C75BFF" w:rsidRPr="004A27A1">
        <w:rPr>
          <w:noProof w:val="0"/>
        </w:rPr>
        <w:t>RAG assurance rating</w:t>
      </w:r>
      <w:r w:rsidR="00E712AF" w:rsidRPr="004A27A1">
        <w:rPr>
          <w:noProof w:val="0"/>
        </w:rPr>
        <w:t xml:space="preserve"> was useful</w:t>
      </w:r>
      <w:r w:rsidR="00D504B7" w:rsidRPr="004A27A1">
        <w:rPr>
          <w:noProof w:val="0"/>
        </w:rPr>
        <w:t xml:space="preserve"> as all the risks were rated as amber.  </w:t>
      </w:r>
      <w:r w:rsidR="00E9373D" w:rsidRPr="004A27A1">
        <w:rPr>
          <w:noProof w:val="0"/>
        </w:rPr>
        <w:t>Following a discussion in May it was</w:t>
      </w:r>
      <w:r w:rsidR="00917AF1" w:rsidRPr="004A27A1">
        <w:rPr>
          <w:noProof w:val="0"/>
        </w:rPr>
        <w:t xml:space="preserve"> agreed</w:t>
      </w:r>
      <w:r w:rsidR="00E712AF" w:rsidRPr="004A27A1">
        <w:rPr>
          <w:noProof w:val="0"/>
        </w:rPr>
        <w:t xml:space="preserve"> to </w:t>
      </w:r>
      <w:r w:rsidR="00D07ACC" w:rsidRPr="004A27A1">
        <w:rPr>
          <w:noProof w:val="0"/>
        </w:rPr>
        <w:t xml:space="preserve">remove the RAG assurance rating </w:t>
      </w:r>
      <w:r w:rsidR="00017E69" w:rsidRPr="004A27A1">
        <w:rPr>
          <w:noProof w:val="0"/>
        </w:rPr>
        <w:t xml:space="preserve">but retain the three lines of assurance </w:t>
      </w:r>
      <w:r w:rsidR="00D07ACC" w:rsidRPr="004A27A1">
        <w:rPr>
          <w:noProof w:val="0"/>
        </w:rPr>
        <w:t>column</w:t>
      </w:r>
      <w:r w:rsidR="009A5F8D" w:rsidRPr="004A27A1">
        <w:rPr>
          <w:noProof w:val="0"/>
        </w:rPr>
        <w:t>.</w:t>
      </w:r>
    </w:p>
    <w:p w14:paraId="0F6ACF6A" w14:textId="77777777" w:rsidR="00C30964" w:rsidRPr="004A27A1" w:rsidRDefault="00C30964" w:rsidP="00C30964">
      <w:pPr>
        <w:pStyle w:val="Heading3"/>
      </w:pPr>
      <w:r w:rsidRPr="004A27A1">
        <w:t>Risk ‘deep dives’</w:t>
      </w:r>
    </w:p>
    <w:p w14:paraId="38ACA4C5" w14:textId="05369E2C" w:rsidR="00FB6056" w:rsidRPr="004A27A1" w:rsidRDefault="00C30964" w:rsidP="00B84A6C">
      <w:pPr>
        <w:pStyle w:val="NICEnormalnumbered"/>
        <w:rPr>
          <w:noProof w:val="0"/>
        </w:rPr>
      </w:pPr>
      <w:r w:rsidRPr="004A27A1">
        <w:rPr>
          <w:noProof w:val="0"/>
        </w:rPr>
        <w:t xml:space="preserve">The committee undertakes a ‘deep dive’ discussion at each meeting, which looks in detail at one of the highest rated risks.  </w:t>
      </w:r>
      <w:r w:rsidR="00B26DAB" w:rsidRPr="004A27A1">
        <w:rPr>
          <w:noProof w:val="0"/>
        </w:rPr>
        <w:t xml:space="preserve">The relevant senior staff </w:t>
      </w:r>
      <w:r w:rsidR="003B7D87" w:rsidRPr="004A27A1">
        <w:rPr>
          <w:noProof w:val="0"/>
        </w:rPr>
        <w:t xml:space="preserve">are invited to the meetings for these discussions. </w:t>
      </w:r>
      <w:r w:rsidRPr="004A27A1">
        <w:rPr>
          <w:rFonts w:cs="Arial"/>
          <w:noProof w:val="0"/>
        </w:rPr>
        <w:t xml:space="preserve"> In the year the deep dive topics were </w:t>
      </w:r>
      <w:r w:rsidR="00D02581" w:rsidRPr="004A27A1">
        <w:rPr>
          <w:rFonts w:cs="Arial"/>
          <w:noProof w:val="0"/>
        </w:rPr>
        <w:t>innovation in September 2025</w:t>
      </w:r>
      <w:r w:rsidR="00A117C2" w:rsidRPr="004A27A1">
        <w:rPr>
          <w:rFonts w:cs="Arial"/>
          <w:noProof w:val="0"/>
        </w:rPr>
        <w:t xml:space="preserve">, </w:t>
      </w:r>
      <w:r w:rsidR="00FB05E4" w:rsidRPr="004A27A1">
        <w:rPr>
          <w:rFonts w:cs="Arial"/>
          <w:noProof w:val="0"/>
        </w:rPr>
        <w:t xml:space="preserve">medicines pricing </w:t>
      </w:r>
      <w:r w:rsidRPr="004A27A1">
        <w:rPr>
          <w:rFonts w:cs="Arial"/>
          <w:noProof w:val="0"/>
        </w:rPr>
        <w:t xml:space="preserve">in </w:t>
      </w:r>
      <w:r w:rsidR="00FB05E4" w:rsidRPr="004A27A1">
        <w:rPr>
          <w:rFonts w:cs="Arial"/>
          <w:noProof w:val="0"/>
        </w:rPr>
        <w:t xml:space="preserve">November 2025 </w:t>
      </w:r>
      <w:r w:rsidR="00A117C2" w:rsidRPr="004A27A1">
        <w:rPr>
          <w:rFonts w:cs="Arial"/>
          <w:noProof w:val="0"/>
        </w:rPr>
        <w:t xml:space="preserve">and the </w:t>
      </w:r>
      <w:r w:rsidR="002B7912" w:rsidRPr="004A27A1">
        <w:rPr>
          <w:rFonts w:cs="Arial"/>
          <w:noProof w:val="0"/>
        </w:rPr>
        <w:t xml:space="preserve">impact </w:t>
      </w:r>
      <w:r w:rsidR="00624470" w:rsidRPr="004A27A1">
        <w:rPr>
          <w:rFonts w:cs="Arial"/>
          <w:noProof w:val="0"/>
        </w:rPr>
        <w:t>of the</w:t>
      </w:r>
      <w:r w:rsidR="00B26DAB" w:rsidRPr="004A27A1">
        <w:rPr>
          <w:rFonts w:cs="Arial"/>
          <w:noProof w:val="0"/>
        </w:rPr>
        <w:t xml:space="preserve"> cost effectiveness</w:t>
      </w:r>
      <w:r w:rsidR="00624470" w:rsidRPr="004A27A1">
        <w:rPr>
          <w:rFonts w:cs="Arial"/>
          <w:noProof w:val="0"/>
        </w:rPr>
        <w:t xml:space="preserve"> </w:t>
      </w:r>
      <w:r w:rsidR="00A117C2" w:rsidRPr="004A27A1">
        <w:rPr>
          <w:rFonts w:cs="Arial"/>
          <w:noProof w:val="0"/>
        </w:rPr>
        <w:t xml:space="preserve">threshold change </w:t>
      </w:r>
      <w:r w:rsidR="00FB05E4" w:rsidRPr="004A27A1">
        <w:rPr>
          <w:rFonts w:cs="Arial"/>
          <w:noProof w:val="0"/>
        </w:rPr>
        <w:t xml:space="preserve">in </w:t>
      </w:r>
      <w:r w:rsidRPr="004A27A1">
        <w:rPr>
          <w:rFonts w:cs="Arial"/>
          <w:noProof w:val="0"/>
        </w:rPr>
        <w:t>January 202</w:t>
      </w:r>
      <w:r w:rsidR="00DD0980" w:rsidRPr="004A27A1">
        <w:rPr>
          <w:rFonts w:cs="Arial"/>
          <w:noProof w:val="0"/>
        </w:rPr>
        <w:t>6</w:t>
      </w:r>
      <w:r w:rsidR="00AC6D32" w:rsidRPr="004A27A1">
        <w:rPr>
          <w:rFonts w:cs="Arial"/>
          <w:noProof w:val="0"/>
        </w:rPr>
        <w:t>.</w:t>
      </w:r>
    </w:p>
    <w:p w14:paraId="6B8C9D0F" w14:textId="275EB24B" w:rsidR="00AB0186" w:rsidRPr="004A27A1" w:rsidRDefault="001F2C9B" w:rsidP="007B5571">
      <w:pPr>
        <w:pStyle w:val="NICEnormalnumbered"/>
        <w:rPr>
          <w:noProof w:val="0"/>
        </w:rPr>
      </w:pPr>
      <w:r w:rsidRPr="004A27A1">
        <w:rPr>
          <w:rFonts w:cs="Arial"/>
          <w:noProof w:val="0"/>
        </w:rPr>
        <w:t xml:space="preserve">Cyber security </w:t>
      </w:r>
      <w:r w:rsidR="00B52513" w:rsidRPr="004A27A1">
        <w:rPr>
          <w:rFonts w:cs="Arial"/>
          <w:noProof w:val="0"/>
        </w:rPr>
        <w:t>re</w:t>
      </w:r>
      <w:r w:rsidR="00A96760" w:rsidRPr="004A27A1">
        <w:rPr>
          <w:rFonts w:cs="Arial"/>
          <w:noProof w:val="0"/>
        </w:rPr>
        <w:t>mains</w:t>
      </w:r>
      <w:r w:rsidRPr="004A27A1">
        <w:rPr>
          <w:rFonts w:cs="Arial"/>
          <w:noProof w:val="0"/>
        </w:rPr>
        <w:t xml:space="preserve"> </w:t>
      </w:r>
      <w:r w:rsidR="00C5734D" w:rsidRPr="004A27A1">
        <w:rPr>
          <w:rFonts w:cs="Arial"/>
          <w:noProof w:val="0"/>
        </w:rPr>
        <w:t>NICE’s</w:t>
      </w:r>
      <w:r w:rsidRPr="004A27A1">
        <w:rPr>
          <w:rFonts w:cs="Arial"/>
          <w:noProof w:val="0"/>
        </w:rPr>
        <w:t xml:space="preserve"> highest rated ris</w:t>
      </w:r>
      <w:r w:rsidR="00204BB6" w:rsidRPr="004A27A1">
        <w:rPr>
          <w:rFonts w:cs="Arial"/>
          <w:noProof w:val="0"/>
        </w:rPr>
        <w:t xml:space="preserve">k and </w:t>
      </w:r>
      <w:proofErr w:type="gramStart"/>
      <w:r w:rsidR="00204BB6" w:rsidRPr="004A27A1">
        <w:rPr>
          <w:rFonts w:cs="Arial"/>
          <w:noProof w:val="0"/>
        </w:rPr>
        <w:t>in light of</w:t>
      </w:r>
      <w:proofErr w:type="gramEnd"/>
      <w:r w:rsidR="00204BB6" w:rsidRPr="004A27A1">
        <w:rPr>
          <w:rFonts w:cs="Arial"/>
          <w:noProof w:val="0"/>
        </w:rPr>
        <w:t xml:space="preserve"> this, </w:t>
      </w:r>
      <w:r w:rsidR="000739F9" w:rsidRPr="004A27A1">
        <w:rPr>
          <w:rFonts w:cs="Arial"/>
          <w:noProof w:val="0"/>
        </w:rPr>
        <w:t xml:space="preserve">each of the committee’s </w:t>
      </w:r>
      <w:r w:rsidR="007F70A2" w:rsidRPr="004A27A1">
        <w:rPr>
          <w:rFonts w:cs="Arial"/>
          <w:noProof w:val="0"/>
        </w:rPr>
        <w:t>agendas</w:t>
      </w:r>
      <w:r w:rsidR="000739F9" w:rsidRPr="004A27A1">
        <w:rPr>
          <w:rFonts w:cs="Arial"/>
          <w:noProof w:val="0"/>
        </w:rPr>
        <w:t xml:space="preserve"> had </w:t>
      </w:r>
      <w:r w:rsidR="00E76763" w:rsidRPr="004A27A1">
        <w:rPr>
          <w:rFonts w:cs="Arial"/>
          <w:noProof w:val="0"/>
        </w:rPr>
        <w:t xml:space="preserve">time set aside for an update on </w:t>
      </w:r>
      <w:r w:rsidR="00A95F9D" w:rsidRPr="004A27A1">
        <w:rPr>
          <w:rFonts w:cs="Arial"/>
          <w:noProof w:val="0"/>
        </w:rPr>
        <w:t xml:space="preserve">the </w:t>
      </w:r>
      <w:r w:rsidR="00E76763" w:rsidRPr="004A27A1">
        <w:rPr>
          <w:rFonts w:cs="Arial"/>
          <w:noProof w:val="0"/>
        </w:rPr>
        <w:t>activities</w:t>
      </w:r>
      <w:r w:rsidR="00A95F9D" w:rsidRPr="004A27A1">
        <w:rPr>
          <w:rFonts w:cs="Arial"/>
          <w:noProof w:val="0"/>
        </w:rPr>
        <w:t xml:space="preserve"> that ha</w:t>
      </w:r>
      <w:r w:rsidR="00D0487E" w:rsidRPr="004A27A1">
        <w:rPr>
          <w:rFonts w:cs="Arial"/>
          <w:noProof w:val="0"/>
        </w:rPr>
        <w:t>d</w:t>
      </w:r>
      <w:r w:rsidR="00A95F9D" w:rsidRPr="004A27A1">
        <w:rPr>
          <w:rFonts w:cs="Arial"/>
          <w:noProof w:val="0"/>
        </w:rPr>
        <w:t xml:space="preserve"> taken place</w:t>
      </w:r>
      <w:r w:rsidR="00E76763" w:rsidRPr="004A27A1">
        <w:rPr>
          <w:rFonts w:cs="Arial"/>
          <w:noProof w:val="0"/>
        </w:rPr>
        <w:t xml:space="preserve"> </w:t>
      </w:r>
      <w:r w:rsidR="00D0487E" w:rsidRPr="004A27A1">
        <w:rPr>
          <w:rFonts w:cs="Arial"/>
          <w:noProof w:val="0"/>
        </w:rPr>
        <w:t xml:space="preserve">in the previous quarter </w:t>
      </w:r>
      <w:r w:rsidR="00A95F9D" w:rsidRPr="004A27A1">
        <w:rPr>
          <w:rFonts w:cs="Arial"/>
          <w:noProof w:val="0"/>
        </w:rPr>
        <w:t xml:space="preserve">to strengthen </w:t>
      </w:r>
      <w:r w:rsidR="001A23E1" w:rsidRPr="004A27A1">
        <w:rPr>
          <w:rFonts w:cs="Arial"/>
          <w:noProof w:val="0"/>
        </w:rPr>
        <w:t xml:space="preserve">network </w:t>
      </w:r>
      <w:r w:rsidR="00A95F9D" w:rsidRPr="004A27A1">
        <w:rPr>
          <w:rFonts w:cs="Arial"/>
          <w:noProof w:val="0"/>
        </w:rPr>
        <w:t>resilience</w:t>
      </w:r>
      <w:r w:rsidR="001A23E1" w:rsidRPr="004A27A1">
        <w:rPr>
          <w:rFonts w:cs="Arial"/>
          <w:noProof w:val="0"/>
        </w:rPr>
        <w:t>,</w:t>
      </w:r>
      <w:r w:rsidR="00D0487E" w:rsidRPr="004A27A1">
        <w:rPr>
          <w:rFonts w:cs="Arial"/>
          <w:noProof w:val="0"/>
        </w:rPr>
        <w:t xml:space="preserve"> </w:t>
      </w:r>
      <w:r w:rsidR="00D0487E" w:rsidRPr="004A27A1">
        <w:rPr>
          <w:noProof w:val="0"/>
          <w:color w:val="000000" w:themeColor="text1"/>
        </w:rPr>
        <w:t xml:space="preserve">business continuity </w:t>
      </w:r>
      <w:r w:rsidR="002B57BC" w:rsidRPr="004A27A1">
        <w:rPr>
          <w:noProof w:val="0"/>
          <w:color w:val="000000" w:themeColor="text1"/>
        </w:rPr>
        <w:t xml:space="preserve">planning and </w:t>
      </w:r>
      <w:r w:rsidR="00D0487E" w:rsidRPr="004A27A1">
        <w:rPr>
          <w:noProof w:val="0"/>
          <w:color w:val="000000" w:themeColor="text1"/>
        </w:rPr>
        <w:t>disaster recovery.</w:t>
      </w:r>
      <w:r w:rsidR="00A95F9D" w:rsidRPr="004A27A1">
        <w:rPr>
          <w:rFonts w:cs="Arial"/>
          <w:noProof w:val="0"/>
        </w:rPr>
        <w:t xml:space="preserve"> </w:t>
      </w:r>
      <w:r w:rsidR="00D0487E" w:rsidRPr="004A27A1">
        <w:rPr>
          <w:rFonts w:cs="Arial"/>
          <w:noProof w:val="0"/>
        </w:rPr>
        <w:t xml:space="preserve"> </w:t>
      </w:r>
      <w:r w:rsidR="00A95F9D" w:rsidRPr="004A27A1">
        <w:rPr>
          <w:rFonts w:cs="Arial"/>
          <w:noProof w:val="0"/>
        </w:rPr>
        <w:t xml:space="preserve">The </w:t>
      </w:r>
      <w:r w:rsidR="00FE40EB" w:rsidRPr="004A27A1">
        <w:rPr>
          <w:rFonts w:cs="Arial"/>
          <w:noProof w:val="0"/>
        </w:rPr>
        <w:t xml:space="preserve">Chief Information Officer </w:t>
      </w:r>
      <w:r w:rsidR="00100EC3" w:rsidRPr="004A27A1">
        <w:rPr>
          <w:rFonts w:cs="Arial"/>
          <w:noProof w:val="0"/>
        </w:rPr>
        <w:t xml:space="preserve">(CIO) </w:t>
      </w:r>
      <w:r w:rsidR="00FE40EB" w:rsidRPr="004A27A1">
        <w:rPr>
          <w:rFonts w:cs="Arial"/>
          <w:noProof w:val="0"/>
        </w:rPr>
        <w:t>provide</w:t>
      </w:r>
      <w:r w:rsidR="0066118A" w:rsidRPr="004A27A1">
        <w:rPr>
          <w:rFonts w:cs="Arial"/>
          <w:noProof w:val="0"/>
        </w:rPr>
        <w:t>d</w:t>
      </w:r>
      <w:r w:rsidR="00FE40EB" w:rsidRPr="004A27A1">
        <w:rPr>
          <w:rFonts w:cs="Arial"/>
          <w:noProof w:val="0"/>
        </w:rPr>
        <w:t xml:space="preserve"> assurance </w:t>
      </w:r>
      <w:r w:rsidR="00860B27" w:rsidRPr="004A27A1">
        <w:rPr>
          <w:rFonts w:cs="Arial"/>
          <w:noProof w:val="0"/>
        </w:rPr>
        <w:t>regarding</w:t>
      </w:r>
      <w:r w:rsidR="0039459B" w:rsidRPr="004A27A1">
        <w:rPr>
          <w:rFonts w:cs="Arial"/>
          <w:noProof w:val="0"/>
        </w:rPr>
        <w:t xml:space="preserve"> new tools </w:t>
      </w:r>
      <w:r w:rsidR="00860B27" w:rsidRPr="004A27A1">
        <w:rPr>
          <w:rFonts w:cs="Arial"/>
          <w:noProof w:val="0"/>
        </w:rPr>
        <w:t xml:space="preserve">that </w:t>
      </w:r>
      <w:r w:rsidR="0039459B" w:rsidRPr="004A27A1">
        <w:rPr>
          <w:rFonts w:cs="Arial"/>
          <w:noProof w:val="0"/>
        </w:rPr>
        <w:t xml:space="preserve">had been </w:t>
      </w:r>
      <w:r w:rsidR="00FA16D0" w:rsidRPr="004A27A1">
        <w:rPr>
          <w:rFonts w:cs="Arial"/>
          <w:noProof w:val="0"/>
        </w:rPr>
        <w:t>procured,</w:t>
      </w:r>
      <w:r w:rsidR="0039459B" w:rsidRPr="004A27A1">
        <w:rPr>
          <w:rFonts w:cs="Arial"/>
          <w:noProof w:val="0"/>
        </w:rPr>
        <w:t xml:space="preserve"> and</w:t>
      </w:r>
      <w:r w:rsidR="00FE40EB" w:rsidRPr="004A27A1">
        <w:rPr>
          <w:rFonts w:cs="Arial"/>
          <w:noProof w:val="0"/>
        </w:rPr>
        <w:t xml:space="preserve"> </w:t>
      </w:r>
      <w:r w:rsidR="003D4C58" w:rsidRPr="004A27A1">
        <w:rPr>
          <w:rFonts w:cs="Arial"/>
          <w:noProof w:val="0"/>
        </w:rPr>
        <w:t>system upgrades</w:t>
      </w:r>
      <w:r w:rsidR="00FE40EB" w:rsidRPr="004A27A1">
        <w:rPr>
          <w:rFonts w:cs="Arial"/>
          <w:noProof w:val="0"/>
        </w:rPr>
        <w:t xml:space="preserve"> </w:t>
      </w:r>
      <w:r w:rsidR="002028E9" w:rsidRPr="004A27A1">
        <w:rPr>
          <w:rFonts w:cs="Arial"/>
          <w:noProof w:val="0"/>
        </w:rPr>
        <w:t xml:space="preserve">being implemented </w:t>
      </w:r>
      <w:r w:rsidR="00651736" w:rsidRPr="004A27A1">
        <w:rPr>
          <w:rFonts w:cs="Arial"/>
          <w:noProof w:val="0"/>
        </w:rPr>
        <w:t xml:space="preserve">to reduce the </w:t>
      </w:r>
      <w:r w:rsidR="003D4C58" w:rsidRPr="004A27A1">
        <w:rPr>
          <w:rFonts w:cs="Arial"/>
          <w:noProof w:val="0"/>
        </w:rPr>
        <w:t xml:space="preserve">overall risk </w:t>
      </w:r>
      <w:r w:rsidR="00F357A3" w:rsidRPr="004A27A1">
        <w:rPr>
          <w:rFonts w:cs="Arial"/>
          <w:noProof w:val="0"/>
        </w:rPr>
        <w:t xml:space="preserve">level.  </w:t>
      </w:r>
      <w:r w:rsidR="00100EC3" w:rsidRPr="004A27A1">
        <w:rPr>
          <w:rFonts w:cs="Arial"/>
          <w:noProof w:val="0"/>
        </w:rPr>
        <w:t xml:space="preserve">The </w:t>
      </w:r>
      <w:r w:rsidR="00BA6320" w:rsidRPr="004A27A1">
        <w:rPr>
          <w:rFonts w:cs="Arial"/>
          <w:noProof w:val="0"/>
        </w:rPr>
        <w:t xml:space="preserve">committee also received </w:t>
      </w:r>
      <w:r w:rsidR="00FA16D0" w:rsidRPr="004A27A1">
        <w:rPr>
          <w:rFonts w:cs="Arial"/>
          <w:noProof w:val="0"/>
        </w:rPr>
        <w:t>updates</w:t>
      </w:r>
      <w:r w:rsidR="00100EC3" w:rsidRPr="004A27A1">
        <w:rPr>
          <w:rFonts w:cs="Arial"/>
          <w:noProof w:val="0"/>
        </w:rPr>
        <w:t xml:space="preserve"> on the regular phishing exercises </w:t>
      </w:r>
      <w:r w:rsidR="00BA6320" w:rsidRPr="004A27A1">
        <w:rPr>
          <w:rFonts w:cs="Arial"/>
          <w:noProof w:val="0"/>
        </w:rPr>
        <w:t xml:space="preserve">that take place </w:t>
      </w:r>
      <w:r w:rsidR="004133D7" w:rsidRPr="004A27A1">
        <w:rPr>
          <w:rFonts w:cs="Arial"/>
          <w:noProof w:val="0"/>
        </w:rPr>
        <w:t xml:space="preserve">to raise awareness amongst staff </w:t>
      </w:r>
      <w:r w:rsidR="00B2229D" w:rsidRPr="004A27A1">
        <w:rPr>
          <w:rFonts w:cs="Arial"/>
          <w:noProof w:val="0"/>
        </w:rPr>
        <w:t xml:space="preserve">and </w:t>
      </w:r>
      <w:r w:rsidR="00681D4D" w:rsidRPr="004A27A1">
        <w:rPr>
          <w:rFonts w:cs="Arial"/>
          <w:noProof w:val="0"/>
        </w:rPr>
        <w:t xml:space="preserve">a reminder </w:t>
      </w:r>
      <w:r w:rsidR="00A5149D" w:rsidRPr="004A27A1">
        <w:rPr>
          <w:rFonts w:cs="Arial"/>
          <w:noProof w:val="0"/>
        </w:rPr>
        <w:t>to remain vigilant.</w:t>
      </w:r>
    </w:p>
    <w:p w14:paraId="5A53F809" w14:textId="388F1BB6" w:rsidR="00C50C3F" w:rsidRPr="004A27A1" w:rsidRDefault="00C50C3F" w:rsidP="00C50C3F">
      <w:pPr>
        <w:pStyle w:val="Heading3"/>
      </w:pPr>
      <w:r w:rsidRPr="004A27A1">
        <w:t>Declarations of interest</w:t>
      </w:r>
    </w:p>
    <w:p w14:paraId="024E3B8F" w14:textId="77777777" w:rsidR="004E40F6" w:rsidRPr="004A27A1" w:rsidRDefault="00C50C3F" w:rsidP="00F232B7">
      <w:pPr>
        <w:pStyle w:val="NICEnormalnumbered"/>
        <w:rPr>
          <w:noProof w:val="0"/>
        </w:rPr>
      </w:pPr>
      <w:r w:rsidRPr="004A27A1">
        <w:rPr>
          <w:noProof w:val="0"/>
        </w:rPr>
        <w:t>NICE has two policies regarding declaring and managing interests</w:t>
      </w:r>
      <w:r w:rsidR="00595BB9" w:rsidRPr="004A27A1">
        <w:rPr>
          <w:noProof w:val="0"/>
        </w:rPr>
        <w:t xml:space="preserve"> -</w:t>
      </w:r>
      <w:r w:rsidR="00BF31C5" w:rsidRPr="004A27A1">
        <w:rPr>
          <w:noProof w:val="0"/>
        </w:rPr>
        <w:t xml:space="preserve"> </w:t>
      </w:r>
      <w:r w:rsidR="00601DEA" w:rsidRPr="004A27A1">
        <w:rPr>
          <w:noProof w:val="0"/>
        </w:rPr>
        <w:t>o</w:t>
      </w:r>
      <w:r w:rsidRPr="004A27A1">
        <w:rPr>
          <w:noProof w:val="0"/>
        </w:rPr>
        <w:t>ne for board members and employees, and one for the advisory committees. Both are reviewed every 3 years, with the scope for earlier reviews if necessary.</w:t>
      </w:r>
      <w:r w:rsidR="00E60B48" w:rsidRPr="004A27A1">
        <w:rPr>
          <w:noProof w:val="0"/>
        </w:rPr>
        <w:t xml:space="preserve">  </w:t>
      </w:r>
    </w:p>
    <w:p w14:paraId="21578324" w14:textId="31BD1F14" w:rsidR="00614D70" w:rsidRPr="004A27A1" w:rsidRDefault="007B6EED" w:rsidP="00F232B7">
      <w:pPr>
        <w:pStyle w:val="NICEnormalnumbered"/>
        <w:rPr>
          <w:noProof w:val="0"/>
        </w:rPr>
      </w:pPr>
      <w:r w:rsidRPr="004A27A1">
        <w:rPr>
          <w:noProof w:val="0"/>
        </w:rPr>
        <w:lastRenderedPageBreak/>
        <w:t xml:space="preserve">The policy for advisory committees </w:t>
      </w:r>
      <w:r w:rsidR="00071EBF" w:rsidRPr="004A27A1">
        <w:rPr>
          <w:noProof w:val="0"/>
        </w:rPr>
        <w:t>was updated in Nov</w:t>
      </w:r>
      <w:r w:rsidRPr="004A27A1">
        <w:rPr>
          <w:noProof w:val="0"/>
        </w:rPr>
        <w:t xml:space="preserve">ember 2025. </w:t>
      </w:r>
      <w:r w:rsidR="00DD0331" w:rsidRPr="004A27A1">
        <w:rPr>
          <w:noProof w:val="0"/>
        </w:rPr>
        <w:t xml:space="preserve"> </w:t>
      </w:r>
      <w:r w:rsidR="00D24256" w:rsidRPr="004A27A1">
        <w:rPr>
          <w:noProof w:val="0"/>
        </w:rPr>
        <w:t xml:space="preserve">Feedback from teams was that the policy was working well and therefore there were no major changes </w:t>
      </w:r>
      <w:r w:rsidR="000E007D" w:rsidRPr="004A27A1">
        <w:rPr>
          <w:noProof w:val="0"/>
        </w:rPr>
        <w:t>made</w:t>
      </w:r>
      <w:r w:rsidR="00AC121F" w:rsidRPr="004A27A1">
        <w:rPr>
          <w:noProof w:val="0"/>
        </w:rPr>
        <w:t>,</w:t>
      </w:r>
      <w:r w:rsidR="00D24256" w:rsidRPr="004A27A1">
        <w:rPr>
          <w:noProof w:val="0"/>
        </w:rPr>
        <w:t xml:space="preserve"> and no material changes to the handling of interests.  Minor updates were made </w:t>
      </w:r>
      <w:r w:rsidR="005C5CDF" w:rsidRPr="004A27A1">
        <w:rPr>
          <w:noProof w:val="0"/>
        </w:rPr>
        <w:t>to provide some clarifications and to update terminology</w:t>
      </w:r>
      <w:r w:rsidR="00AC121F" w:rsidRPr="004A27A1">
        <w:rPr>
          <w:noProof w:val="0"/>
        </w:rPr>
        <w:t>,</w:t>
      </w:r>
      <w:r w:rsidR="005C5CDF" w:rsidRPr="004A27A1">
        <w:rPr>
          <w:noProof w:val="0"/>
        </w:rPr>
        <w:t xml:space="preserve"> but importantly the existing flexibility </w:t>
      </w:r>
      <w:r w:rsidR="008A7B6D" w:rsidRPr="004A27A1">
        <w:rPr>
          <w:noProof w:val="0"/>
        </w:rPr>
        <w:t xml:space="preserve">was retained </w:t>
      </w:r>
      <w:r w:rsidR="005C5CDF" w:rsidRPr="004A27A1">
        <w:rPr>
          <w:noProof w:val="0"/>
        </w:rPr>
        <w:t xml:space="preserve">for teams to take a proportionate </w:t>
      </w:r>
      <w:proofErr w:type="gramStart"/>
      <w:r w:rsidR="005C5CDF" w:rsidRPr="004A27A1">
        <w:rPr>
          <w:noProof w:val="0"/>
        </w:rPr>
        <w:t>risk based</w:t>
      </w:r>
      <w:proofErr w:type="gramEnd"/>
      <w:r w:rsidR="005C5CDF" w:rsidRPr="004A27A1">
        <w:rPr>
          <w:noProof w:val="0"/>
        </w:rPr>
        <w:t xml:space="preserve"> approach</w:t>
      </w:r>
      <w:r w:rsidR="008A7B6D" w:rsidRPr="004A27A1">
        <w:rPr>
          <w:noProof w:val="0"/>
        </w:rPr>
        <w:t xml:space="preserve"> to managing interests.</w:t>
      </w:r>
    </w:p>
    <w:p w14:paraId="641A6E78" w14:textId="220C10C3" w:rsidR="00DC4787" w:rsidRPr="004A27A1" w:rsidRDefault="007B6EED" w:rsidP="00614D70">
      <w:pPr>
        <w:pStyle w:val="NICEnormalnumbered"/>
        <w:rPr>
          <w:noProof w:val="0"/>
        </w:rPr>
      </w:pPr>
      <w:r w:rsidRPr="004A27A1">
        <w:rPr>
          <w:noProof w:val="0"/>
        </w:rPr>
        <w:t xml:space="preserve"> </w:t>
      </w:r>
      <w:r w:rsidR="00614D70" w:rsidRPr="004A27A1">
        <w:rPr>
          <w:noProof w:val="0"/>
        </w:rPr>
        <w:t xml:space="preserve">The policy for board members and employees is next scheduled </w:t>
      </w:r>
      <w:r w:rsidR="00CB2256" w:rsidRPr="004A27A1">
        <w:rPr>
          <w:noProof w:val="0"/>
        </w:rPr>
        <w:t xml:space="preserve">to be </w:t>
      </w:r>
      <w:r w:rsidR="00614D70" w:rsidRPr="004A27A1">
        <w:rPr>
          <w:noProof w:val="0"/>
        </w:rPr>
        <w:t>review</w:t>
      </w:r>
      <w:r w:rsidR="00CB2256" w:rsidRPr="004A27A1">
        <w:rPr>
          <w:noProof w:val="0"/>
        </w:rPr>
        <w:t>ed</w:t>
      </w:r>
      <w:r w:rsidR="00614D70" w:rsidRPr="004A27A1">
        <w:rPr>
          <w:noProof w:val="0"/>
        </w:rPr>
        <w:t xml:space="preserve"> in July 2027.</w:t>
      </w:r>
    </w:p>
    <w:p w14:paraId="344479A3" w14:textId="0F2D48D1" w:rsidR="00C50C3F" w:rsidRPr="004A27A1" w:rsidRDefault="00C50C3F" w:rsidP="00F232B7">
      <w:pPr>
        <w:pStyle w:val="NICEnormalnumbered"/>
        <w:rPr>
          <w:noProof w:val="0"/>
        </w:rPr>
      </w:pPr>
      <w:r w:rsidRPr="004A27A1">
        <w:rPr>
          <w:noProof w:val="0"/>
          <w:color w:val="000000" w:themeColor="text1"/>
        </w:rPr>
        <w:t>The</w:t>
      </w:r>
      <w:r w:rsidR="0066672F" w:rsidRPr="004A27A1">
        <w:rPr>
          <w:noProof w:val="0"/>
          <w:color w:val="000000" w:themeColor="text1"/>
        </w:rPr>
        <w:t xml:space="preserve"> </w:t>
      </w:r>
      <w:r w:rsidR="00655C80" w:rsidRPr="004A27A1">
        <w:rPr>
          <w:noProof w:val="0"/>
          <w:color w:val="000000" w:themeColor="text1"/>
        </w:rPr>
        <w:t>ARAC</w:t>
      </w:r>
      <w:r w:rsidR="0066672F" w:rsidRPr="004A27A1">
        <w:rPr>
          <w:noProof w:val="0"/>
          <w:color w:val="000000" w:themeColor="text1"/>
        </w:rPr>
        <w:t xml:space="preserve"> </w:t>
      </w:r>
      <w:r w:rsidR="00DC4787" w:rsidRPr="004A27A1">
        <w:rPr>
          <w:noProof w:val="0"/>
          <w:color w:val="000000" w:themeColor="text1"/>
        </w:rPr>
        <w:t>received a</w:t>
      </w:r>
      <w:r w:rsidR="00C64B56" w:rsidRPr="004A27A1">
        <w:rPr>
          <w:noProof w:val="0"/>
          <w:color w:val="000000" w:themeColor="text1"/>
        </w:rPr>
        <w:t xml:space="preserve"> report </w:t>
      </w:r>
      <w:r w:rsidR="009E4430" w:rsidRPr="004A27A1">
        <w:rPr>
          <w:noProof w:val="0"/>
          <w:color w:val="000000" w:themeColor="text1"/>
        </w:rPr>
        <w:t xml:space="preserve">of </w:t>
      </w:r>
      <w:r w:rsidR="009104CF" w:rsidRPr="004A27A1">
        <w:rPr>
          <w:noProof w:val="0"/>
          <w:color w:val="000000" w:themeColor="text1"/>
        </w:rPr>
        <w:t>one</w:t>
      </w:r>
      <w:r w:rsidR="009E4430" w:rsidRPr="004A27A1">
        <w:rPr>
          <w:noProof w:val="0"/>
          <w:color w:val="000000" w:themeColor="text1"/>
        </w:rPr>
        <w:t xml:space="preserve"> breach of the </w:t>
      </w:r>
      <w:r w:rsidR="009F7FDF" w:rsidRPr="004A27A1">
        <w:rPr>
          <w:noProof w:val="0"/>
          <w:color w:val="000000" w:themeColor="text1"/>
        </w:rPr>
        <w:t xml:space="preserve">advisory committee </w:t>
      </w:r>
      <w:r w:rsidR="009E4430" w:rsidRPr="004A27A1">
        <w:rPr>
          <w:noProof w:val="0"/>
          <w:color w:val="000000" w:themeColor="text1"/>
        </w:rPr>
        <w:t xml:space="preserve">policy </w:t>
      </w:r>
      <w:r w:rsidR="007E5F93" w:rsidRPr="004A27A1">
        <w:rPr>
          <w:noProof w:val="0"/>
          <w:color w:val="000000" w:themeColor="text1"/>
        </w:rPr>
        <w:t xml:space="preserve">that had been identified </w:t>
      </w:r>
      <w:r w:rsidR="009104CF" w:rsidRPr="004A27A1">
        <w:rPr>
          <w:noProof w:val="0"/>
          <w:color w:val="000000" w:themeColor="text1"/>
        </w:rPr>
        <w:t>in the year</w:t>
      </w:r>
      <w:r w:rsidR="007E5F93" w:rsidRPr="004A27A1">
        <w:rPr>
          <w:noProof w:val="0"/>
          <w:color w:val="000000" w:themeColor="text1"/>
        </w:rPr>
        <w:t>.  A</w:t>
      </w:r>
      <w:r w:rsidR="009E4430" w:rsidRPr="004A27A1">
        <w:rPr>
          <w:noProof w:val="0"/>
          <w:color w:val="000000" w:themeColor="text1"/>
        </w:rPr>
        <w:t xml:space="preserve">t its meeting in </w:t>
      </w:r>
      <w:r w:rsidR="00075FE9" w:rsidRPr="004A27A1">
        <w:rPr>
          <w:noProof w:val="0"/>
          <w:color w:val="000000" w:themeColor="text1"/>
        </w:rPr>
        <w:t>May</w:t>
      </w:r>
      <w:r w:rsidR="009E4430" w:rsidRPr="004A27A1">
        <w:rPr>
          <w:noProof w:val="0"/>
          <w:color w:val="000000" w:themeColor="text1"/>
        </w:rPr>
        <w:t xml:space="preserve"> 202</w:t>
      </w:r>
      <w:r w:rsidR="009104CF" w:rsidRPr="004A27A1">
        <w:rPr>
          <w:noProof w:val="0"/>
          <w:color w:val="000000" w:themeColor="text1"/>
        </w:rPr>
        <w:t>6</w:t>
      </w:r>
      <w:r w:rsidR="007E5F93" w:rsidRPr="004A27A1">
        <w:rPr>
          <w:noProof w:val="0"/>
          <w:color w:val="000000" w:themeColor="text1"/>
        </w:rPr>
        <w:t xml:space="preserve">, it noted that a </w:t>
      </w:r>
      <w:r w:rsidR="002F051B" w:rsidRPr="004A27A1">
        <w:rPr>
          <w:noProof w:val="0"/>
          <w:color w:val="000000" w:themeColor="text1"/>
        </w:rPr>
        <w:t>br</w:t>
      </w:r>
      <w:r w:rsidR="00075FE9" w:rsidRPr="004A27A1">
        <w:rPr>
          <w:noProof w:val="0"/>
          <w:color w:val="000000" w:themeColor="text1"/>
        </w:rPr>
        <w:t xml:space="preserve">each was identified in </w:t>
      </w:r>
      <w:r w:rsidR="00AE0A05" w:rsidRPr="004A27A1">
        <w:rPr>
          <w:noProof w:val="0"/>
          <w:color w:val="000000" w:themeColor="text1"/>
        </w:rPr>
        <w:t>February 2026</w:t>
      </w:r>
      <w:r w:rsidR="008551CD" w:rsidRPr="004A27A1">
        <w:rPr>
          <w:noProof w:val="0"/>
          <w:color w:val="000000" w:themeColor="text1"/>
        </w:rPr>
        <w:t xml:space="preserve"> and </w:t>
      </w:r>
      <w:r w:rsidR="002F051B" w:rsidRPr="004A27A1">
        <w:rPr>
          <w:noProof w:val="0"/>
          <w:color w:val="000000" w:themeColor="text1"/>
        </w:rPr>
        <w:t xml:space="preserve">that </w:t>
      </w:r>
      <w:r w:rsidR="008551CD" w:rsidRPr="004A27A1">
        <w:rPr>
          <w:noProof w:val="0"/>
          <w:color w:val="000000" w:themeColor="text1"/>
        </w:rPr>
        <w:t xml:space="preserve">following investigation it </w:t>
      </w:r>
      <w:r w:rsidR="0066672F" w:rsidRPr="004A27A1">
        <w:rPr>
          <w:noProof w:val="0"/>
          <w:color w:val="000000" w:themeColor="text1"/>
        </w:rPr>
        <w:t xml:space="preserve">was </w:t>
      </w:r>
      <w:r w:rsidR="00A72286" w:rsidRPr="004A27A1">
        <w:rPr>
          <w:noProof w:val="0"/>
          <w:color w:val="000000" w:themeColor="text1"/>
        </w:rPr>
        <w:t>classed as a</w:t>
      </w:r>
      <w:r w:rsidRPr="004A27A1">
        <w:rPr>
          <w:noProof w:val="0"/>
          <w:color w:val="000000" w:themeColor="text1"/>
        </w:rPr>
        <w:t xml:space="preserve"> </w:t>
      </w:r>
      <w:r w:rsidR="007030BA" w:rsidRPr="004A27A1">
        <w:rPr>
          <w:noProof w:val="0"/>
          <w:color w:val="000000" w:themeColor="text1"/>
        </w:rPr>
        <w:t xml:space="preserve">minor </w:t>
      </w:r>
      <w:r w:rsidRPr="004A27A1">
        <w:rPr>
          <w:noProof w:val="0"/>
          <w:color w:val="000000" w:themeColor="text1"/>
        </w:rPr>
        <w:t>breach</w:t>
      </w:r>
      <w:r w:rsidR="008551CD" w:rsidRPr="004A27A1">
        <w:rPr>
          <w:noProof w:val="0"/>
          <w:color w:val="000000" w:themeColor="text1"/>
        </w:rPr>
        <w:t>.  The details were that a</w:t>
      </w:r>
      <w:r w:rsidR="008551CD" w:rsidRPr="004A27A1">
        <w:rPr>
          <w:rFonts w:cs="Arial"/>
          <w:noProof w:val="0"/>
        </w:rPr>
        <w:t xml:space="preserve"> company </w:t>
      </w:r>
      <w:r w:rsidR="002F051B" w:rsidRPr="004A27A1">
        <w:rPr>
          <w:rFonts w:cs="Arial"/>
          <w:noProof w:val="0"/>
        </w:rPr>
        <w:t xml:space="preserve">had </w:t>
      </w:r>
      <w:r w:rsidR="008551CD" w:rsidRPr="004A27A1">
        <w:rPr>
          <w:rFonts w:cs="Arial"/>
          <w:noProof w:val="0"/>
        </w:rPr>
        <w:t xml:space="preserve">raised concerns that a specialist committee member </w:t>
      </w:r>
      <w:r w:rsidR="002F051B" w:rsidRPr="004A27A1">
        <w:rPr>
          <w:rFonts w:cs="Arial"/>
          <w:noProof w:val="0"/>
        </w:rPr>
        <w:t xml:space="preserve">(a consultant) </w:t>
      </w:r>
      <w:r w:rsidR="008551CD" w:rsidRPr="004A27A1">
        <w:rPr>
          <w:rFonts w:cs="Arial"/>
          <w:noProof w:val="0"/>
        </w:rPr>
        <w:t>had not disclosed what the</w:t>
      </w:r>
      <w:r w:rsidR="00485914" w:rsidRPr="004A27A1">
        <w:rPr>
          <w:rFonts w:cs="Arial"/>
          <w:noProof w:val="0"/>
        </w:rPr>
        <w:t xml:space="preserve"> company </w:t>
      </w:r>
      <w:r w:rsidR="008551CD" w:rsidRPr="004A27A1">
        <w:rPr>
          <w:rFonts w:cs="Arial"/>
          <w:noProof w:val="0"/>
        </w:rPr>
        <w:t>considered relevant information, including connections to a technology which had been recommende</w:t>
      </w:r>
      <w:r w:rsidR="00590A08" w:rsidRPr="004A27A1">
        <w:rPr>
          <w:rFonts w:cs="Arial"/>
          <w:noProof w:val="0"/>
        </w:rPr>
        <w:t xml:space="preserve">d.  </w:t>
      </w:r>
      <w:r w:rsidR="00702866" w:rsidRPr="004A27A1">
        <w:rPr>
          <w:rFonts w:cs="Arial"/>
          <w:noProof w:val="0"/>
        </w:rPr>
        <w:t xml:space="preserve">However, </w:t>
      </w:r>
      <w:r w:rsidR="00A230E0" w:rsidRPr="004A27A1">
        <w:rPr>
          <w:rFonts w:cs="Arial"/>
          <w:noProof w:val="0"/>
        </w:rPr>
        <w:t xml:space="preserve">several of the </w:t>
      </w:r>
      <w:r w:rsidR="00425C79" w:rsidRPr="004A27A1">
        <w:rPr>
          <w:rFonts w:cs="Arial"/>
          <w:noProof w:val="0"/>
        </w:rPr>
        <w:t xml:space="preserve">interests highlighted by the company </w:t>
      </w:r>
      <w:r w:rsidR="00A230E0" w:rsidRPr="004A27A1">
        <w:rPr>
          <w:rFonts w:cs="Arial"/>
          <w:noProof w:val="0"/>
        </w:rPr>
        <w:t>had already been declared and the committee member provided additional clarification in response to further questions</w:t>
      </w:r>
      <w:r w:rsidR="00702866" w:rsidRPr="004A27A1">
        <w:rPr>
          <w:rFonts w:cs="Arial"/>
          <w:noProof w:val="0"/>
        </w:rPr>
        <w:t xml:space="preserve"> from the company</w:t>
      </w:r>
      <w:r w:rsidR="00A230E0" w:rsidRPr="004A27A1">
        <w:rPr>
          <w:rFonts w:cs="Arial"/>
          <w:noProof w:val="0"/>
        </w:rPr>
        <w:t>.  The breach was assessed as relating to some omitted details, and therefore the committee member update</w:t>
      </w:r>
      <w:r w:rsidR="00EA78E2" w:rsidRPr="004A27A1">
        <w:rPr>
          <w:rFonts w:cs="Arial"/>
          <w:noProof w:val="0"/>
        </w:rPr>
        <w:t>d</w:t>
      </w:r>
      <w:r w:rsidR="00A230E0" w:rsidRPr="004A27A1">
        <w:rPr>
          <w:rFonts w:cs="Arial"/>
          <w:noProof w:val="0"/>
        </w:rPr>
        <w:t xml:space="preserve"> their DOI </w:t>
      </w:r>
      <w:proofErr w:type="gramStart"/>
      <w:r w:rsidR="00A230E0" w:rsidRPr="004A27A1">
        <w:rPr>
          <w:rFonts w:cs="Arial"/>
          <w:noProof w:val="0"/>
        </w:rPr>
        <w:t>form</w:t>
      </w:r>
      <w:proofErr w:type="gramEnd"/>
      <w:r w:rsidR="00A230E0" w:rsidRPr="004A27A1">
        <w:rPr>
          <w:rFonts w:cs="Arial"/>
          <w:noProof w:val="0"/>
        </w:rPr>
        <w:t xml:space="preserve"> and the register </w:t>
      </w:r>
      <w:r w:rsidR="00EA78E2" w:rsidRPr="004A27A1">
        <w:rPr>
          <w:rFonts w:cs="Arial"/>
          <w:noProof w:val="0"/>
        </w:rPr>
        <w:t>was</w:t>
      </w:r>
      <w:r w:rsidR="00A230E0" w:rsidRPr="004A27A1">
        <w:rPr>
          <w:rFonts w:cs="Arial"/>
          <w:noProof w:val="0"/>
        </w:rPr>
        <w:t xml:space="preserve"> </w:t>
      </w:r>
      <w:r w:rsidR="00EA78E2" w:rsidRPr="004A27A1">
        <w:rPr>
          <w:rFonts w:cs="Arial"/>
          <w:noProof w:val="0"/>
        </w:rPr>
        <w:t>re-</w:t>
      </w:r>
      <w:r w:rsidR="00A230E0" w:rsidRPr="004A27A1">
        <w:rPr>
          <w:rFonts w:cs="Arial"/>
          <w:noProof w:val="0"/>
        </w:rPr>
        <w:t>published online</w:t>
      </w:r>
      <w:r w:rsidR="00EA78E2" w:rsidRPr="004A27A1">
        <w:rPr>
          <w:rFonts w:cs="Arial"/>
          <w:noProof w:val="0"/>
        </w:rPr>
        <w:t>.</w:t>
      </w:r>
      <w:r w:rsidR="009A1CAD" w:rsidRPr="004A27A1">
        <w:rPr>
          <w:rFonts w:cs="Arial"/>
          <w:noProof w:val="0"/>
        </w:rPr>
        <w:t xml:space="preserve">  It was concluded that the interest would not have prevented their participation, and the matter was closed</w:t>
      </w:r>
      <w:r w:rsidR="007E5F93" w:rsidRPr="004A27A1">
        <w:rPr>
          <w:rFonts w:cs="Arial"/>
          <w:noProof w:val="0"/>
        </w:rPr>
        <w:t>.</w:t>
      </w:r>
      <w:r w:rsidRPr="004A27A1">
        <w:rPr>
          <w:noProof w:val="0"/>
          <w:color w:val="000000" w:themeColor="text1"/>
        </w:rPr>
        <w:t xml:space="preserve"> </w:t>
      </w:r>
    </w:p>
    <w:p w14:paraId="0577A5EF" w14:textId="19AD38A9" w:rsidR="00C50C3F" w:rsidRPr="004A27A1" w:rsidRDefault="00C50C3F" w:rsidP="00C50C3F">
      <w:pPr>
        <w:pStyle w:val="Heading3"/>
      </w:pPr>
      <w:r w:rsidRPr="004A27A1">
        <w:t>Government functional standards</w:t>
      </w:r>
    </w:p>
    <w:p w14:paraId="3D604C21" w14:textId="3843F1E1" w:rsidR="00BA40B7" w:rsidRPr="004A27A1" w:rsidRDefault="00BA40B7" w:rsidP="006045AC">
      <w:pPr>
        <w:pStyle w:val="NICEnormalnumbered"/>
        <w:rPr>
          <w:noProof w:val="0"/>
        </w:rPr>
      </w:pPr>
      <w:r w:rsidRPr="004A27A1">
        <w:rPr>
          <w:noProof w:val="0"/>
        </w:rPr>
        <w:t xml:space="preserve">The committee </w:t>
      </w:r>
      <w:r w:rsidR="007D24D3" w:rsidRPr="004A27A1">
        <w:rPr>
          <w:noProof w:val="0"/>
        </w:rPr>
        <w:t>was advised of NICE’s</w:t>
      </w:r>
      <w:r w:rsidRPr="004A27A1">
        <w:rPr>
          <w:noProof w:val="0"/>
        </w:rPr>
        <w:t xml:space="preserve"> compliance</w:t>
      </w:r>
      <w:r w:rsidR="007D24D3" w:rsidRPr="004A27A1">
        <w:rPr>
          <w:noProof w:val="0"/>
        </w:rPr>
        <w:t xml:space="preserve"> levels</w:t>
      </w:r>
      <w:r w:rsidRPr="004A27A1">
        <w:rPr>
          <w:noProof w:val="0"/>
        </w:rPr>
        <w:t xml:space="preserve"> with the </w:t>
      </w:r>
      <w:r w:rsidR="00C64325" w:rsidRPr="004A27A1">
        <w:rPr>
          <w:noProof w:val="0"/>
        </w:rPr>
        <w:t xml:space="preserve">Government </w:t>
      </w:r>
      <w:r w:rsidRPr="004A27A1">
        <w:rPr>
          <w:noProof w:val="0"/>
        </w:rPr>
        <w:t>functional standards</w:t>
      </w:r>
      <w:r w:rsidR="00495FE4" w:rsidRPr="004A27A1">
        <w:rPr>
          <w:noProof w:val="0"/>
        </w:rPr>
        <w:t xml:space="preserve"> in May</w:t>
      </w:r>
      <w:r w:rsidR="006C186E" w:rsidRPr="004A27A1">
        <w:rPr>
          <w:noProof w:val="0"/>
        </w:rPr>
        <w:t xml:space="preserve"> 2026</w:t>
      </w:r>
      <w:r w:rsidRPr="004A27A1">
        <w:rPr>
          <w:noProof w:val="0"/>
        </w:rPr>
        <w:t xml:space="preserve">, particularly </w:t>
      </w:r>
      <w:r w:rsidR="00F8753B" w:rsidRPr="004A27A1">
        <w:rPr>
          <w:noProof w:val="0"/>
        </w:rPr>
        <w:t xml:space="preserve">the </w:t>
      </w:r>
      <w:r w:rsidRPr="004A27A1">
        <w:rPr>
          <w:noProof w:val="0"/>
        </w:rPr>
        <w:t>finance, commercial</w:t>
      </w:r>
      <w:r w:rsidR="00F91769" w:rsidRPr="004A27A1">
        <w:rPr>
          <w:noProof w:val="0"/>
        </w:rPr>
        <w:t>,</w:t>
      </w:r>
      <w:r w:rsidRPr="004A27A1">
        <w:rPr>
          <w:noProof w:val="0"/>
        </w:rPr>
        <w:t xml:space="preserve"> counter fraud</w:t>
      </w:r>
      <w:r w:rsidR="00F91769" w:rsidRPr="004A27A1">
        <w:rPr>
          <w:noProof w:val="0"/>
        </w:rPr>
        <w:t xml:space="preserve"> and people</w:t>
      </w:r>
      <w:r w:rsidR="0001727C" w:rsidRPr="004A27A1">
        <w:rPr>
          <w:noProof w:val="0"/>
        </w:rPr>
        <w:t xml:space="preserve"> standards</w:t>
      </w:r>
      <w:r w:rsidR="00F91769" w:rsidRPr="004A27A1">
        <w:rPr>
          <w:noProof w:val="0"/>
        </w:rPr>
        <w:t>.</w:t>
      </w:r>
    </w:p>
    <w:p w14:paraId="1DEA3460" w14:textId="350D3EF4" w:rsidR="009A2B8A" w:rsidRPr="004A27A1" w:rsidRDefault="009A2B8A" w:rsidP="006045AC">
      <w:pPr>
        <w:pStyle w:val="NICEnormalnumbered"/>
        <w:rPr>
          <w:noProof w:val="0"/>
        </w:rPr>
      </w:pPr>
      <w:r w:rsidRPr="004A27A1">
        <w:rPr>
          <w:noProof w:val="0"/>
        </w:rPr>
        <w:t xml:space="preserve">NICE has a nominated director and senior lead responsible for </w:t>
      </w:r>
      <w:r w:rsidR="002A1726" w:rsidRPr="004A27A1">
        <w:rPr>
          <w:noProof w:val="0"/>
        </w:rPr>
        <w:t>monitor</w:t>
      </w:r>
      <w:r w:rsidRPr="004A27A1">
        <w:rPr>
          <w:noProof w:val="0"/>
        </w:rPr>
        <w:t>ing compliance with the standards</w:t>
      </w:r>
      <w:r w:rsidR="002A1726" w:rsidRPr="004A27A1">
        <w:rPr>
          <w:noProof w:val="0"/>
        </w:rPr>
        <w:t>.</w:t>
      </w:r>
      <w:r w:rsidRPr="004A27A1">
        <w:rPr>
          <w:noProof w:val="0"/>
        </w:rPr>
        <w:t xml:space="preserve"> </w:t>
      </w:r>
      <w:r w:rsidR="002A1726" w:rsidRPr="004A27A1">
        <w:rPr>
          <w:noProof w:val="0"/>
        </w:rPr>
        <w:t>They</w:t>
      </w:r>
      <w:r w:rsidRPr="004A27A1">
        <w:rPr>
          <w:noProof w:val="0"/>
        </w:rPr>
        <w:t xml:space="preserve"> </w:t>
      </w:r>
      <w:r w:rsidR="002A1726" w:rsidRPr="004A27A1">
        <w:rPr>
          <w:noProof w:val="0"/>
        </w:rPr>
        <w:t xml:space="preserve">ensure </w:t>
      </w:r>
      <w:r w:rsidR="006177E4" w:rsidRPr="004A27A1">
        <w:rPr>
          <w:noProof w:val="0"/>
        </w:rPr>
        <w:t>work</w:t>
      </w:r>
      <w:r w:rsidRPr="004A27A1">
        <w:rPr>
          <w:noProof w:val="0"/>
        </w:rPr>
        <w:t xml:space="preserve"> is proportionate to NICE’s size and remit and </w:t>
      </w:r>
      <w:r w:rsidR="008E527F" w:rsidRPr="004A27A1">
        <w:rPr>
          <w:noProof w:val="0"/>
        </w:rPr>
        <w:t>is aimed at</w:t>
      </w:r>
      <w:r w:rsidRPr="004A27A1">
        <w:rPr>
          <w:noProof w:val="0"/>
        </w:rPr>
        <w:t xml:space="preserve"> driv</w:t>
      </w:r>
      <w:r w:rsidR="008E527F" w:rsidRPr="004A27A1">
        <w:rPr>
          <w:noProof w:val="0"/>
        </w:rPr>
        <w:t>ing</w:t>
      </w:r>
      <w:r w:rsidRPr="004A27A1">
        <w:rPr>
          <w:noProof w:val="0"/>
        </w:rPr>
        <w:t xml:space="preserve"> continuous improvement over time.  Self-assessments have been completed and </w:t>
      </w:r>
      <w:r w:rsidR="008A75A7" w:rsidRPr="004A27A1">
        <w:rPr>
          <w:noProof w:val="0"/>
        </w:rPr>
        <w:t>review</w:t>
      </w:r>
      <w:r w:rsidRPr="004A27A1">
        <w:rPr>
          <w:noProof w:val="0"/>
        </w:rPr>
        <w:t xml:space="preserve">ed </w:t>
      </w:r>
      <w:r w:rsidR="008A75A7" w:rsidRPr="004A27A1">
        <w:rPr>
          <w:noProof w:val="0"/>
        </w:rPr>
        <w:t xml:space="preserve">for </w:t>
      </w:r>
      <w:r w:rsidR="006637B1" w:rsidRPr="004A27A1">
        <w:rPr>
          <w:noProof w:val="0"/>
        </w:rPr>
        <w:t>all</w:t>
      </w:r>
      <w:r w:rsidRPr="004A27A1">
        <w:rPr>
          <w:noProof w:val="0"/>
        </w:rPr>
        <w:t xml:space="preserve"> 1</w:t>
      </w:r>
      <w:r w:rsidR="006378DF" w:rsidRPr="004A27A1">
        <w:rPr>
          <w:noProof w:val="0"/>
        </w:rPr>
        <w:t>2</w:t>
      </w:r>
      <w:r w:rsidRPr="004A27A1">
        <w:rPr>
          <w:noProof w:val="0"/>
        </w:rPr>
        <w:t xml:space="preserve"> applicable standards.  The grants standard is not applicable to NICE</w:t>
      </w:r>
      <w:r w:rsidR="00807A0F" w:rsidRPr="004A27A1">
        <w:rPr>
          <w:noProof w:val="0"/>
        </w:rPr>
        <w:t xml:space="preserve">, and we do not self-assess against </w:t>
      </w:r>
      <w:r w:rsidR="00807A0F" w:rsidRPr="004A27A1">
        <w:rPr>
          <w:noProof w:val="0"/>
        </w:rPr>
        <w:lastRenderedPageBreak/>
        <w:t>the security standard, as we complete the NHS d</w:t>
      </w:r>
      <w:r w:rsidR="00B67F1C" w:rsidRPr="004A27A1">
        <w:rPr>
          <w:noProof w:val="0"/>
        </w:rPr>
        <w:t>ata</w:t>
      </w:r>
      <w:r w:rsidR="007C4AE8" w:rsidRPr="004A27A1">
        <w:rPr>
          <w:noProof w:val="0"/>
        </w:rPr>
        <w:t xml:space="preserve"> security and</w:t>
      </w:r>
      <w:r w:rsidR="00807A0F" w:rsidRPr="004A27A1">
        <w:rPr>
          <w:noProof w:val="0"/>
        </w:rPr>
        <w:t xml:space="preserve"> protection</w:t>
      </w:r>
      <w:r w:rsidR="007C4AE8" w:rsidRPr="004A27A1">
        <w:rPr>
          <w:noProof w:val="0"/>
        </w:rPr>
        <w:t xml:space="preserve"> toolkit which </w:t>
      </w:r>
      <w:r w:rsidR="001651AE" w:rsidRPr="004A27A1">
        <w:rPr>
          <w:noProof w:val="0"/>
        </w:rPr>
        <w:t xml:space="preserve">is externally assessed annually by the </w:t>
      </w:r>
      <w:r w:rsidR="009F1C07" w:rsidRPr="004A27A1">
        <w:rPr>
          <w:noProof w:val="0"/>
        </w:rPr>
        <w:t>GIAA</w:t>
      </w:r>
      <w:r w:rsidR="001651AE" w:rsidRPr="004A27A1">
        <w:rPr>
          <w:noProof w:val="0"/>
        </w:rPr>
        <w:t>.</w:t>
      </w:r>
    </w:p>
    <w:p w14:paraId="1548DB8C" w14:textId="2D1B6BBE" w:rsidR="006B7413" w:rsidRPr="004A27A1" w:rsidRDefault="008A75A7" w:rsidP="00F232B7">
      <w:pPr>
        <w:pStyle w:val="NICEnormalnumbered"/>
        <w:rPr>
          <w:noProof w:val="0"/>
        </w:rPr>
      </w:pPr>
      <w:r w:rsidRPr="004A27A1">
        <w:rPr>
          <w:noProof w:val="0"/>
        </w:rPr>
        <w:t xml:space="preserve">We have </w:t>
      </w:r>
      <w:r w:rsidR="006A42BA" w:rsidRPr="004A27A1">
        <w:rPr>
          <w:noProof w:val="0"/>
        </w:rPr>
        <w:t>complete</w:t>
      </w:r>
      <w:r w:rsidRPr="004A27A1">
        <w:rPr>
          <w:noProof w:val="0"/>
        </w:rPr>
        <w:t>d</w:t>
      </w:r>
      <w:r w:rsidR="006A42BA" w:rsidRPr="004A27A1">
        <w:rPr>
          <w:noProof w:val="0"/>
        </w:rPr>
        <w:t xml:space="preserve"> a continuous improvement assessment framework (CIAF) for</w:t>
      </w:r>
      <w:r w:rsidR="00BE3148" w:rsidRPr="004A27A1">
        <w:rPr>
          <w:noProof w:val="0"/>
        </w:rPr>
        <w:t xml:space="preserve"> the </w:t>
      </w:r>
      <w:r w:rsidR="006356EE" w:rsidRPr="004A27A1">
        <w:rPr>
          <w:noProof w:val="0"/>
        </w:rPr>
        <w:t>commercial and counter fraud</w:t>
      </w:r>
      <w:r w:rsidR="00BE3148" w:rsidRPr="004A27A1">
        <w:rPr>
          <w:noProof w:val="0"/>
        </w:rPr>
        <w:t xml:space="preserve"> functional standards.</w:t>
      </w:r>
      <w:r w:rsidR="006A42BA" w:rsidRPr="004A27A1">
        <w:rPr>
          <w:noProof w:val="0"/>
        </w:rPr>
        <w:t xml:space="preserve">  The commercial CIAF </w:t>
      </w:r>
      <w:r w:rsidR="0000526C" w:rsidRPr="004A27A1">
        <w:rPr>
          <w:noProof w:val="0"/>
        </w:rPr>
        <w:t>has been</w:t>
      </w:r>
      <w:r w:rsidR="006A42BA" w:rsidRPr="004A27A1">
        <w:rPr>
          <w:noProof w:val="0"/>
        </w:rPr>
        <w:t xml:space="preserve"> peer reviewed </w:t>
      </w:r>
      <w:r w:rsidR="00FC76B1" w:rsidRPr="004A27A1">
        <w:rPr>
          <w:noProof w:val="0"/>
        </w:rPr>
        <w:t>ex</w:t>
      </w:r>
      <w:r w:rsidR="00C7315F" w:rsidRPr="004A27A1">
        <w:rPr>
          <w:noProof w:val="0"/>
        </w:rPr>
        <w:t xml:space="preserve">ternally </w:t>
      </w:r>
      <w:r w:rsidR="005A086D" w:rsidRPr="004A27A1">
        <w:rPr>
          <w:noProof w:val="0"/>
        </w:rPr>
        <w:t>(scor</w:t>
      </w:r>
      <w:r w:rsidR="006F4073" w:rsidRPr="004A27A1">
        <w:rPr>
          <w:noProof w:val="0"/>
        </w:rPr>
        <w:t>ing</w:t>
      </w:r>
      <w:r w:rsidR="005A086D" w:rsidRPr="004A27A1">
        <w:rPr>
          <w:noProof w:val="0"/>
        </w:rPr>
        <w:t xml:space="preserve"> 54% compliance) </w:t>
      </w:r>
      <w:r w:rsidR="006A42BA" w:rsidRPr="004A27A1">
        <w:rPr>
          <w:noProof w:val="0"/>
        </w:rPr>
        <w:t xml:space="preserve">and </w:t>
      </w:r>
      <w:r w:rsidR="00F928CF" w:rsidRPr="004A27A1">
        <w:rPr>
          <w:noProof w:val="0"/>
        </w:rPr>
        <w:t xml:space="preserve">is due to be reviewed </w:t>
      </w:r>
      <w:r w:rsidR="005A086D" w:rsidRPr="004A27A1">
        <w:rPr>
          <w:noProof w:val="0"/>
        </w:rPr>
        <w:t>again in November 2026.</w:t>
      </w:r>
      <w:r w:rsidR="006F29A9" w:rsidRPr="004A27A1">
        <w:rPr>
          <w:noProof w:val="0"/>
        </w:rPr>
        <w:t xml:space="preserve">  </w:t>
      </w:r>
      <w:r w:rsidR="0072237D" w:rsidRPr="004A27A1">
        <w:rPr>
          <w:noProof w:val="0"/>
        </w:rPr>
        <w:t>We have completed the CIAF for the counter fraud standard and a</w:t>
      </w:r>
      <w:r w:rsidR="00FB7BF2" w:rsidRPr="004A27A1">
        <w:rPr>
          <w:noProof w:val="0"/>
        </w:rPr>
        <w:t xml:space="preserve">nticipate this will be </w:t>
      </w:r>
      <w:r w:rsidR="0072237D" w:rsidRPr="004A27A1">
        <w:rPr>
          <w:noProof w:val="0"/>
        </w:rPr>
        <w:t>reviewed by the Public Sector Fraud Authority</w:t>
      </w:r>
      <w:r w:rsidR="00FB7BF2" w:rsidRPr="004A27A1">
        <w:rPr>
          <w:noProof w:val="0"/>
        </w:rPr>
        <w:t xml:space="preserve"> in </w:t>
      </w:r>
      <w:r w:rsidR="00F12FFB" w:rsidRPr="004A27A1">
        <w:rPr>
          <w:noProof w:val="0"/>
        </w:rPr>
        <w:t>the future</w:t>
      </w:r>
      <w:r w:rsidR="0072237D" w:rsidRPr="004A27A1">
        <w:rPr>
          <w:noProof w:val="0"/>
        </w:rPr>
        <w:t>.</w:t>
      </w:r>
    </w:p>
    <w:p w14:paraId="4D79E362" w14:textId="06A751C0" w:rsidR="00D32C43" w:rsidRPr="004A27A1" w:rsidRDefault="006875C3" w:rsidP="00F232B7">
      <w:pPr>
        <w:pStyle w:val="NICEnormalnumbered"/>
        <w:rPr>
          <w:noProof w:val="0"/>
        </w:rPr>
      </w:pPr>
      <w:r w:rsidRPr="004A27A1">
        <w:rPr>
          <w:noProof w:val="0"/>
        </w:rPr>
        <w:t>The recent</w:t>
      </w:r>
      <w:r w:rsidR="00897428" w:rsidRPr="004A27A1">
        <w:rPr>
          <w:noProof w:val="0"/>
        </w:rPr>
        <w:t xml:space="preserve"> GIAA</w:t>
      </w:r>
      <w:r w:rsidRPr="004A27A1">
        <w:rPr>
          <w:noProof w:val="0"/>
        </w:rPr>
        <w:t xml:space="preserve"> internal audit of budget management</w:t>
      </w:r>
      <w:r w:rsidR="002856CB" w:rsidRPr="004A27A1">
        <w:rPr>
          <w:noProof w:val="0"/>
        </w:rPr>
        <w:t xml:space="preserve"> assessed NICE’s controls and </w:t>
      </w:r>
      <w:r w:rsidR="00897428" w:rsidRPr="004A27A1">
        <w:rPr>
          <w:noProof w:val="0"/>
        </w:rPr>
        <w:t xml:space="preserve">practices against the finance functional standard, in addition to other </w:t>
      </w:r>
      <w:r w:rsidR="00FF177C" w:rsidRPr="004A27A1">
        <w:rPr>
          <w:noProof w:val="0"/>
        </w:rPr>
        <w:t xml:space="preserve">finance </w:t>
      </w:r>
      <w:r w:rsidR="00897428" w:rsidRPr="004A27A1">
        <w:rPr>
          <w:noProof w:val="0"/>
        </w:rPr>
        <w:t>standards, and</w:t>
      </w:r>
      <w:r w:rsidR="00FF177C" w:rsidRPr="004A27A1">
        <w:rPr>
          <w:noProof w:val="0"/>
        </w:rPr>
        <w:t xml:space="preserve"> </w:t>
      </w:r>
      <w:r w:rsidR="00135A34" w:rsidRPr="004A27A1">
        <w:rPr>
          <w:noProof w:val="0"/>
        </w:rPr>
        <w:t>identified only two moderate improvement actions.</w:t>
      </w:r>
    </w:p>
    <w:p w14:paraId="5A589DEC" w14:textId="0195659B" w:rsidR="005104B0" w:rsidRPr="004A27A1" w:rsidRDefault="000D571D" w:rsidP="00F232B7">
      <w:pPr>
        <w:pStyle w:val="NICEnormalnumbered"/>
        <w:rPr>
          <w:noProof w:val="0"/>
        </w:rPr>
      </w:pPr>
      <w:r w:rsidRPr="004A27A1">
        <w:rPr>
          <w:noProof w:val="0"/>
        </w:rPr>
        <w:t xml:space="preserve">A </w:t>
      </w:r>
      <w:r w:rsidR="00BA1C04" w:rsidRPr="004A27A1">
        <w:rPr>
          <w:noProof w:val="0"/>
        </w:rPr>
        <w:t xml:space="preserve">self-assessment against the people standard was completed in </w:t>
      </w:r>
      <w:r w:rsidR="00E424CB" w:rsidRPr="004A27A1">
        <w:rPr>
          <w:noProof w:val="0"/>
        </w:rPr>
        <w:t xml:space="preserve">April 2025 </w:t>
      </w:r>
      <w:r w:rsidR="00180393" w:rsidRPr="004A27A1">
        <w:rPr>
          <w:noProof w:val="0"/>
        </w:rPr>
        <w:t>and further review</w:t>
      </w:r>
      <w:r w:rsidR="00A874BE" w:rsidRPr="004A27A1">
        <w:rPr>
          <w:noProof w:val="0"/>
        </w:rPr>
        <w:t>ed in March 2026</w:t>
      </w:r>
      <w:r w:rsidR="00180393" w:rsidRPr="004A27A1">
        <w:rPr>
          <w:noProof w:val="0"/>
        </w:rPr>
        <w:t>.</w:t>
      </w:r>
      <w:r w:rsidR="00155E0D" w:rsidRPr="004A27A1">
        <w:rPr>
          <w:noProof w:val="0"/>
        </w:rPr>
        <w:t xml:space="preserve">  NICE meets </w:t>
      </w:r>
      <w:proofErr w:type="gramStart"/>
      <w:r w:rsidR="00FF24C3" w:rsidRPr="004A27A1">
        <w:rPr>
          <w:noProof w:val="0"/>
        </w:rPr>
        <w:t xml:space="preserve">the majority </w:t>
      </w:r>
      <w:r w:rsidR="00155E0D" w:rsidRPr="004A27A1">
        <w:rPr>
          <w:noProof w:val="0"/>
        </w:rPr>
        <w:t>of</w:t>
      </w:r>
      <w:proofErr w:type="gramEnd"/>
      <w:r w:rsidR="00155E0D" w:rsidRPr="004A27A1">
        <w:rPr>
          <w:noProof w:val="0"/>
        </w:rPr>
        <w:t xml:space="preserve"> the mandatory standard</w:t>
      </w:r>
      <w:r w:rsidR="00FF24C3" w:rsidRPr="004A27A1">
        <w:rPr>
          <w:noProof w:val="0"/>
        </w:rPr>
        <w:t>s</w:t>
      </w:r>
      <w:r w:rsidR="00B46932" w:rsidRPr="004A27A1">
        <w:rPr>
          <w:noProof w:val="0"/>
        </w:rPr>
        <w:t>.</w:t>
      </w:r>
    </w:p>
    <w:p w14:paraId="1A029D41" w14:textId="31D76BDD" w:rsidR="000D571D" w:rsidRPr="004A27A1" w:rsidRDefault="005104B0" w:rsidP="00F232B7">
      <w:pPr>
        <w:pStyle w:val="NICEnormalnumbered"/>
        <w:rPr>
          <w:noProof w:val="0"/>
        </w:rPr>
      </w:pPr>
      <w:r w:rsidRPr="004A27A1">
        <w:rPr>
          <w:noProof w:val="0"/>
        </w:rPr>
        <w:t>The corporate governance team will continue to monitor compliance against the functional standards and ensure NICE responds to any requests for external reviews.</w:t>
      </w:r>
      <w:r w:rsidR="004B6D06" w:rsidRPr="004A27A1">
        <w:rPr>
          <w:noProof w:val="0"/>
        </w:rPr>
        <w:t xml:space="preserve"> </w:t>
      </w:r>
    </w:p>
    <w:p w14:paraId="62B2D980" w14:textId="4CEC496F" w:rsidR="00C50C3F" w:rsidRPr="004A27A1" w:rsidRDefault="00B332FC" w:rsidP="00B332FC">
      <w:pPr>
        <w:pStyle w:val="Heading3"/>
      </w:pPr>
      <w:r w:rsidRPr="004A27A1">
        <w:t>Counter fraud, bribery and corruption</w:t>
      </w:r>
    </w:p>
    <w:p w14:paraId="065F60C5" w14:textId="3F8151C1" w:rsidR="009657EC" w:rsidRPr="004A27A1" w:rsidRDefault="009B003D" w:rsidP="00700CA8">
      <w:pPr>
        <w:pStyle w:val="NICEnormalnumbered"/>
        <w:rPr>
          <w:noProof w:val="0"/>
        </w:rPr>
      </w:pPr>
      <w:r w:rsidRPr="004A27A1">
        <w:rPr>
          <w:noProof w:val="0"/>
        </w:rPr>
        <w:t xml:space="preserve">NICE has a counter fraud, bribery and corruption strategy and </w:t>
      </w:r>
      <w:r w:rsidR="002C29AC" w:rsidRPr="004A27A1">
        <w:rPr>
          <w:noProof w:val="0"/>
        </w:rPr>
        <w:t xml:space="preserve">policy and a separate </w:t>
      </w:r>
      <w:r w:rsidRPr="004A27A1">
        <w:rPr>
          <w:noProof w:val="0"/>
        </w:rPr>
        <w:t xml:space="preserve">response plan which </w:t>
      </w:r>
      <w:r w:rsidR="00994738" w:rsidRPr="004A27A1">
        <w:rPr>
          <w:noProof w:val="0"/>
        </w:rPr>
        <w:t>meet the requirements o</w:t>
      </w:r>
      <w:r w:rsidR="00806809" w:rsidRPr="004A27A1">
        <w:rPr>
          <w:noProof w:val="0"/>
        </w:rPr>
        <w:t>f</w:t>
      </w:r>
      <w:r w:rsidR="00994738" w:rsidRPr="004A27A1">
        <w:rPr>
          <w:noProof w:val="0"/>
        </w:rPr>
        <w:t xml:space="preserve"> the counter fraud CIAF.</w:t>
      </w:r>
      <w:r w:rsidR="00AB605B" w:rsidRPr="004A27A1">
        <w:rPr>
          <w:noProof w:val="0"/>
        </w:rPr>
        <w:t xml:space="preserve">  </w:t>
      </w:r>
      <w:r w:rsidR="004E1318" w:rsidRPr="004A27A1">
        <w:rPr>
          <w:noProof w:val="0"/>
        </w:rPr>
        <w:t xml:space="preserve">In September 2025 </w:t>
      </w:r>
      <w:r w:rsidR="00C16F18" w:rsidRPr="004A27A1">
        <w:rPr>
          <w:noProof w:val="0"/>
        </w:rPr>
        <w:t xml:space="preserve">NICE’s counter fraud arrangements were updated to reflect the new offence </w:t>
      </w:r>
      <w:r w:rsidR="00101F01" w:rsidRPr="004A27A1">
        <w:rPr>
          <w:noProof w:val="0"/>
        </w:rPr>
        <w:t xml:space="preserve">in the </w:t>
      </w:r>
      <w:r w:rsidR="00922F20" w:rsidRPr="004A27A1">
        <w:rPr>
          <w:noProof w:val="0"/>
        </w:rPr>
        <w:t>Economic Crime and Corporate Transparency Act 2023.  The new offence</w:t>
      </w:r>
      <w:r w:rsidR="0057322F" w:rsidRPr="004A27A1">
        <w:rPr>
          <w:noProof w:val="0"/>
        </w:rPr>
        <w:t xml:space="preserve">, which came into effect on 1 September 2025, </w:t>
      </w:r>
      <w:r w:rsidR="00C16F18" w:rsidRPr="004A27A1">
        <w:rPr>
          <w:noProof w:val="0"/>
        </w:rPr>
        <w:t>relate</w:t>
      </w:r>
      <w:r w:rsidR="00922F20" w:rsidRPr="004A27A1">
        <w:rPr>
          <w:noProof w:val="0"/>
        </w:rPr>
        <w:t xml:space="preserve">d </w:t>
      </w:r>
      <w:r w:rsidR="00C16F18" w:rsidRPr="004A27A1">
        <w:rPr>
          <w:noProof w:val="0"/>
        </w:rPr>
        <w:t xml:space="preserve">to fraud </w:t>
      </w:r>
      <w:r w:rsidR="0057322F" w:rsidRPr="004A27A1">
        <w:rPr>
          <w:noProof w:val="0"/>
        </w:rPr>
        <w:t xml:space="preserve">undertaken </w:t>
      </w:r>
      <w:r w:rsidR="00C16F18" w:rsidRPr="004A27A1">
        <w:rPr>
          <w:noProof w:val="0"/>
        </w:rPr>
        <w:t xml:space="preserve">to benefit </w:t>
      </w:r>
      <w:r w:rsidR="0057322F" w:rsidRPr="004A27A1">
        <w:rPr>
          <w:noProof w:val="0"/>
        </w:rPr>
        <w:t xml:space="preserve">an </w:t>
      </w:r>
      <w:r w:rsidR="003C376A" w:rsidRPr="004A27A1">
        <w:rPr>
          <w:noProof w:val="0"/>
        </w:rPr>
        <w:t>individual’s</w:t>
      </w:r>
      <w:r w:rsidR="0057322F" w:rsidRPr="004A27A1">
        <w:rPr>
          <w:noProof w:val="0"/>
        </w:rPr>
        <w:t xml:space="preserve"> employing </w:t>
      </w:r>
      <w:r w:rsidR="00C16F18" w:rsidRPr="004A27A1">
        <w:rPr>
          <w:noProof w:val="0"/>
        </w:rPr>
        <w:t xml:space="preserve">organisation rather than to benefit </w:t>
      </w:r>
      <w:r w:rsidR="00700CA8" w:rsidRPr="004A27A1">
        <w:rPr>
          <w:noProof w:val="0"/>
        </w:rPr>
        <w:t xml:space="preserve">the </w:t>
      </w:r>
      <w:r w:rsidR="00C16F18" w:rsidRPr="004A27A1">
        <w:rPr>
          <w:noProof w:val="0"/>
        </w:rPr>
        <w:t>individual</w:t>
      </w:r>
      <w:r w:rsidR="00700CA8" w:rsidRPr="004A27A1">
        <w:rPr>
          <w:noProof w:val="0"/>
        </w:rPr>
        <w:t xml:space="preserve"> who committed it.  The new Act also required that we </w:t>
      </w:r>
      <w:r w:rsidR="00675115" w:rsidRPr="004A27A1">
        <w:rPr>
          <w:noProof w:val="0"/>
        </w:rPr>
        <w:t>develop</w:t>
      </w:r>
      <w:r w:rsidR="00700CA8" w:rsidRPr="004A27A1">
        <w:rPr>
          <w:noProof w:val="0"/>
        </w:rPr>
        <w:t xml:space="preserve"> a fraud prevention plan</w:t>
      </w:r>
      <w:r w:rsidR="00675115" w:rsidRPr="004A27A1">
        <w:rPr>
          <w:noProof w:val="0"/>
        </w:rPr>
        <w:t>, so this was also approved and adopted.</w:t>
      </w:r>
    </w:p>
    <w:p w14:paraId="191CF2D3" w14:textId="5B3C12C8" w:rsidR="007B7208" w:rsidRPr="004A27A1" w:rsidRDefault="00442659" w:rsidP="00F232B7">
      <w:pPr>
        <w:pStyle w:val="NICEnormalnumbered"/>
        <w:rPr>
          <w:noProof w:val="0"/>
        </w:rPr>
      </w:pPr>
      <w:r w:rsidRPr="004A27A1">
        <w:rPr>
          <w:noProof w:val="0"/>
        </w:rPr>
        <w:t xml:space="preserve">The committee received a quarterly compliance report which included </w:t>
      </w:r>
      <w:r w:rsidR="0002728F" w:rsidRPr="004A27A1">
        <w:rPr>
          <w:noProof w:val="0"/>
        </w:rPr>
        <w:t xml:space="preserve">compliance </w:t>
      </w:r>
      <w:r w:rsidR="004912DB" w:rsidRPr="004A27A1">
        <w:rPr>
          <w:noProof w:val="0"/>
        </w:rPr>
        <w:t>with the</w:t>
      </w:r>
      <w:r w:rsidR="0002728F" w:rsidRPr="004A27A1">
        <w:rPr>
          <w:noProof w:val="0"/>
        </w:rPr>
        <w:t xml:space="preserve"> mandatory </w:t>
      </w:r>
      <w:r w:rsidR="004912DB" w:rsidRPr="004A27A1">
        <w:rPr>
          <w:noProof w:val="0"/>
        </w:rPr>
        <w:t xml:space="preserve">fraud awareness </w:t>
      </w:r>
      <w:r w:rsidR="0002728F" w:rsidRPr="004A27A1">
        <w:rPr>
          <w:noProof w:val="0"/>
        </w:rPr>
        <w:t>training course</w:t>
      </w:r>
      <w:r w:rsidR="002B0993" w:rsidRPr="004A27A1">
        <w:rPr>
          <w:noProof w:val="0"/>
        </w:rPr>
        <w:t>.</w:t>
      </w:r>
      <w:r w:rsidR="004912DB" w:rsidRPr="004A27A1">
        <w:rPr>
          <w:noProof w:val="0"/>
        </w:rPr>
        <w:t xml:space="preserve"> </w:t>
      </w:r>
      <w:r w:rsidR="002B0993" w:rsidRPr="004A27A1">
        <w:rPr>
          <w:noProof w:val="0"/>
        </w:rPr>
        <w:t>The</w:t>
      </w:r>
      <w:r w:rsidR="00D34D10" w:rsidRPr="004A27A1">
        <w:rPr>
          <w:noProof w:val="0"/>
        </w:rPr>
        <w:t xml:space="preserve"> completion rate </w:t>
      </w:r>
      <w:r w:rsidR="00361D64" w:rsidRPr="004A27A1">
        <w:rPr>
          <w:noProof w:val="0"/>
        </w:rPr>
        <w:t>was</w:t>
      </w:r>
      <w:r w:rsidR="00D34D10" w:rsidRPr="004A27A1">
        <w:rPr>
          <w:noProof w:val="0"/>
        </w:rPr>
        <w:t xml:space="preserve"> 9</w:t>
      </w:r>
      <w:r w:rsidR="0021258A" w:rsidRPr="004A27A1">
        <w:rPr>
          <w:noProof w:val="0"/>
        </w:rPr>
        <w:t>3</w:t>
      </w:r>
      <w:r w:rsidR="009415A4" w:rsidRPr="004A27A1">
        <w:rPr>
          <w:noProof w:val="0"/>
        </w:rPr>
        <w:t>% against a target of 95% at</w:t>
      </w:r>
      <w:r w:rsidR="00413858" w:rsidRPr="004A27A1">
        <w:rPr>
          <w:noProof w:val="0"/>
        </w:rPr>
        <w:t xml:space="preserve"> the </w:t>
      </w:r>
      <w:r w:rsidR="009415A4" w:rsidRPr="004A27A1">
        <w:rPr>
          <w:noProof w:val="0"/>
        </w:rPr>
        <w:t xml:space="preserve">end of the </w:t>
      </w:r>
      <w:r w:rsidR="00413858" w:rsidRPr="004A27A1">
        <w:rPr>
          <w:noProof w:val="0"/>
        </w:rPr>
        <w:t>year</w:t>
      </w:r>
      <w:r w:rsidR="009B003D" w:rsidRPr="004A27A1">
        <w:rPr>
          <w:noProof w:val="0"/>
        </w:rPr>
        <w:t xml:space="preserve">.  </w:t>
      </w:r>
      <w:r w:rsidR="007B7208" w:rsidRPr="004A27A1">
        <w:rPr>
          <w:rFonts w:cs="Arial"/>
          <w:noProof w:val="0"/>
        </w:rPr>
        <w:t>There were no incidents of fraud, bribery or corruption detected during the 202</w:t>
      </w:r>
      <w:r w:rsidR="00A21500" w:rsidRPr="004A27A1">
        <w:rPr>
          <w:rFonts w:cs="Arial"/>
          <w:noProof w:val="0"/>
        </w:rPr>
        <w:t xml:space="preserve">5/26 </w:t>
      </w:r>
      <w:r w:rsidR="007B7208" w:rsidRPr="004A27A1">
        <w:rPr>
          <w:rFonts w:cs="Arial"/>
          <w:noProof w:val="0"/>
        </w:rPr>
        <w:t>financial year.</w:t>
      </w:r>
      <w:r w:rsidR="00A226C8" w:rsidRPr="004A27A1">
        <w:rPr>
          <w:rFonts w:cs="Arial"/>
          <w:noProof w:val="0"/>
        </w:rPr>
        <w:t xml:space="preserve">  The </w:t>
      </w:r>
      <w:r w:rsidR="00A226C8" w:rsidRPr="004A27A1">
        <w:rPr>
          <w:rFonts w:cs="Arial"/>
          <w:noProof w:val="0"/>
        </w:rPr>
        <w:lastRenderedPageBreak/>
        <w:t xml:space="preserve">internal audit review of counter fraud, gifts and hospitality, </w:t>
      </w:r>
      <w:r w:rsidR="004063DF" w:rsidRPr="004A27A1">
        <w:rPr>
          <w:rFonts w:cs="Arial"/>
          <w:noProof w:val="0"/>
        </w:rPr>
        <w:t>gave a substantial assurance rating for the counter fraud arrangements.</w:t>
      </w:r>
    </w:p>
    <w:p w14:paraId="76001449" w14:textId="6BE4FA24" w:rsidR="004707FD" w:rsidRPr="004A27A1" w:rsidRDefault="00337AA4" w:rsidP="00337AA4">
      <w:pPr>
        <w:pStyle w:val="NICEnormalnumbered"/>
        <w:rPr>
          <w:noProof w:val="0"/>
        </w:rPr>
      </w:pPr>
      <w:r w:rsidRPr="004A27A1">
        <w:rPr>
          <w:noProof w:val="0"/>
        </w:rPr>
        <w:t xml:space="preserve">NICE takes part in the Government’s National Fraud Initiative (NFI) as part of </w:t>
      </w:r>
      <w:r w:rsidR="00C55662" w:rsidRPr="004A27A1">
        <w:rPr>
          <w:noProof w:val="0"/>
        </w:rPr>
        <w:t>our efforts</w:t>
      </w:r>
      <w:r w:rsidRPr="004A27A1">
        <w:rPr>
          <w:noProof w:val="0"/>
        </w:rPr>
        <w:t xml:space="preserve"> to improve the detection and reporting of fraud.  The NFI is carried out every two </w:t>
      </w:r>
      <w:r w:rsidR="00361D64" w:rsidRPr="004A27A1">
        <w:rPr>
          <w:noProof w:val="0"/>
        </w:rPr>
        <w:t>years</w:t>
      </w:r>
      <w:r w:rsidR="00C60768" w:rsidRPr="004A27A1">
        <w:rPr>
          <w:noProof w:val="0"/>
        </w:rPr>
        <w:t xml:space="preserve"> with the next one in 2026/27.</w:t>
      </w:r>
      <w:r w:rsidRPr="004A27A1">
        <w:rPr>
          <w:noProof w:val="0"/>
        </w:rPr>
        <w:t xml:space="preserve">  NICE</w:t>
      </w:r>
      <w:r w:rsidR="00A102A0" w:rsidRPr="004A27A1">
        <w:rPr>
          <w:noProof w:val="0"/>
        </w:rPr>
        <w:t xml:space="preserve"> submi</w:t>
      </w:r>
      <w:r w:rsidR="00C60768" w:rsidRPr="004A27A1">
        <w:rPr>
          <w:noProof w:val="0"/>
        </w:rPr>
        <w:t>ts</w:t>
      </w:r>
      <w:r w:rsidR="00A102A0" w:rsidRPr="004A27A1">
        <w:rPr>
          <w:noProof w:val="0"/>
        </w:rPr>
        <w:t xml:space="preserve"> </w:t>
      </w:r>
      <w:r w:rsidRPr="004A27A1">
        <w:rPr>
          <w:noProof w:val="0"/>
        </w:rPr>
        <w:t>data extracted from the payroll and supplier payments systems</w:t>
      </w:r>
      <w:r w:rsidR="00683EA9" w:rsidRPr="004A27A1">
        <w:rPr>
          <w:noProof w:val="0"/>
        </w:rPr>
        <w:t>.</w:t>
      </w:r>
    </w:p>
    <w:p w14:paraId="52BA9DE2" w14:textId="62FF3B41" w:rsidR="00B332FC" w:rsidRPr="004A27A1" w:rsidRDefault="00B332FC" w:rsidP="00B332FC">
      <w:pPr>
        <w:pStyle w:val="Heading3"/>
      </w:pPr>
      <w:r w:rsidRPr="004A27A1">
        <w:t>Management reporting</w:t>
      </w:r>
    </w:p>
    <w:p w14:paraId="6BFC6F29" w14:textId="3DA93DD9" w:rsidR="00B332FC" w:rsidRPr="004A27A1" w:rsidRDefault="007B7208" w:rsidP="00F232B7">
      <w:pPr>
        <w:pStyle w:val="NICEnormalnumbered"/>
        <w:rPr>
          <w:noProof w:val="0"/>
        </w:rPr>
      </w:pPr>
      <w:r w:rsidRPr="004A27A1">
        <w:rPr>
          <w:rFonts w:cs="Arial"/>
          <w:noProof w:val="0"/>
        </w:rPr>
        <w:t>The committee received a range of assurance reports from management throughout the year. These are summarised in the table</w:t>
      </w:r>
      <w:r w:rsidR="0078501F" w:rsidRPr="004A27A1">
        <w:rPr>
          <w:rFonts w:cs="Arial"/>
          <w:noProof w:val="0"/>
        </w:rPr>
        <w:t xml:space="preserve"> </w:t>
      </w:r>
      <w:r w:rsidR="00BE1170" w:rsidRPr="004A27A1">
        <w:rPr>
          <w:rFonts w:cs="Arial"/>
          <w:noProof w:val="0"/>
        </w:rPr>
        <w:t xml:space="preserve">over </w:t>
      </w:r>
      <w:r w:rsidR="00D304C6" w:rsidRPr="004A27A1">
        <w:rPr>
          <w:rFonts w:cs="Arial"/>
          <w:noProof w:val="0"/>
        </w:rPr>
        <w:t>below</w:t>
      </w:r>
      <w:r w:rsidRPr="004A27A1">
        <w:rPr>
          <w:rFonts w:cs="Arial"/>
          <w:noProof w:val="0"/>
        </w:rPr>
        <w:t>:</w:t>
      </w:r>
    </w:p>
    <w:p w14:paraId="0BE61AE3" w14:textId="166119FD" w:rsidR="007B7208" w:rsidRPr="004A27A1" w:rsidRDefault="007B7208" w:rsidP="007B7208">
      <w:pPr>
        <w:pStyle w:val="BodyTextIndent3"/>
        <w:keepNext/>
        <w:spacing w:after="120"/>
        <w:ind w:left="0" w:firstLine="357"/>
        <w:jc w:val="both"/>
        <w:rPr>
          <w:rFonts w:cs="Arial"/>
          <w:b/>
          <w:u w:val="none"/>
        </w:rPr>
      </w:pPr>
      <w:r w:rsidRPr="004A27A1">
        <w:rPr>
          <w:rFonts w:cs="Arial"/>
          <w:b/>
          <w:u w:val="none"/>
        </w:rPr>
        <w:t>Table 2 – summary of sources of management assurance</w:t>
      </w:r>
    </w:p>
    <w:tbl>
      <w:tblPr>
        <w:tblW w:w="9072" w:type="dxa"/>
        <w:tblInd w:w="132" w:type="dxa"/>
        <w:tbl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insideH w:val="single" w:sz="6" w:space="0" w:color="ACB9CA" w:themeColor="text2" w:themeTint="66"/>
          <w:insideV w:val="single" w:sz="6" w:space="0" w:color="ACB9CA" w:themeColor="text2" w:themeTint="66"/>
        </w:tblBorders>
        <w:tblLook w:val="04A0" w:firstRow="1" w:lastRow="0" w:firstColumn="1" w:lastColumn="0" w:noHBand="0" w:noVBand="1"/>
      </w:tblPr>
      <w:tblGrid>
        <w:gridCol w:w="2624"/>
        <w:gridCol w:w="6448"/>
      </w:tblGrid>
      <w:tr w:rsidR="007B7208" w:rsidRPr="004A27A1" w14:paraId="4ACCD85D" w14:textId="77777777" w:rsidTr="00B55767">
        <w:trPr>
          <w:trHeight w:val="645"/>
        </w:trPr>
        <w:tc>
          <w:tcPr>
            <w:tcW w:w="2624" w:type="dxa"/>
            <w:shd w:val="clear" w:color="auto" w:fill="FFFFFF" w:themeFill="background1"/>
            <w:vAlign w:val="center"/>
            <w:hideMark/>
          </w:tcPr>
          <w:p w14:paraId="0DB2075C" w14:textId="77777777" w:rsidR="007B7208" w:rsidRPr="00B55767" w:rsidRDefault="007B7208">
            <w:pPr>
              <w:jc w:val="both"/>
              <w:rPr>
                <w:rFonts w:ascii="Arial" w:hAnsi="Arial" w:cs="Arial"/>
                <w:b/>
                <w:bCs/>
                <w:color w:val="000000" w:themeColor="text1"/>
              </w:rPr>
            </w:pPr>
            <w:r w:rsidRPr="00B55767">
              <w:rPr>
                <w:rFonts w:ascii="Arial" w:hAnsi="Arial" w:cs="Arial"/>
                <w:b/>
                <w:bCs/>
                <w:color w:val="000000" w:themeColor="text1"/>
              </w:rPr>
              <w:t>Management assurance</w:t>
            </w:r>
          </w:p>
        </w:tc>
        <w:tc>
          <w:tcPr>
            <w:tcW w:w="6448" w:type="dxa"/>
            <w:shd w:val="clear" w:color="auto" w:fill="FFFFFF" w:themeFill="background1"/>
            <w:vAlign w:val="center"/>
            <w:hideMark/>
          </w:tcPr>
          <w:p w14:paraId="01D10581" w14:textId="77777777" w:rsidR="007B7208" w:rsidRPr="00B55767" w:rsidRDefault="007B7208">
            <w:pPr>
              <w:jc w:val="both"/>
              <w:rPr>
                <w:rFonts w:ascii="Arial" w:hAnsi="Arial" w:cs="Arial"/>
                <w:b/>
                <w:bCs/>
                <w:color w:val="000000" w:themeColor="text1"/>
              </w:rPr>
            </w:pPr>
            <w:r w:rsidRPr="00B55767">
              <w:rPr>
                <w:rFonts w:ascii="Arial" w:hAnsi="Arial" w:cs="Arial"/>
                <w:b/>
                <w:bCs/>
                <w:color w:val="000000" w:themeColor="text1"/>
              </w:rPr>
              <w:t xml:space="preserve">Description </w:t>
            </w:r>
          </w:p>
        </w:tc>
      </w:tr>
      <w:tr w:rsidR="00D052F9" w:rsidRPr="004A27A1" w14:paraId="28B8F588" w14:textId="77777777" w:rsidTr="38A8F80C">
        <w:trPr>
          <w:trHeight w:val="1120"/>
        </w:trPr>
        <w:tc>
          <w:tcPr>
            <w:tcW w:w="2624" w:type="dxa"/>
            <w:vAlign w:val="center"/>
            <w:hideMark/>
          </w:tcPr>
          <w:p w14:paraId="77D58CCD" w14:textId="77777777" w:rsidR="00D052F9" w:rsidRPr="004A27A1" w:rsidRDefault="00D052F9">
            <w:pPr>
              <w:rPr>
                <w:rFonts w:ascii="Arial" w:hAnsi="Arial" w:cs="Arial"/>
                <w:b/>
                <w:bCs/>
                <w:color w:val="000000"/>
                <w:sz w:val="20"/>
                <w:szCs w:val="20"/>
              </w:rPr>
            </w:pPr>
            <w:r w:rsidRPr="004A27A1">
              <w:rPr>
                <w:rFonts w:ascii="Arial" w:hAnsi="Arial" w:cs="Arial"/>
                <w:b/>
                <w:bCs/>
                <w:color w:val="000000"/>
                <w:sz w:val="20"/>
                <w:szCs w:val="20"/>
              </w:rPr>
              <w:t>Specific incident reports</w:t>
            </w:r>
          </w:p>
        </w:tc>
        <w:tc>
          <w:tcPr>
            <w:tcW w:w="6448" w:type="dxa"/>
            <w:vAlign w:val="center"/>
            <w:hideMark/>
          </w:tcPr>
          <w:p w14:paraId="568789A9" w14:textId="02D79D03" w:rsidR="00883667" w:rsidRPr="004A27A1" w:rsidRDefault="00D052F9" w:rsidP="00240B80">
            <w:pPr>
              <w:spacing w:before="120" w:after="60" w:line="360" w:lineRule="auto"/>
              <w:rPr>
                <w:rFonts w:ascii="Arial" w:hAnsi="Arial" w:cs="Arial"/>
                <w:color w:val="000000"/>
                <w:sz w:val="20"/>
                <w:szCs w:val="20"/>
              </w:rPr>
            </w:pPr>
            <w:r w:rsidRPr="004A27A1">
              <w:rPr>
                <w:rFonts w:ascii="Arial" w:hAnsi="Arial" w:cs="Arial"/>
                <w:color w:val="000000"/>
                <w:sz w:val="20"/>
                <w:szCs w:val="20"/>
              </w:rPr>
              <w:t>Where there is an incident particularly relating to a loss suffered by NICE</w:t>
            </w:r>
            <w:r w:rsidR="00A6663E" w:rsidRPr="004A27A1">
              <w:rPr>
                <w:rFonts w:ascii="Arial" w:hAnsi="Arial" w:cs="Arial"/>
                <w:color w:val="000000"/>
                <w:sz w:val="20"/>
                <w:szCs w:val="20"/>
              </w:rPr>
              <w:t xml:space="preserve"> or non-compliance with NICE’s standing orders or standing financial instructions</w:t>
            </w:r>
            <w:r w:rsidRPr="004A27A1">
              <w:rPr>
                <w:rFonts w:ascii="Arial" w:hAnsi="Arial" w:cs="Arial"/>
                <w:color w:val="000000"/>
                <w:sz w:val="20"/>
                <w:szCs w:val="20"/>
              </w:rPr>
              <w:t xml:space="preserve">, the committee receives a report as part of its risk management </w:t>
            </w:r>
            <w:r w:rsidR="00A6663E" w:rsidRPr="004A27A1">
              <w:rPr>
                <w:rFonts w:ascii="Arial" w:hAnsi="Arial" w:cs="Arial"/>
                <w:color w:val="000000"/>
                <w:sz w:val="20"/>
                <w:szCs w:val="20"/>
              </w:rPr>
              <w:t xml:space="preserve">and controls oversight </w:t>
            </w:r>
            <w:r w:rsidRPr="004A27A1">
              <w:rPr>
                <w:rFonts w:ascii="Arial" w:hAnsi="Arial" w:cs="Arial"/>
                <w:color w:val="000000"/>
                <w:sz w:val="20"/>
                <w:szCs w:val="20"/>
              </w:rPr>
              <w:t xml:space="preserve">duties. </w:t>
            </w:r>
            <w:r w:rsidR="00A6663E" w:rsidRPr="004A27A1">
              <w:rPr>
                <w:rFonts w:ascii="Arial" w:hAnsi="Arial" w:cs="Arial"/>
                <w:color w:val="000000"/>
                <w:sz w:val="20"/>
                <w:szCs w:val="20"/>
              </w:rPr>
              <w:t xml:space="preserve">As noted earlier in the report the committee were briefed on one instance of non-compliance regarding </w:t>
            </w:r>
            <w:r w:rsidR="004B0EAD" w:rsidRPr="004A27A1">
              <w:rPr>
                <w:rFonts w:ascii="Arial" w:hAnsi="Arial" w:cs="Arial"/>
                <w:color w:val="000000"/>
                <w:sz w:val="20"/>
                <w:szCs w:val="20"/>
              </w:rPr>
              <w:t xml:space="preserve">past contractual arrangements for a senior member of staff. </w:t>
            </w:r>
          </w:p>
        </w:tc>
      </w:tr>
      <w:tr w:rsidR="00F66CB6" w:rsidRPr="004A27A1" w14:paraId="2411D704" w14:textId="77777777" w:rsidTr="00013BE3">
        <w:trPr>
          <w:trHeight w:val="694"/>
        </w:trPr>
        <w:tc>
          <w:tcPr>
            <w:tcW w:w="2624" w:type="dxa"/>
            <w:vAlign w:val="center"/>
            <w:hideMark/>
          </w:tcPr>
          <w:p w14:paraId="2F9551F6" w14:textId="77777777" w:rsidR="00F66CB6" w:rsidRPr="004A27A1" w:rsidRDefault="00F66CB6" w:rsidP="00F66CB6">
            <w:pPr>
              <w:rPr>
                <w:rFonts w:ascii="Arial" w:hAnsi="Arial" w:cs="Arial"/>
                <w:b/>
                <w:bCs/>
                <w:color w:val="000000"/>
                <w:sz w:val="20"/>
                <w:szCs w:val="20"/>
              </w:rPr>
            </w:pPr>
            <w:r w:rsidRPr="004A27A1">
              <w:rPr>
                <w:rFonts w:ascii="Arial" w:hAnsi="Arial" w:cs="Arial"/>
                <w:b/>
                <w:bCs/>
                <w:color w:val="000000"/>
                <w:sz w:val="20"/>
                <w:szCs w:val="20"/>
              </w:rPr>
              <w:t>Losses and compensation register</w:t>
            </w:r>
          </w:p>
        </w:tc>
        <w:tc>
          <w:tcPr>
            <w:tcW w:w="6448" w:type="dxa"/>
            <w:shd w:val="clear" w:color="auto" w:fill="FFFFFF" w:themeFill="background1"/>
            <w:vAlign w:val="center"/>
            <w:hideMark/>
          </w:tcPr>
          <w:p w14:paraId="4329915D" w14:textId="47922A0E" w:rsidR="00F66CB6" w:rsidRPr="004A27A1" w:rsidRDefault="00F66CB6" w:rsidP="00240B80">
            <w:pPr>
              <w:spacing w:before="120" w:after="60" w:line="360" w:lineRule="auto"/>
              <w:rPr>
                <w:rFonts w:ascii="Arial" w:hAnsi="Arial" w:cs="Arial"/>
                <w:color w:val="FF0000"/>
                <w:sz w:val="20"/>
                <w:szCs w:val="20"/>
              </w:rPr>
            </w:pPr>
            <w:r w:rsidRPr="004A27A1">
              <w:rPr>
                <w:rFonts w:ascii="Arial" w:hAnsi="Arial" w:cs="Arial"/>
                <w:color w:val="000000"/>
                <w:sz w:val="20"/>
                <w:szCs w:val="20"/>
              </w:rPr>
              <w:t xml:space="preserve">As required by HM Treasury (and within the SFIs), NICE maintains a register of losses and special payments which is reported at </w:t>
            </w:r>
            <w:r w:rsidRPr="004A27A1">
              <w:rPr>
                <w:rFonts w:ascii="Arial" w:hAnsi="Arial" w:cs="Arial"/>
                <w:sz w:val="20"/>
                <w:szCs w:val="20"/>
              </w:rPr>
              <w:t xml:space="preserve">each audit and risk </w:t>
            </w:r>
            <w:r w:rsidR="00722A79" w:rsidRPr="004A27A1">
              <w:rPr>
                <w:rFonts w:ascii="Arial" w:hAnsi="Arial" w:cs="Arial"/>
                <w:sz w:val="20"/>
                <w:szCs w:val="20"/>
              </w:rPr>
              <w:t xml:space="preserve">assurance </w:t>
            </w:r>
            <w:r w:rsidRPr="004A27A1">
              <w:rPr>
                <w:rFonts w:ascii="Arial" w:hAnsi="Arial" w:cs="Arial"/>
                <w:sz w:val="20"/>
                <w:szCs w:val="20"/>
              </w:rPr>
              <w:t>committee. For 202</w:t>
            </w:r>
            <w:r w:rsidR="009B19F0" w:rsidRPr="004A27A1">
              <w:rPr>
                <w:rFonts w:ascii="Arial" w:hAnsi="Arial" w:cs="Arial"/>
                <w:sz w:val="20"/>
                <w:szCs w:val="20"/>
              </w:rPr>
              <w:t>5</w:t>
            </w:r>
            <w:r w:rsidRPr="004A27A1">
              <w:rPr>
                <w:rFonts w:ascii="Arial" w:hAnsi="Arial" w:cs="Arial"/>
                <w:sz w:val="20"/>
                <w:szCs w:val="20"/>
              </w:rPr>
              <w:t>/2</w:t>
            </w:r>
            <w:r w:rsidR="009B19F0" w:rsidRPr="004A27A1">
              <w:rPr>
                <w:rFonts w:ascii="Arial" w:hAnsi="Arial" w:cs="Arial"/>
                <w:sz w:val="20"/>
                <w:szCs w:val="20"/>
              </w:rPr>
              <w:t>6</w:t>
            </w:r>
            <w:r w:rsidRPr="004A27A1">
              <w:rPr>
                <w:rFonts w:ascii="Arial" w:hAnsi="Arial" w:cs="Arial"/>
                <w:sz w:val="20"/>
                <w:szCs w:val="20"/>
              </w:rPr>
              <w:t xml:space="preserve"> the total value of these was </w:t>
            </w:r>
            <w:r w:rsidR="00086F45" w:rsidRPr="004A27A1">
              <w:rPr>
                <w:rFonts w:ascii="Arial" w:hAnsi="Arial" w:cs="Arial"/>
                <w:sz w:val="20"/>
                <w:szCs w:val="20"/>
              </w:rPr>
              <w:t>£68,604</w:t>
            </w:r>
            <w:r w:rsidRPr="004A27A1">
              <w:rPr>
                <w:rFonts w:ascii="Arial" w:hAnsi="Arial" w:cs="Arial"/>
                <w:sz w:val="20"/>
                <w:szCs w:val="20"/>
              </w:rPr>
              <w:t xml:space="preserve"> (£</w:t>
            </w:r>
            <w:r w:rsidR="0078430E" w:rsidRPr="004A27A1">
              <w:rPr>
                <w:rFonts w:ascii="Arial" w:hAnsi="Arial" w:cs="Arial"/>
                <w:sz w:val="20"/>
                <w:szCs w:val="20"/>
              </w:rPr>
              <w:t>14,</w:t>
            </w:r>
            <w:r w:rsidR="009B19F0" w:rsidRPr="004A27A1">
              <w:rPr>
                <w:rFonts w:ascii="Arial" w:hAnsi="Arial" w:cs="Arial"/>
                <w:sz w:val="20"/>
                <w:szCs w:val="20"/>
              </w:rPr>
              <w:t>241</w:t>
            </w:r>
            <w:r w:rsidRPr="004A27A1">
              <w:rPr>
                <w:rFonts w:ascii="Arial" w:hAnsi="Arial" w:cs="Arial"/>
                <w:sz w:val="20"/>
                <w:szCs w:val="20"/>
              </w:rPr>
              <w:t xml:space="preserve"> in 202</w:t>
            </w:r>
            <w:r w:rsidR="009B19F0" w:rsidRPr="004A27A1">
              <w:rPr>
                <w:rFonts w:ascii="Arial" w:hAnsi="Arial" w:cs="Arial"/>
                <w:sz w:val="20"/>
                <w:szCs w:val="20"/>
              </w:rPr>
              <w:t>4</w:t>
            </w:r>
            <w:r w:rsidRPr="004A27A1">
              <w:rPr>
                <w:rFonts w:ascii="Arial" w:hAnsi="Arial" w:cs="Arial"/>
                <w:sz w:val="20"/>
                <w:szCs w:val="20"/>
              </w:rPr>
              <w:t>/2</w:t>
            </w:r>
            <w:r w:rsidR="009B19F0" w:rsidRPr="004A27A1">
              <w:rPr>
                <w:rFonts w:ascii="Arial" w:hAnsi="Arial" w:cs="Arial"/>
                <w:sz w:val="20"/>
                <w:szCs w:val="20"/>
              </w:rPr>
              <w:t>5</w:t>
            </w:r>
            <w:r w:rsidRPr="004A27A1">
              <w:rPr>
                <w:rFonts w:ascii="Arial" w:hAnsi="Arial" w:cs="Arial"/>
                <w:sz w:val="20"/>
                <w:szCs w:val="20"/>
              </w:rPr>
              <w:t>).</w:t>
            </w:r>
          </w:p>
          <w:p w14:paraId="6ECA1AFF" w14:textId="74263E82" w:rsidR="0096526D" w:rsidRPr="004A27A1" w:rsidRDefault="00F66CB6" w:rsidP="00C90B3E">
            <w:pPr>
              <w:spacing w:after="60"/>
              <w:rPr>
                <w:rFonts w:ascii="Arial" w:hAnsi="Arial" w:cs="Arial"/>
                <w:sz w:val="20"/>
                <w:szCs w:val="20"/>
              </w:rPr>
            </w:pPr>
            <w:r w:rsidRPr="004A27A1">
              <w:rPr>
                <w:rFonts w:ascii="Arial" w:hAnsi="Arial" w:cs="Arial"/>
                <w:sz w:val="20"/>
                <w:szCs w:val="20"/>
              </w:rPr>
              <w:t>Th</w:t>
            </w:r>
            <w:r w:rsidR="00D07109" w:rsidRPr="004A27A1">
              <w:rPr>
                <w:rFonts w:ascii="Arial" w:hAnsi="Arial" w:cs="Arial"/>
                <w:sz w:val="20"/>
                <w:szCs w:val="20"/>
              </w:rPr>
              <w:t>e losses</w:t>
            </w:r>
            <w:r w:rsidRPr="004A27A1">
              <w:rPr>
                <w:rFonts w:ascii="Arial" w:hAnsi="Arial" w:cs="Arial"/>
                <w:sz w:val="20"/>
                <w:szCs w:val="20"/>
              </w:rPr>
              <w:t xml:space="preserve"> relate</w:t>
            </w:r>
            <w:r w:rsidR="00A23468" w:rsidRPr="004A27A1">
              <w:rPr>
                <w:rFonts w:ascii="Arial" w:hAnsi="Arial" w:cs="Arial"/>
                <w:sz w:val="20"/>
                <w:szCs w:val="20"/>
              </w:rPr>
              <w:t xml:space="preserve">d </w:t>
            </w:r>
            <w:r w:rsidRPr="004A27A1">
              <w:rPr>
                <w:rFonts w:ascii="Arial" w:hAnsi="Arial" w:cs="Arial"/>
                <w:sz w:val="20"/>
                <w:szCs w:val="20"/>
              </w:rPr>
              <w:t>to</w:t>
            </w:r>
            <w:r w:rsidR="0096526D" w:rsidRPr="004A27A1">
              <w:rPr>
                <w:rFonts w:ascii="Arial" w:hAnsi="Arial" w:cs="Arial"/>
                <w:sz w:val="20"/>
                <w:szCs w:val="20"/>
              </w:rPr>
              <w:t>:</w:t>
            </w:r>
          </w:p>
          <w:p w14:paraId="6D01589D" w14:textId="607D1D5E" w:rsidR="00F73620" w:rsidRPr="004A27A1" w:rsidRDefault="00F66CB6" w:rsidP="004B696F">
            <w:pPr>
              <w:pStyle w:val="ListParagraph"/>
              <w:numPr>
                <w:ilvl w:val="0"/>
                <w:numId w:val="36"/>
              </w:numPr>
              <w:spacing w:line="360" w:lineRule="auto"/>
              <w:ind w:left="391" w:hanging="284"/>
              <w:contextualSpacing w:val="0"/>
              <w:rPr>
                <w:rFonts w:ascii="Arial" w:hAnsi="Arial" w:cs="Arial"/>
                <w:sz w:val="20"/>
                <w:szCs w:val="20"/>
              </w:rPr>
            </w:pPr>
            <w:r w:rsidRPr="004A27A1">
              <w:rPr>
                <w:rFonts w:ascii="Arial" w:hAnsi="Arial" w:cs="Arial"/>
                <w:sz w:val="20"/>
                <w:szCs w:val="20"/>
              </w:rPr>
              <w:t>£</w:t>
            </w:r>
            <w:r w:rsidR="004649AC" w:rsidRPr="004A27A1">
              <w:rPr>
                <w:rFonts w:ascii="Arial" w:hAnsi="Arial" w:cs="Arial"/>
                <w:sz w:val="20"/>
                <w:szCs w:val="20"/>
              </w:rPr>
              <w:t>19,005</w:t>
            </w:r>
            <w:r w:rsidR="00EC4368" w:rsidRPr="004A27A1">
              <w:rPr>
                <w:rFonts w:ascii="Arial" w:hAnsi="Arial" w:cs="Arial"/>
                <w:sz w:val="20"/>
                <w:szCs w:val="20"/>
              </w:rPr>
              <w:t xml:space="preserve"> </w:t>
            </w:r>
            <w:r w:rsidRPr="004A27A1">
              <w:rPr>
                <w:rFonts w:ascii="Arial" w:hAnsi="Arial" w:cs="Arial"/>
                <w:sz w:val="20"/>
                <w:szCs w:val="20"/>
              </w:rPr>
              <w:t>train cancellation or amendment fees</w:t>
            </w:r>
            <w:r w:rsidR="00266566" w:rsidRPr="004A27A1">
              <w:rPr>
                <w:rFonts w:ascii="Arial" w:hAnsi="Arial" w:cs="Arial"/>
                <w:sz w:val="20"/>
                <w:szCs w:val="20"/>
              </w:rPr>
              <w:t xml:space="preserve"> (</w:t>
            </w:r>
            <w:r w:rsidR="004649AC" w:rsidRPr="004A27A1">
              <w:rPr>
                <w:rFonts w:ascii="Arial" w:hAnsi="Arial" w:cs="Arial"/>
                <w:sz w:val="20"/>
                <w:szCs w:val="20"/>
              </w:rPr>
              <w:t>427</w:t>
            </w:r>
            <w:r w:rsidR="00EC4368" w:rsidRPr="004A27A1">
              <w:rPr>
                <w:rFonts w:ascii="Arial" w:hAnsi="Arial" w:cs="Arial"/>
                <w:sz w:val="20"/>
                <w:szCs w:val="20"/>
              </w:rPr>
              <w:t xml:space="preserve"> </w:t>
            </w:r>
            <w:r w:rsidR="00266566" w:rsidRPr="004A27A1">
              <w:rPr>
                <w:rFonts w:ascii="Arial" w:hAnsi="Arial" w:cs="Arial"/>
                <w:sz w:val="20"/>
                <w:szCs w:val="20"/>
              </w:rPr>
              <w:t>tickets)</w:t>
            </w:r>
          </w:p>
          <w:p w14:paraId="65F2CBF9" w14:textId="03A6E176" w:rsidR="004B696F" w:rsidRPr="004A27A1" w:rsidRDefault="007508A0" w:rsidP="004B696F">
            <w:pPr>
              <w:numPr>
                <w:ilvl w:val="0"/>
                <w:numId w:val="36"/>
              </w:numPr>
              <w:spacing w:line="360" w:lineRule="auto"/>
              <w:ind w:left="391" w:hanging="284"/>
              <w:rPr>
                <w:rFonts w:ascii="Arial" w:hAnsi="Arial" w:cs="Arial"/>
                <w:sz w:val="20"/>
                <w:szCs w:val="20"/>
              </w:rPr>
            </w:pPr>
            <w:r w:rsidRPr="004A27A1">
              <w:rPr>
                <w:rFonts w:ascii="Arial" w:hAnsi="Arial" w:cs="Arial"/>
                <w:sz w:val="20"/>
                <w:szCs w:val="20"/>
              </w:rPr>
              <w:t>£</w:t>
            </w:r>
            <w:r w:rsidR="004B696F" w:rsidRPr="004A27A1">
              <w:rPr>
                <w:rFonts w:ascii="Arial" w:hAnsi="Arial" w:cs="Arial"/>
                <w:sz w:val="20"/>
                <w:szCs w:val="20"/>
              </w:rPr>
              <w:t xml:space="preserve">39,853 write </w:t>
            </w:r>
            <w:r w:rsidR="00363932" w:rsidRPr="004A27A1">
              <w:rPr>
                <w:rFonts w:ascii="Arial" w:hAnsi="Arial" w:cs="Arial"/>
                <w:sz w:val="20"/>
                <w:szCs w:val="20"/>
              </w:rPr>
              <w:t>o</w:t>
            </w:r>
            <w:r w:rsidR="004B696F" w:rsidRPr="004A27A1">
              <w:rPr>
                <w:rFonts w:ascii="Arial" w:hAnsi="Arial" w:cs="Arial"/>
                <w:sz w:val="20"/>
                <w:szCs w:val="20"/>
              </w:rPr>
              <w:t xml:space="preserve">ff </w:t>
            </w:r>
            <w:r w:rsidR="00363932" w:rsidRPr="004A27A1">
              <w:rPr>
                <w:rFonts w:ascii="Arial" w:hAnsi="Arial" w:cs="Arial"/>
                <w:sz w:val="20"/>
                <w:szCs w:val="20"/>
              </w:rPr>
              <w:t>– a f</w:t>
            </w:r>
            <w:r w:rsidR="004B696F" w:rsidRPr="004A27A1">
              <w:rPr>
                <w:rFonts w:ascii="Arial" w:hAnsi="Arial" w:cs="Arial"/>
                <w:sz w:val="20"/>
                <w:szCs w:val="20"/>
              </w:rPr>
              <w:t>oreign company filed for insolvency (1)</w:t>
            </w:r>
          </w:p>
          <w:p w14:paraId="337D4733" w14:textId="15E00BF4" w:rsidR="004B696F" w:rsidRPr="004A27A1" w:rsidRDefault="004B696F" w:rsidP="00363932">
            <w:pPr>
              <w:pStyle w:val="ListParagraph"/>
              <w:numPr>
                <w:ilvl w:val="0"/>
                <w:numId w:val="36"/>
              </w:numPr>
              <w:spacing w:line="360" w:lineRule="auto"/>
              <w:ind w:left="391" w:hanging="284"/>
              <w:rPr>
                <w:rFonts w:ascii="Arial" w:hAnsi="Arial" w:cs="Arial"/>
                <w:sz w:val="20"/>
                <w:szCs w:val="20"/>
              </w:rPr>
            </w:pPr>
            <w:r w:rsidRPr="004A27A1">
              <w:rPr>
                <w:rFonts w:ascii="Arial" w:hAnsi="Arial" w:cs="Arial"/>
                <w:sz w:val="20"/>
                <w:szCs w:val="20"/>
              </w:rPr>
              <w:t xml:space="preserve">£9,600 </w:t>
            </w:r>
            <w:r w:rsidR="00013BE3" w:rsidRPr="004A27A1">
              <w:rPr>
                <w:rFonts w:ascii="Arial" w:hAnsi="Arial" w:cs="Arial"/>
                <w:sz w:val="20"/>
                <w:szCs w:val="20"/>
              </w:rPr>
              <w:t>s</w:t>
            </w:r>
            <w:r w:rsidRPr="004A27A1">
              <w:rPr>
                <w:rFonts w:ascii="Arial" w:hAnsi="Arial" w:cs="Arial"/>
                <w:sz w:val="20"/>
                <w:szCs w:val="20"/>
              </w:rPr>
              <w:t>upplier contract ended – change of recruitment strategy (1)</w:t>
            </w:r>
          </w:p>
          <w:p w14:paraId="03A9CC5E" w14:textId="6CCAA7E2" w:rsidR="00785F57" w:rsidRPr="004A27A1" w:rsidRDefault="004B696F" w:rsidP="00DE12E7">
            <w:pPr>
              <w:numPr>
                <w:ilvl w:val="0"/>
                <w:numId w:val="36"/>
              </w:numPr>
              <w:spacing w:line="360" w:lineRule="auto"/>
              <w:ind w:left="391" w:hanging="284"/>
              <w:rPr>
                <w:rFonts w:ascii="Arial" w:hAnsi="Arial" w:cs="Arial"/>
                <w:sz w:val="20"/>
                <w:szCs w:val="20"/>
              </w:rPr>
            </w:pPr>
            <w:r w:rsidRPr="004A27A1">
              <w:rPr>
                <w:rFonts w:ascii="Arial" w:hAnsi="Arial" w:cs="Arial"/>
                <w:sz w:val="20"/>
                <w:szCs w:val="20"/>
              </w:rPr>
              <w:t xml:space="preserve">£46 </w:t>
            </w:r>
            <w:r w:rsidR="00F62E2F" w:rsidRPr="004A27A1">
              <w:rPr>
                <w:rFonts w:ascii="Arial" w:hAnsi="Arial" w:cs="Arial"/>
                <w:sz w:val="20"/>
                <w:szCs w:val="20"/>
              </w:rPr>
              <w:t>c</w:t>
            </w:r>
            <w:r w:rsidRPr="004A27A1">
              <w:rPr>
                <w:rFonts w:ascii="Arial" w:hAnsi="Arial" w:cs="Arial"/>
                <w:sz w:val="20"/>
                <w:szCs w:val="20"/>
              </w:rPr>
              <w:t>ancel</w:t>
            </w:r>
            <w:r w:rsidR="0087233F">
              <w:rPr>
                <w:rFonts w:ascii="Arial" w:hAnsi="Arial" w:cs="Arial"/>
                <w:sz w:val="20"/>
                <w:szCs w:val="20"/>
              </w:rPr>
              <w:t>l</w:t>
            </w:r>
            <w:r w:rsidRPr="004A27A1">
              <w:rPr>
                <w:rFonts w:ascii="Arial" w:hAnsi="Arial" w:cs="Arial"/>
                <w:sz w:val="20"/>
                <w:szCs w:val="20"/>
              </w:rPr>
              <w:t xml:space="preserve">ation </w:t>
            </w:r>
            <w:r w:rsidR="00F62E2F" w:rsidRPr="004A27A1">
              <w:rPr>
                <w:rFonts w:ascii="Arial" w:hAnsi="Arial" w:cs="Arial"/>
                <w:sz w:val="20"/>
                <w:szCs w:val="20"/>
              </w:rPr>
              <w:t>of a</w:t>
            </w:r>
            <w:r w:rsidRPr="004A27A1">
              <w:rPr>
                <w:rFonts w:ascii="Arial" w:hAnsi="Arial" w:cs="Arial"/>
                <w:sz w:val="20"/>
                <w:szCs w:val="20"/>
              </w:rPr>
              <w:t xml:space="preserve"> meeting – </w:t>
            </w:r>
            <w:r w:rsidR="00F62E2F" w:rsidRPr="004A27A1">
              <w:rPr>
                <w:rFonts w:ascii="Arial" w:hAnsi="Arial" w:cs="Arial"/>
                <w:sz w:val="20"/>
                <w:szCs w:val="20"/>
              </w:rPr>
              <w:t>i</w:t>
            </w:r>
            <w:r w:rsidRPr="004A27A1">
              <w:rPr>
                <w:rFonts w:ascii="Arial" w:hAnsi="Arial" w:cs="Arial"/>
                <w:sz w:val="20"/>
                <w:szCs w:val="20"/>
              </w:rPr>
              <w:t>nformed too late to cancel catering by the deadline (1</w:t>
            </w:r>
            <w:r w:rsidR="00013BE3" w:rsidRPr="004A27A1">
              <w:rPr>
                <w:rFonts w:ascii="Arial" w:hAnsi="Arial" w:cs="Arial"/>
                <w:sz w:val="20"/>
                <w:szCs w:val="20"/>
              </w:rPr>
              <w:t>)</w:t>
            </w:r>
          </w:p>
        </w:tc>
      </w:tr>
      <w:tr w:rsidR="003A6FC5" w:rsidRPr="004A27A1" w14:paraId="1BFA25F6" w14:textId="77777777" w:rsidTr="38A8F80C">
        <w:trPr>
          <w:trHeight w:val="684"/>
        </w:trPr>
        <w:tc>
          <w:tcPr>
            <w:tcW w:w="2624" w:type="dxa"/>
            <w:vAlign w:val="center"/>
          </w:tcPr>
          <w:p w14:paraId="1A4CD4A7" w14:textId="532BCCEB" w:rsidR="003A6FC5" w:rsidRPr="004A27A1" w:rsidRDefault="005951EB">
            <w:pPr>
              <w:rPr>
                <w:rFonts w:ascii="Arial" w:hAnsi="Arial" w:cs="Arial"/>
                <w:b/>
                <w:bCs/>
                <w:color w:val="000000"/>
                <w:sz w:val="20"/>
                <w:szCs w:val="20"/>
              </w:rPr>
            </w:pPr>
            <w:r w:rsidRPr="004A27A1">
              <w:rPr>
                <w:rFonts w:ascii="Arial" w:hAnsi="Arial" w:cs="Arial"/>
                <w:b/>
                <w:bCs/>
                <w:color w:val="000000"/>
                <w:sz w:val="20"/>
                <w:szCs w:val="20"/>
              </w:rPr>
              <w:t>Salary and pension overpayments</w:t>
            </w:r>
          </w:p>
        </w:tc>
        <w:tc>
          <w:tcPr>
            <w:tcW w:w="6448" w:type="dxa"/>
            <w:vAlign w:val="center"/>
          </w:tcPr>
          <w:p w14:paraId="21655411" w14:textId="645DE50A" w:rsidR="005951EB" w:rsidRPr="004A27A1" w:rsidRDefault="005951EB" w:rsidP="005951EB">
            <w:pPr>
              <w:spacing w:before="120" w:after="60" w:line="360" w:lineRule="auto"/>
              <w:rPr>
                <w:rFonts w:ascii="Arial" w:hAnsi="Arial" w:cs="Arial"/>
                <w:sz w:val="20"/>
                <w:szCs w:val="20"/>
              </w:rPr>
            </w:pPr>
            <w:r w:rsidRPr="004A27A1">
              <w:rPr>
                <w:rFonts w:ascii="Arial" w:hAnsi="Arial" w:cs="Arial"/>
                <w:sz w:val="20"/>
                <w:szCs w:val="20"/>
              </w:rPr>
              <w:t>The committee also received details of salary and pension overpayments made in error during the year, the reasons and the amounts recovered either directly through salary deductions or via an invoice</w:t>
            </w:r>
            <w:r w:rsidR="006E37FB" w:rsidRPr="004A27A1">
              <w:rPr>
                <w:rFonts w:ascii="Arial" w:hAnsi="Arial" w:cs="Arial"/>
                <w:sz w:val="20"/>
                <w:szCs w:val="20"/>
              </w:rPr>
              <w:t xml:space="preserve"> to former employees.</w:t>
            </w:r>
          </w:p>
          <w:p w14:paraId="4756CD9E" w14:textId="49EDDB2A" w:rsidR="005951EB" w:rsidRPr="004A27A1" w:rsidRDefault="005951EB" w:rsidP="005951EB">
            <w:pPr>
              <w:spacing w:after="60" w:line="360" w:lineRule="auto"/>
              <w:rPr>
                <w:rFonts w:ascii="Arial" w:hAnsi="Arial" w:cs="Arial"/>
                <w:sz w:val="20"/>
                <w:szCs w:val="20"/>
              </w:rPr>
            </w:pPr>
            <w:r w:rsidRPr="004A27A1">
              <w:rPr>
                <w:rFonts w:ascii="Arial" w:hAnsi="Arial" w:cs="Arial"/>
                <w:sz w:val="20"/>
                <w:szCs w:val="20"/>
              </w:rPr>
              <w:lastRenderedPageBreak/>
              <w:t>In 2025/26 overpayments totalled £</w:t>
            </w:r>
            <w:r w:rsidR="000F0BE0" w:rsidRPr="004A27A1">
              <w:rPr>
                <w:rFonts w:ascii="Arial" w:hAnsi="Arial" w:cs="Arial"/>
                <w:sz w:val="20"/>
                <w:szCs w:val="20"/>
              </w:rPr>
              <w:t>23,749</w:t>
            </w:r>
            <w:r w:rsidRPr="004A27A1">
              <w:rPr>
                <w:rFonts w:ascii="Arial" w:hAnsi="Arial" w:cs="Arial"/>
                <w:sz w:val="20"/>
                <w:szCs w:val="20"/>
              </w:rPr>
              <w:t xml:space="preserve"> relating to </w:t>
            </w:r>
            <w:r w:rsidR="00CB00AD" w:rsidRPr="004A27A1">
              <w:rPr>
                <w:rFonts w:ascii="Arial" w:hAnsi="Arial" w:cs="Arial"/>
                <w:sz w:val="20"/>
                <w:szCs w:val="20"/>
              </w:rPr>
              <w:t>33</w:t>
            </w:r>
            <w:r w:rsidRPr="004A27A1">
              <w:rPr>
                <w:rFonts w:ascii="Arial" w:hAnsi="Arial" w:cs="Arial"/>
                <w:sz w:val="20"/>
                <w:szCs w:val="20"/>
              </w:rPr>
              <w:t xml:space="preserve"> staff member</w:t>
            </w:r>
            <w:r w:rsidR="006E37FB" w:rsidRPr="004A27A1">
              <w:rPr>
                <w:rFonts w:ascii="Arial" w:hAnsi="Arial" w:cs="Arial"/>
                <w:sz w:val="20"/>
                <w:szCs w:val="20"/>
              </w:rPr>
              <w:t>s.</w:t>
            </w:r>
            <w:r w:rsidR="003430E3" w:rsidRPr="004A27A1">
              <w:rPr>
                <w:rFonts w:ascii="Arial" w:hAnsi="Arial" w:cs="Arial"/>
                <w:sz w:val="20"/>
                <w:szCs w:val="20"/>
              </w:rPr>
              <w:t xml:space="preserve"> </w:t>
            </w:r>
            <w:r w:rsidR="00C8101E" w:rsidRPr="004A27A1">
              <w:rPr>
                <w:rFonts w:ascii="Arial" w:hAnsi="Arial" w:cs="Arial"/>
                <w:sz w:val="20"/>
                <w:szCs w:val="20"/>
              </w:rPr>
              <w:t xml:space="preserve"> Payments recovered </w:t>
            </w:r>
            <w:r w:rsidR="00CB00AD" w:rsidRPr="004A27A1">
              <w:rPr>
                <w:rFonts w:ascii="Arial" w:hAnsi="Arial" w:cs="Arial"/>
                <w:sz w:val="20"/>
                <w:szCs w:val="20"/>
              </w:rPr>
              <w:t xml:space="preserve">in the year were £36,494 relating to 54 </w:t>
            </w:r>
            <w:r w:rsidR="006414AF" w:rsidRPr="004A27A1">
              <w:rPr>
                <w:rFonts w:ascii="Arial" w:hAnsi="Arial" w:cs="Arial"/>
                <w:sz w:val="20"/>
                <w:szCs w:val="20"/>
              </w:rPr>
              <w:t>staff.  These included payment plans from the previous year.</w:t>
            </w:r>
            <w:r w:rsidR="00C8101E" w:rsidRPr="004A27A1">
              <w:rPr>
                <w:rFonts w:ascii="Arial" w:hAnsi="Arial" w:cs="Arial"/>
                <w:sz w:val="20"/>
                <w:szCs w:val="20"/>
              </w:rPr>
              <w:t xml:space="preserve"> </w:t>
            </w:r>
          </w:p>
          <w:p w14:paraId="1086BC80" w14:textId="28D36053" w:rsidR="003A6FC5" w:rsidRPr="004A27A1" w:rsidRDefault="005951EB" w:rsidP="005951EB">
            <w:pPr>
              <w:spacing w:before="120" w:after="60" w:line="360" w:lineRule="auto"/>
              <w:rPr>
                <w:rFonts w:ascii="Arial" w:hAnsi="Arial" w:cs="Arial"/>
                <w:color w:val="000000"/>
                <w:sz w:val="20"/>
                <w:szCs w:val="20"/>
              </w:rPr>
            </w:pPr>
            <w:r w:rsidRPr="004A27A1">
              <w:rPr>
                <w:rFonts w:ascii="Arial" w:hAnsi="Arial" w:cs="Arial"/>
                <w:sz w:val="20"/>
                <w:szCs w:val="20"/>
              </w:rPr>
              <w:t>(Total</w:t>
            </w:r>
            <w:r w:rsidR="006414AF" w:rsidRPr="004A27A1">
              <w:rPr>
                <w:rFonts w:ascii="Arial" w:hAnsi="Arial" w:cs="Arial"/>
                <w:sz w:val="20"/>
                <w:szCs w:val="20"/>
              </w:rPr>
              <w:t xml:space="preserve"> </w:t>
            </w:r>
            <w:r w:rsidR="00A16747" w:rsidRPr="004A27A1">
              <w:rPr>
                <w:rFonts w:ascii="Arial" w:hAnsi="Arial" w:cs="Arial"/>
                <w:sz w:val="20"/>
                <w:szCs w:val="20"/>
              </w:rPr>
              <w:t>overpayments</w:t>
            </w:r>
            <w:r w:rsidR="007108B0" w:rsidRPr="004A27A1">
              <w:rPr>
                <w:rFonts w:ascii="Arial" w:hAnsi="Arial" w:cs="Arial"/>
                <w:sz w:val="20"/>
                <w:szCs w:val="20"/>
              </w:rPr>
              <w:t xml:space="preserve"> in 2024/25</w:t>
            </w:r>
            <w:r w:rsidRPr="004A27A1">
              <w:rPr>
                <w:rFonts w:ascii="Arial" w:hAnsi="Arial" w:cs="Arial"/>
                <w:sz w:val="20"/>
                <w:szCs w:val="20"/>
              </w:rPr>
              <w:t xml:space="preserve"> w</w:t>
            </w:r>
            <w:r w:rsidR="00754364" w:rsidRPr="004A27A1">
              <w:rPr>
                <w:rFonts w:ascii="Arial" w:hAnsi="Arial" w:cs="Arial"/>
                <w:sz w:val="20"/>
                <w:szCs w:val="20"/>
              </w:rPr>
              <w:t>ere</w:t>
            </w:r>
            <w:r w:rsidRPr="004A27A1">
              <w:rPr>
                <w:rFonts w:ascii="Arial" w:hAnsi="Arial" w:cs="Arial"/>
                <w:sz w:val="20"/>
                <w:szCs w:val="20"/>
              </w:rPr>
              <w:t xml:space="preserve"> £</w:t>
            </w:r>
            <w:r w:rsidR="007F4075" w:rsidRPr="004A27A1">
              <w:rPr>
                <w:rFonts w:ascii="Arial" w:hAnsi="Arial" w:cs="Arial"/>
                <w:sz w:val="20"/>
                <w:szCs w:val="20"/>
              </w:rPr>
              <w:t>55,843.31</w:t>
            </w:r>
            <w:r w:rsidRPr="004A27A1">
              <w:rPr>
                <w:rFonts w:ascii="Arial" w:hAnsi="Arial" w:cs="Arial"/>
                <w:sz w:val="20"/>
                <w:szCs w:val="20"/>
              </w:rPr>
              <w:t xml:space="preserve"> relating to </w:t>
            </w:r>
            <w:r w:rsidR="0055740B" w:rsidRPr="004A27A1">
              <w:rPr>
                <w:rFonts w:ascii="Arial" w:hAnsi="Arial" w:cs="Arial"/>
                <w:sz w:val="20"/>
                <w:szCs w:val="20"/>
              </w:rPr>
              <w:t>4</w:t>
            </w:r>
            <w:r w:rsidRPr="004A27A1">
              <w:rPr>
                <w:rFonts w:ascii="Arial" w:hAnsi="Arial" w:cs="Arial"/>
                <w:sz w:val="20"/>
                <w:szCs w:val="20"/>
              </w:rPr>
              <w:t xml:space="preserve">9 staff </w:t>
            </w:r>
            <w:r w:rsidR="007108B0" w:rsidRPr="004A27A1">
              <w:rPr>
                <w:rFonts w:ascii="Arial" w:hAnsi="Arial" w:cs="Arial"/>
                <w:sz w:val="20"/>
                <w:szCs w:val="20"/>
              </w:rPr>
              <w:t>members</w:t>
            </w:r>
            <w:r w:rsidR="00754364" w:rsidRPr="004A27A1">
              <w:rPr>
                <w:rFonts w:ascii="Arial" w:hAnsi="Arial" w:cs="Arial"/>
                <w:sz w:val="20"/>
                <w:szCs w:val="20"/>
              </w:rPr>
              <w:t xml:space="preserve">. With </w:t>
            </w:r>
            <w:r w:rsidR="00956A76" w:rsidRPr="004A27A1">
              <w:rPr>
                <w:rFonts w:ascii="Arial" w:hAnsi="Arial" w:cs="Arial"/>
                <w:sz w:val="20"/>
                <w:szCs w:val="20"/>
              </w:rPr>
              <w:t>£35,</w:t>
            </w:r>
            <w:r w:rsidR="000D13BB">
              <w:rPr>
                <w:rFonts w:ascii="Arial" w:hAnsi="Arial" w:cs="Arial"/>
                <w:sz w:val="20"/>
                <w:szCs w:val="20"/>
              </w:rPr>
              <w:t>100</w:t>
            </w:r>
            <w:r w:rsidR="00956A76" w:rsidRPr="004A27A1">
              <w:rPr>
                <w:rFonts w:ascii="Arial" w:hAnsi="Arial" w:cs="Arial"/>
                <w:sz w:val="20"/>
                <w:szCs w:val="20"/>
              </w:rPr>
              <w:t xml:space="preserve"> </w:t>
            </w:r>
            <w:r w:rsidR="00A365BB" w:rsidRPr="004A27A1">
              <w:rPr>
                <w:rFonts w:ascii="Arial" w:hAnsi="Arial" w:cs="Arial"/>
                <w:sz w:val="20"/>
                <w:szCs w:val="20"/>
              </w:rPr>
              <w:t xml:space="preserve">recovered </w:t>
            </w:r>
            <w:r w:rsidR="00956A76" w:rsidRPr="004A27A1">
              <w:rPr>
                <w:rFonts w:ascii="Arial" w:hAnsi="Arial" w:cs="Arial"/>
                <w:sz w:val="20"/>
                <w:szCs w:val="20"/>
              </w:rPr>
              <w:t xml:space="preserve">relating to </w:t>
            </w:r>
            <w:r w:rsidR="00563C06" w:rsidRPr="004A27A1">
              <w:rPr>
                <w:rFonts w:ascii="Arial" w:hAnsi="Arial" w:cs="Arial"/>
                <w:sz w:val="20"/>
                <w:szCs w:val="20"/>
              </w:rPr>
              <w:t>46 staff members).</w:t>
            </w:r>
          </w:p>
        </w:tc>
      </w:tr>
      <w:tr w:rsidR="007B7208" w:rsidRPr="004A27A1" w14:paraId="45AAA030" w14:textId="77777777" w:rsidTr="38A8F80C">
        <w:trPr>
          <w:trHeight w:val="684"/>
        </w:trPr>
        <w:tc>
          <w:tcPr>
            <w:tcW w:w="2624" w:type="dxa"/>
            <w:vAlign w:val="center"/>
            <w:hideMark/>
          </w:tcPr>
          <w:p w14:paraId="5B727604" w14:textId="77777777" w:rsidR="007B7208" w:rsidRPr="004A27A1" w:rsidRDefault="007B7208">
            <w:pPr>
              <w:rPr>
                <w:rFonts w:ascii="Arial" w:hAnsi="Arial" w:cs="Arial"/>
                <w:b/>
                <w:bCs/>
                <w:color w:val="000000"/>
                <w:sz w:val="20"/>
                <w:szCs w:val="20"/>
              </w:rPr>
            </w:pPr>
            <w:r w:rsidRPr="004A27A1">
              <w:rPr>
                <w:rFonts w:ascii="Arial" w:hAnsi="Arial" w:cs="Arial"/>
                <w:b/>
                <w:bCs/>
                <w:color w:val="000000"/>
                <w:sz w:val="20"/>
                <w:szCs w:val="20"/>
              </w:rPr>
              <w:lastRenderedPageBreak/>
              <w:t>Contract waiver report</w:t>
            </w:r>
          </w:p>
        </w:tc>
        <w:tc>
          <w:tcPr>
            <w:tcW w:w="6448" w:type="dxa"/>
            <w:vAlign w:val="center"/>
            <w:hideMark/>
          </w:tcPr>
          <w:p w14:paraId="611AAD6A" w14:textId="3E73E489" w:rsidR="005A5F61" w:rsidRPr="004A27A1" w:rsidRDefault="007B7208" w:rsidP="00E27BDD">
            <w:pPr>
              <w:spacing w:before="120" w:after="60" w:line="360" w:lineRule="auto"/>
              <w:rPr>
                <w:rFonts w:ascii="Arial" w:hAnsi="Arial" w:cs="Arial"/>
                <w:color w:val="000000"/>
                <w:sz w:val="20"/>
                <w:szCs w:val="20"/>
              </w:rPr>
            </w:pPr>
            <w:r w:rsidRPr="004A27A1">
              <w:rPr>
                <w:rFonts w:ascii="Arial" w:hAnsi="Arial" w:cs="Arial"/>
                <w:color w:val="000000"/>
                <w:sz w:val="20"/>
                <w:szCs w:val="20"/>
              </w:rPr>
              <w:t xml:space="preserve">The committee receives a report at every meeting of the </w:t>
            </w:r>
            <w:r w:rsidR="002E7C7C" w:rsidRPr="004A27A1">
              <w:rPr>
                <w:rFonts w:ascii="Arial" w:hAnsi="Arial" w:cs="Arial"/>
                <w:color w:val="000000"/>
                <w:sz w:val="20"/>
                <w:szCs w:val="20"/>
              </w:rPr>
              <w:t>contract</w:t>
            </w:r>
            <w:r w:rsidRPr="004A27A1">
              <w:rPr>
                <w:rFonts w:ascii="Arial" w:hAnsi="Arial" w:cs="Arial"/>
                <w:color w:val="000000"/>
                <w:sz w:val="20"/>
                <w:szCs w:val="20"/>
              </w:rPr>
              <w:t xml:space="preserve"> waivers that have been authorised. Details are provided of the reason for the waiver, the value and the </w:t>
            </w:r>
            <w:r w:rsidR="000570BC" w:rsidRPr="004A27A1">
              <w:rPr>
                <w:rFonts w:ascii="Arial" w:hAnsi="Arial" w:cs="Arial"/>
                <w:color w:val="000000"/>
                <w:sz w:val="20"/>
                <w:szCs w:val="20"/>
              </w:rPr>
              <w:t>a</w:t>
            </w:r>
            <w:r w:rsidR="00110A56" w:rsidRPr="004A27A1">
              <w:rPr>
                <w:rFonts w:ascii="Arial" w:hAnsi="Arial" w:cs="Arial"/>
                <w:color w:val="000000"/>
                <w:sz w:val="20"/>
                <w:szCs w:val="20"/>
              </w:rPr>
              <w:t>p</w:t>
            </w:r>
            <w:r w:rsidR="000570BC" w:rsidRPr="004A27A1">
              <w:rPr>
                <w:rFonts w:ascii="Arial" w:hAnsi="Arial" w:cs="Arial"/>
                <w:color w:val="000000"/>
                <w:sz w:val="20"/>
                <w:szCs w:val="20"/>
              </w:rPr>
              <w:t>prover</w:t>
            </w:r>
            <w:r w:rsidRPr="004A27A1">
              <w:rPr>
                <w:rFonts w:ascii="Arial" w:hAnsi="Arial" w:cs="Arial"/>
                <w:color w:val="000000"/>
                <w:sz w:val="20"/>
                <w:szCs w:val="20"/>
              </w:rPr>
              <w:t xml:space="preserve">. The committee also receives an annual summary of all waivers granted during the year. </w:t>
            </w:r>
          </w:p>
          <w:p w14:paraId="16FB2DA8" w14:textId="4419F86D" w:rsidR="00800633" w:rsidRPr="004A27A1" w:rsidRDefault="007B7208" w:rsidP="38A8F80C">
            <w:pPr>
              <w:spacing w:after="60" w:line="360" w:lineRule="auto"/>
              <w:rPr>
                <w:rFonts w:ascii="Arial" w:hAnsi="Arial" w:cs="Arial"/>
                <w:color w:val="FF0000"/>
                <w:sz w:val="20"/>
                <w:szCs w:val="20"/>
              </w:rPr>
            </w:pPr>
            <w:r w:rsidRPr="004A27A1">
              <w:rPr>
                <w:rFonts w:ascii="Arial" w:hAnsi="Arial" w:cs="Arial"/>
                <w:color w:val="000000" w:themeColor="text1"/>
                <w:sz w:val="20"/>
                <w:szCs w:val="20"/>
              </w:rPr>
              <w:t>In 202</w:t>
            </w:r>
            <w:r w:rsidR="00F04B85" w:rsidRPr="004A27A1">
              <w:rPr>
                <w:rFonts w:ascii="Arial" w:hAnsi="Arial" w:cs="Arial"/>
                <w:color w:val="000000" w:themeColor="text1"/>
                <w:sz w:val="20"/>
                <w:szCs w:val="20"/>
              </w:rPr>
              <w:t>5</w:t>
            </w:r>
            <w:r w:rsidRPr="004A27A1">
              <w:rPr>
                <w:rFonts w:ascii="Arial" w:hAnsi="Arial" w:cs="Arial"/>
                <w:color w:val="000000" w:themeColor="text1"/>
                <w:sz w:val="20"/>
                <w:szCs w:val="20"/>
              </w:rPr>
              <w:t>/2</w:t>
            </w:r>
            <w:r w:rsidR="00F04B85" w:rsidRPr="004A27A1">
              <w:rPr>
                <w:rFonts w:ascii="Arial" w:hAnsi="Arial" w:cs="Arial"/>
                <w:color w:val="000000" w:themeColor="text1"/>
                <w:sz w:val="20"/>
                <w:szCs w:val="20"/>
              </w:rPr>
              <w:t>6</w:t>
            </w:r>
            <w:r w:rsidRPr="004A27A1">
              <w:rPr>
                <w:rFonts w:ascii="Arial" w:hAnsi="Arial" w:cs="Arial"/>
                <w:color w:val="000000" w:themeColor="text1"/>
                <w:sz w:val="20"/>
                <w:szCs w:val="20"/>
              </w:rPr>
              <w:t xml:space="preserve"> a total of </w:t>
            </w:r>
            <w:r w:rsidR="003E64DB" w:rsidRPr="004A27A1">
              <w:rPr>
                <w:rFonts w:ascii="Arial" w:hAnsi="Arial" w:cs="Arial"/>
                <w:color w:val="000000" w:themeColor="text1"/>
                <w:sz w:val="20"/>
                <w:szCs w:val="20"/>
              </w:rPr>
              <w:t>218</w:t>
            </w:r>
            <w:r w:rsidR="167C3A05" w:rsidRPr="004A27A1">
              <w:rPr>
                <w:rFonts w:ascii="Arial" w:hAnsi="Arial" w:cs="Arial"/>
                <w:color w:val="000000" w:themeColor="text1"/>
                <w:sz w:val="20"/>
                <w:szCs w:val="20"/>
              </w:rPr>
              <w:t xml:space="preserve"> </w:t>
            </w:r>
            <w:r w:rsidRPr="004A27A1">
              <w:rPr>
                <w:rFonts w:ascii="Arial" w:hAnsi="Arial" w:cs="Arial"/>
                <w:color w:val="000000" w:themeColor="text1"/>
                <w:sz w:val="20"/>
                <w:szCs w:val="20"/>
              </w:rPr>
              <w:t xml:space="preserve">contracts </w:t>
            </w:r>
            <w:r w:rsidR="494117A2" w:rsidRPr="004A27A1">
              <w:rPr>
                <w:rFonts w:ascii="Arial" w:hAnsi="Arial" w:cs="Arial"/>
                <w:color w:val="000000" w:themeColor="text1"/>
                <w:sz w:val="20"/>
                <w:szCs w:val="20"/>
              </w:rPr>
              <w:t xml:space="preserve">were </w:t>
            </w:r>
            <w:r w:rsidRPr="004A27A1">
              <w:rPr>
                <w:rFonts w:ascii="Arial" w:hAnsi="Arial" w:cs="Arial"/>
                <w:color w:val="000000" w:themeColor="text1"/>
                <w:sz w:val="20"/>
                <w:szCs w:val="20"/>
              </w:rPr>
              <w:t xml:space="preserve">awarded </w:t>
            </w:r>
            <w:r w:rsidR="5F0C5694" w:rsidRPr="004A27A1">
              <w:rPr>
                <w:rFonts w:ascii="Arial" w:hAnsi="Arial" w:cs="Arial"/>
                <w:color w:val="000000" w:themeColor="text1"/>
                <w:sz w:val="20"/>
                <w:szCs w:val="20"/>
              </w:rPr>
              <w:t>with a</w:t>
            </w:r>
            <w:r w:rsidR="04DC1AE3" w:rsidRPr="004A27A1">
              <w:rPr>
                <w:rFonts w:ascii="Arial" w:hAnsi="Arial" w:cs="Arial"/>
                <w:color w:val="000000" w:themeColor="text1"/>
                <w:sz w:val="20"/>
                <w:szCs w:val="20"/>
              </w:rPr>
              <w:t xml:space="preserve"> total</w:t>
            </w:r>
            <w:r w:rsidR="5F0C5694" w:rsidRPr="004A27A1">
              <w:rPr>
                <w:rFonts w:ascii="Arial" w:hAnsi="Arial" w:cs="Arial"/>
                <w:color w:val="000000" w:themeColor="text1"/>
                <w:sz w:val="20"/>
                <w:szCs w:val="20"/>
              </w:rPr>
              <w:t xml:space="preserve"> value of £</w:t>
            </w:r>
            <w:r w:rsidR="0074773A" w:rsidRPr="004A27A1">
              <w:rPr>
                <w:rFonts w:ascii="Arial" w:hAnsi="Arial" w:cs="Arial"/>
                <w:color w:val="000000" w:themeColor="text1"/>
                <w:sz w:val="20"/>
                <w:szCs w:val="20"/>
              </w:rPr>
              <w:t>8.1</w:t>
            </w:r>
            <w:r w:rsidR="5F0C5694" w:rsidRPr="004A27A1">
              <w:rPr>
                <w:rFonts w:ascii="Arial" w:hAnsi="Arial" w:cs="Arial"/>
                <w:color w:val="000000" w:themeColor="text1"/>
                <w:sz w:val="20"/>
                <w:szCs w:val="20"/>
              </w:rPr>
              <w:t>M</w:t>
            </w:r>
            <w:r w:rsidR="0BD95E8E" w:rsidRPr="004A27A1">
              <w:rPr>
                <w:rFonts w:ascii="Arial" w:hAnsi="Arial" w:cs="Arial"/>
                <w:color w:val="000000" w:themeColor="text1"/>
                <w:sz w:val="20"/>
                <w:szCs w:val="20"/>
              </w:rPr>
              <w:t xml:space="preserve"> </w:t>
            </w:r>
            <w:r w:rsidRPr="004A27A1">
              <w:rPr>
                <w:rFonts w:ascii="Arial" w:hAnsi="Arial" w:cs="Arial"/>
                <w:color w:val="000000" w:themeColor="text1"/>
                <w:sz w:val="20"/>
                <w:szCs w:val="20"/>
              </w:rPr>
              <w:t xml:space="preserve">of which </w:t>
            </w:r>
            <w:r w:rsidR="006D3C8A" w:rsidRPr="004A27A1">
              <w:rPr>
                <w:rFonts w:ascii="Arial" w:hAnsi="Arial" w:cs="Arial"/>
                <w:color w:val="000000" w:themeColor="text1"/>
                <w:sz w:val="20"/>
                <w:szCs w:val="20"/>
              </w:rPr>
              <w:t>38</w:t>
            </w:r>
            <w:r w:rsidR="3BC6FFA3" w:rsidRPr="004A27A1">
              <w:rPr>
                <w:rFonts w:ascii="Arial" w:hAnsi="Arial" w:cs="Arial"/>
                <w:color w:val="000000" w:themeColor="text1"/>
                <w:sz w:val="20"/>
                <w:szCs w:val="20"/>
              </w:rPr>
              <w:t xml:space="preserve"> </w:t>
            </w:r>
            <w:r w:rsidRPr="004A27A1">
              <w:rPr>
                <w:rFonts w:ascii="Arial" w:hAnsi="Arial" w:cs="Arial"/>
                <w:color w:val="000000" w:themeColor="text1"/>
                <w:sz w:val="20"/>
                <w:szCs w:val="20"/>
              </w:rPr>
              <w:t xml:space="preserve">were subject to waivers, with a value of </w:t>
            </w:r>
            <w:r w:rsidR="5CE6156F" w:rsidRPr="004A27A1">
              <w:rPr>
                <w:rFonts w:ascii="Arial" w:hAnsi="Arial" w:cs="Arial"/>
                <w:color w:val="000000" w:themeColor="text1"/>
                <w:sz w:val="20"/>
                <w:szCs w:val="20"/>
              </w:rPr>
              <w:t>£</w:t>
            </w:r>
            <w:r w:rsidR="0074773A" w:rsidRPr="004A27A1">
              <w:rPr>
                <w:rFonts w:ascii="Arial" w:hAnsi="Arial" w:cs="Arial"/>
                <w:color w:val="000000" w:themeColor="text1"/>
                <w:sz w:val="20"/>
                <w:szCs w:val="20"/>
              </w:rPr>
              <w:t>0.4</w:t>
            </w:r>
            <w:r w:rsidR="3D5E013F" w:rsidRPr="004A27A1">
              <w:rPr>
                <w:rFonts w:ascii="Arial" w:hAnsi="Arial" w:cs="Arial"/>
                <w:color w:val="000000" w:themeColor="text1"/>
                <w:sz w:val="20"/>
                <w:szCs w:val="20"/>
              </w:rPr>
              <w:t>M</w:t>
            </w:r>
            <w:r w:rsidR="0BD95E8E" w:rsidRPr="004A27A1">
              <w:rPr>
                <w:rFonts w:ascii="Arial" w:hAnsi="Arial" w:cs="Arial"/>
                <w:color w:val="000000" w:themeColor="text1"/>
                <w:sz w:val="20"/>
                <w:szCs w:val="20"/>
              </w:rPr>
              <w:t>.</w:t>
            </w:r>
          </w:p>
          <w:p w14:paraId="0229B2BB" w14:textId="09D42560" w:rsidR="00FE6CF1" w:rsidRPr="004A27A1" w:rsidRDefault="00377866" w:rsidP="00182A1F">
            <w:pPr>
              <w:spacing w:after="60" w:line="360" w:lineRule="auto"/>
              <w:rPr>
                <w:rFonts w:ascii="Arial" w:hAnsi="Arial" w:cs="Arial"/>
                <w:color w:val="000000"/>
                <w:sz w:val="20"/>
                <w:szCs w:val="20"/>
              </w:rPr>
            </w:pPr>
            <w:r w:rsidRPr="004A27A1">
              <w:rPr>
                <w:rFonts w:ascii="Arial" w:hAnsi="Arial" w:cs="Arial"/>
                <w:color w:val="000000"/>
                <w:sz w:val="20"/>
                <w:szCs w:val="20"/>
              </w:rPr>
              <w:t>(</w:t>
            </w:r>
            <w:r w:rsidR="00C53425" w:rsidRPr="004A27A1">
              <w:rPr>
                <w:rFonts w:ascii="Arial" w:hAnsi="Arial" w:cs="Arial"/>
                <w:color w:val="000000"/>
                <w:sz w:val="20"/>
                <w:szCs w:val="20"/>
              </w:rPr>
              <w:t xml:space="preserve">for comparison </w:t>
            </w:r>
            <w:r w:rsidR="00547E57" w:rsidRPr="004A27A1">
              <w:rPr>
                <w:rFonts w:ascii="Arial" w:hAnsi="Arial" w:cs="Arial"/>
                <w:color w:val="000000"/>
                <w:sz w:val="20"/>
                <w:szCs w:val="20"/>
              </w:rPr>
              <w:t xml:space="preserve">in </w:t>
            </w:r>
            <w:r w:rsidRPr="004A27A1">
              <w:rPr>
                <w:rFonts w:ascii="Arial" w:hAnsi="Arial" w:cs="Arial"/>
                <w:color w:val="000000"/>
                <w:sz w:val="20"/>
                <w:szCs w:val="20"/>
              </w:rPr>
              <w:t>202</w:t>
            </w:r>
            <w:r w:rsidR="00F948BB" w:rsidRPr="004A27A1">
              <w:rPr>
                <w:rFonts w:ascii="Arial" w:hAnsi="Arial" w:cs="Arial"/>
                <w:color w:val="000000"/>
                <w:sz w:val="20"/>
                <w:szCs w:val="20"/>
              </w:rPr>
              <w:t>4</w:t>
            </w:r>
            <w:r w:rsidRPr="004A27A1">
              <w:rPr>
                <w:rFonts w:ascii="Arial" w:hAnsi="Arial" w:cs="Arial"/>
                <w:color w:val="000000"/>
                <w:sz w:val="20"/>
                <w:szCs w:val="20"/>
              </w:rPr>
              <w:t>/2</w:t>
            </w:r>
            <w:r w:rsidR="00F948BB" w:rsidRPr="004A27A1">
              <w:rPr>
                <w:rFonts w:ascii="Arial" w:hAnsi="Arial" w:cs="Arial"/>
                <w:color w:val="000000"/>
                <w:sz w:val="20"/>
                <w:szCs w:val="20"/>
              </w:rPr>
              <w:t>5</w:t>
            </w:r>
            <w:r w:rsidRPr="004A27A1">
              <w:rPr>
                <w:rFonts w:ascii="Arial" w:hAnsi="Arial" w:cs="Arial"/>
                <w:color w:val="000000"/>
                <w:sz w:val="20"/>
                <w:szCs w:val="20"/>
              </w:rPr>
              <w:t xml:space="preserve"> - </w:t>
            </w:r>
            <w:r w:rsidR="00F04B85" w:rsidRPr="004A27A1">
              <w:rPr>
                <w:rFonts w:ascii="Arial" w:hAnsi="Arial" w:cs="Arial"/>
                <w:color w:val="000000"/>
                <w:sz w:val="20"/>
                <w:szCs w:val="20"/>
              </w:rPr>
              <w:t>192</w:t>
            </w:r>
            <w:r w:rsidR="007C2BD3" w:rsidRPr="004A27A1">
              <w:rPr>
                <w:rFonts w:ascii="Arial" w:hAnsi="Arial" w:cs="Arial"/>
                <w:color w:val="000000"/>
                <w:sz w:val="20"/>
                <w:szCs w:val="20"/>
              </w:rPr>
              <w:t xml:space="preserve"> contracts</w:t>
            </w:r>
            <w:r w:rsidRPr="004A27A1">
              <w:rPr>
                <w:rFonts w:ascii="Arial" w:hAnsi="Arial" w:cs="Arial"/>
                <w:color w:val="000000"/>
                <w:sz w:val="20"/>
                <w:szCs w:val="20"/>
              </w:rPr>
              <w:t xml:space="preserve"> totalling £</w:t>
            </w:r>
            <w:r w:rsidR="00F04B85" w:rsidRPr="004A27A1">
              <w:rPr>
                <w:rFonts w:ascii="Arial" w:hAnsi="Arial" w:cs="Arial"/>
                <w:color w:val="000000"/>
                <w:sz w:val="20"/>
                <w:szCs w:val="20"/>
              </w:rPr>
              <w:t>3.</w:t>
            </w:r>
            <w:r w:rsidR="006113F8" w:rsidRPr="004A27A1">
              <w:rPr>
                <w:rFonts w:ascii="Arial" w:hAnsi="Arial" w:cs="Arial"/>
                <w:color w:val="000000"/>
                <w:sz w:val="20"/>
                <w:szCs w:val="20"/>
              </w:rPr>
              <w:t>8M</w:t>
            </w:r>
            <w:r w:rsidR="005A725C" w:rsidRPr="004A27A1">
              <w:rPr>
                <w:rFonts w:ascii="Arial" w:hAnsi="Arial" w:cs="Arial"/>
                <w:color w:val="000000"/>
                <w:sz w:val="20"/>
                <w:szCs w:val="20"/>
              </w:rPr>
              <w:t xml:space="preserve"> of which </w:t>
            </w:r>
            <w:r w:rsidR="00F04B85" w:rsidRPr="004A27A1">
              <w:rPr>
                <w:rFonts w:ascii="Arial" w:hAnsi="Arial" w:cs="Arial"/>
                <w:color w:val="000000"/>
                <w:sz w:val="20"/>
                <w:szCs w:val="20"/>
              </w:rPr>
              <w:t>21</w:t>
            </w:r>
            <w:r w:rsidR="005A725C" w:rsidRPr="004A27A1">
              <w:rPr>
                <w:rFonts w:ascii="Arial" w:hAnsi="Arial" w:cs="Arial"/>
                <w:color w:val="000000"/>
                <w:sz w:val="20"/>
                <w:szCs w:val="20"/>
              </w:rPr>
              <w:t xml:space="preserve"> were waivers </w:t>
            </w:r>
            <w:r w:rsidR="006113F8" w:rsidRPr="004A27A1">
              <w:rPr>
                <w:rFonts w:ascii="Arial" w:hAnsi="Arial" w:cs="Arial"/>
                <w:color w:val="000000"/>
                <w:sz w:val="20"/>
                <w:szCs w:val="20"/>
              </w:rPr>
              <w:t>with a value of £0.</w:t>
            </w:r>
            <w:r w:rsidR="00F04B85" w:rsidRPr="004A27A1">
              <w:rPr>
                <w:rFonts w:ascii="Arial" w:hAnsi="Arial" w:cs="Arial"/>
                <w:color w:val="000000"/>
                <w:sz w:val="20"/>
                <w:szCs w:val="20"/>
              </w:rPr>
              <w:t>4</w:t>
            </w:r>
            <w:r w:rsidR="006113F8" w:rsidRPr="004A27A1">
              <w:rPr>
                <w:rFonts w:ascii="Arial" w:hAnsi="Arial" w:cs="Arial"/>
                <w:color w:val="000000"/>
                <w:sz w:val="20"/>
                <w:szCs w:val="20"/>
              </w:rPr>
              <w:t>M</w:t>
            </w:r>
            <w:r w:rsidR="007B7208" w:rsidRPr="004A27A1">
              <w:rPr>
                <w:rFonts w:ascii="Arial" w:hAnsi="Arial" w:cs="Arial"/>
                <w:color w:val="000000"/>
                <w:sz w:val="20"/>
                <w:szCs w:val="20"/>
              </w:rPr>
              <w:t xml:space="preserve">). </w:t>
            </w:r>
          </w:p>
          <w:p w14:paraId="51264ED2" w14:textId="32915AC2" w:rsidR="005A725C" w:rsidRPr="004A27A1" w:rsidRDefault="002C2A50" w:rsidP="00182A1F">
            <w:pPr>
              <w:spacing w:after="60" w:line="360" w:lineRule="auto"/>
              <w:rPr>
                <w:rFonts w:ascii="Arial" w:hAnsi="Arial" w:cs="Arial"/>
                <w:color w:val="000000"/>
                <w:sz w:val="20"/>
                <w:szCs w:val="20"/>
              </w:rPr>
            </w:pPr>
            <w:r w:rsidRPr="004A27A1">
              <w:rPr>
                <w:rFonts w:ascii="Arial" w:hAnsi="Arial" w:cs="Arial"/>
                <w:color w:val="000000"/>
                <w:sz w:val="20"/>
                <w:szCs w:val="20"/>
              </w:rPr>
              <w:t>There were n</w:t>
            </w:r>
            <w:r w:rsidR="00851538" w:rsidRPr="004A27A1">
              <w:rPr>
                <w:rFonts w:ascii="Arial" w:hAnsi="Arial" w:cs="Arial"/>
                <w:color w:val="000000"/>
                <w:sz w:val="20"/>
                <w:szCs w:val="20"/>
              </w:rPr>
              <w:t xml:space="preserve">o issues raised with waivers </w:t>
            </w:r>
            <w:r w:rsidRPr="004A27A1">
              <w:rPr>
                <w:rFonts w:ascii="Arial" w:hAnsi="Arial" w:cs="Arial"/>
                <w:color w:val="000000"/>
                <w:sz w:val="20"/>
                <w:szCs w:val="20"/>
              </w:rPr>
              <w:t>dur</w:t>
            </w:r>
            <w:r w:rsidR="00851538" w:rsidRPr="004A27A1">
              <w:rPr>
                <w:rFonts w:ascii="Arial" w:hAnsi="Arial" w:cs="Arial"/>
                <w:color w:val="000000"/>
                <w:sz w:val="20"/>
                <w:szCs w:val="20"/>
              </w:rPr>
              <w:t>in</w:t>
            </w:r>
            <w:r w:rsidRPr="004A27A1">
              <w:rPr>
                <w:rFonts w:ascii="Arial" w:hAnsi="Arial" w:cs="Arial"/>
                <w:color w:val="000000"/>
                <w:sz w:val="20"/>
                <w:szCs w:val="20"/>
              </w:rPr>
              <w:t>g</w:t>
            </w:r>
            <w:r w:rsidR="00851538" w:rsidRPr="004A27A1">
              <w:rPr>
                <w:rFonts w:ascii="Arial" w:hAnsi="Arial" w:cs="Arial"/>
                <w:color w:val="000000"/>
                <w:sz w:val="20"/>
                <w:szCs w:val="20"/>
              </w:rPr>
              <w:t xml:space="preserve"> the year.</w:t>
            </w:r>
          </w:p>
        </w:tc>
      </w:tr>
      <w:tr w:rsidR="00F66CB6" w:rsidRPr="004A27A1" w14:paraId="477616C0" w14:textId="77777777" w:rsidTr="38A8F80C">
        <w:trPr>
          <w:trHeight w:val="554"/>
        </w:trPr>
        <w:tc>
          <w:tcPr>
            <w:tcW w:w="2624" w:type="dxa"/>
            <w:vAlign w:val="center"/>
            <w:hideMark/>
          </w:tcPr>
          <w:p w14:paraId="3DD0195E" w14:textId="77777777" w:rsidR="00F66CB6" w:rsidRPr="004A27A1" w:rsidRDefault="00F66CB6" w:rsidP="00F66CB6">
            <w:pPr>
              <w:rPr>
                <w:rFonts w:ascii="Arial" w:hAnsi="Arial" w:cs="Arial"/>
                <w:b/>
                <w:bCs/>
                <w:color w:val="000000"/>
                <w:sz w:val="20"/>
                <w:szCs w:val="20"/>
              </w:rPr>
            </w:pPr>
            <w:r w:rsidRPr="004A27A1">
              <w:rPr>
                <w:rFonts w:ascii="Arial" w:hAnsi="Arial" w:cs="Arial"/>
                <w:b/>
                <w:bCs/>
                <w:color w:val="000000"/>
                <w:sz w:val="20"/>
                <w:szCs w:val="20"/>
              </w:rPr>
              <w:t>Technical accounting issues</w:t>
            </w:r>
          </w:p>
        </w:tc>
        <w:tc>
          <w:tcPr>
            <w:tcW w:w="6448" w:type="dxa"/>
            <w:vAlign w:val="center"/>
            <w:hideMark/>
          </w:tcPr>
          <w:p w14:paraId="736A135F" w14:textId="7970309B" w:rsidR="00F66CB6" w:rsidRPr="004A27A1" w:rsidRDefault="00F8718E" w:rsidP="00240B80">
            <w:pPr>
              <w:spacing w:before="120" w:after="120" w:line="360" w:lineRule="auto"/>
              <w:rPr>
                <w:rFonts w:ascii="Arial" w:hAnsi="Arial" w:cs="Arial"/>
                <w:color w:val="000000"/>
                <w:sz w:val="20"/>
                <w:szCs w:val="20"/>
              </w:rPr>
            </w:pPr>
            <w:r w:rsidRPr="004A27A1">
              <w:rPr>
                <w:rFonts w:ascii="Arial" w:hAnsi="Arial" w:cs="Arial"/>
                <w:color w:val="000000"/>
                <w:sz w:val="20"/>
                <w:szCs w:val="20"/>
              </w:rPr>
              <w:t>No</w:t>
            </w:r>
            <w:r w:rsidR="00F66CB6" w:rsidRPr="004A27A1">
              <w:rPr>
                <w:rFonts w:ascii="Arial" w:hAnsi="Arial" w:cs="Arial"/>
                <w:color w:val="000000"/>
                <w:sz w:val="20"/>
                <w:szCs w:val="20"/>
              </w:rPr>
              <w:t xml:space="preserve"> significant changes to existing accounting policies or practices</w:t>
            </w:r>
            <w:r w:rsidR="00845F2B" w:rsidRPr="004A27A1">
              <w:rPr>
                <w:rFonts w:ascii="Arial" w:hAnsi="Arial" w:cs="Arial"/>
                <w:color w:val="000000"/>
                <w:sz w:val="20"/>
                <w:szCs w:val="20"/>
              </w:rPr>
              <w:t xml:space="preserve"> </w:t>
            </w:r>
            <w:r w:rsidRPr="004A27A1">
              <w:rPr>
                <w:rFonts w:ascii="Arial" w:hAnsi="Arial" w:cs="Arial"/>
                <w:color w:val="000000"/>
                <w:sz w:val="20"/>
                <w:szCs w:val="20"/>
              </w:rPr>
              <w:t>we</w:t>
            </w:r>
            <w:r w:rsidR="00845F2B" w:rsidRPr="004A27A1">
              <w:rPr>
                <w:rFonts w:ascii="Arial" w:hAnsi="Arial" w:cs="Arial"/>
                <w:color w:val="000000"/>
                <w:sz w:val="20"/>
                <w:szCs w:val="20"/>
              </w:rPr>
              <w:t>re reported</w:t>
            </w:r>
            <w:r w:rsidR="00F66CB6" w:rsidRPr="004A27A1">
              <w:rPr>
                <w:rFonts w:ascii="Arial" w:hAnsi="Arial" w:cs="Arial"/>
                <w:color w:val="000000"/>
                <w:sz w:val="20"/>
                <w:szCs w:val="20"/>
              </w:rPr>
              <w:t>.</w:t>
            </w:r>
            <w:r w:rsidR="006A7D27" w:rsidRPr="004A27A1">
              <w:rPr>
                <w:rFonts w:ascii="Arial" w:hAnsi="Arial" w:cs="Arial"/>
                <w:color w:val="000000"/>
                <w:sz w:val="20"/>
                <w:szCs w:val="20"/>
              </w:rPr>
              <w:t xml:space="preserve"> </w:t>
            </w:r>
            <w:r w:rsidR="00595D9F" w:rsidRPr="004A27A1">
              <w:rPr>
                <w:rFonts w:ascii="Arial" w:hAnsi="Arial" w:cs="Arial"/>
                <w:i/>
                <w:iCs/>
                <w:color w:val="000000"/>
                <w:sz w:val="20"/>
                <w:szCs w:val="20"/>
              </w:rPr>
              <w:t>IFRS 17 Insurance contracts</w:t>
            </w:r>
            <w:r w:rsidR="00595D9F" w:rsidRPr="004A27A1">
              <w:rPr>
                <w:rFonts w:ascii="Arial" w:hAnsi="Arial" w:cs="Arial"/>
                <w:color w:val="000000"/>
                <w:sz w:val="20"/>
                <w:szCs w:val="20"/>
              </w:rPr>
              <w:t xml:space="preserve"> came into effect on 1 April 2025, but it had no impact on NICE.</w:t>
            </w:r>
          </w:p>
        </w:tc>
      </w:tr>
      <w:tr w:rsidR="007B7208" w:rsidRPr="004A27A1" w14:paraId="693AE035" w14:textId="77777777" w:rsidTr="38A8F80C">
        <w:trPr>
          <w:trHeight w:val="828"/>
        </w:trPr>
        <w:tc>
          <w:tcPr>
            <w:tcW w:w="2624" w:type="dxa"/>
            <w:vAlign w:val="center"/>
            <w:hideMark/>
          </w:tcPr>
          <w:p w14:paraId="066D2DAC" w14:textId="77777777" w:rsidR="007B7208" w:rsidRPr="004A27A1" w:rsidRDefault="007B7208">
            <w:pPr>
              <w:rPr>
                <w:rFonts w:ascii="Arial" w:hAnsi="Arial" w:cs="Arial"/>
                <w:b/>
                <w:bCs/>
                <w:color w:val="FF0000"/>
                <w:sz w:val="20"/>
                <w:szCs w:val="20"/>
              </w:rPr>
            </w:pPr>
            <w:r w:rsidRPr="004A27A1">
              <w:rPr>
                <w:rFonts w:ascii="Arial" w:hAnsi="Arial" w:cs="Arial"/>
                <w:b/>
                <w:bCs/>
                <w:color w:val="000000"/>
                <w:sz w:val="20"/>
                <w:szCs w:val="20"/>
              </w:rPr>
              <w:t>Annual assurance reports</w:t>
            </w:r>
          </w:p>
        </w:tc>
        <w:tc>
          <w:tcPr>
            <w:tcW w:w="6448" w:type="dxa"/>
            <w:vAlign w:val="center"/>
            <w:hideMark/>
          </w:tcPr>
          <w:p w14:paraId="257DE159" w14:textId="3A52D3A9" w:rsidR="007B7208" w:rsidRPr="004A27A1" w:rsidRDefault="00916AF7" w:rsidP="00240B80">
            <w:pPr>
              <w:spacing w:before="120" w:after="120" w:line="360" w:lineRule="auto"/>
              <w:rPr>
                <w:rFonts w:ascii="Arial" w:hAnsi="Arial" w:cs="Arial"/>
                <w:color w:val="FF0000"/>
                <w:sz w:val="20"/>
                <w:szCs w:val="20"/>
              </w:rPr>
            </w:pPr>
            <w:r w:rsidRPr="004A27A1">
              <w:rPr>
                <w:rFonts w:ascii="Arial" w:hAnsi="Arial" w:cs="Arial"/>
                <w:color w:val="000000"/>
                <w:sz w:val="20"/>
                <w:szCs w:val="20"/>
              </w:rPr>
              <w:t>A</w:t>
            </w:r>
            <w:r w:rsidR="007B7208" w:rsidRPr="004A27A1">
              <w:rPr>
                <w:rFonts w:ascii="Arial" w:hAnsi="Arial" w:cs="Arial"/>
                <w:color w:val="000000"/>
                <w:sz w:val="20"/>
                <w:szCs w:val="20"/>
              </w:rPr>
              <w:t xml:space="preserve"> range of </w:t>
            </w:r>
            <w:r w:rsidRPr="004A27A1">
              <w:rPr>
                <w:rFonts w:ascii="Arial" w:hAnsi="Arial" w:cs="Arial"/>
                <w:color w:val="000000"/>
                <w:sz w:val="20"/>
                <w:szCs w:val="20"/>
              </w:rPr>
              <w:t xml:space="preserve">annual </w:t>
            </w:r>
            <w:r w:rsidR="007B7208" w:rsidRPr="004A27A1">
              <w:rPr>
                <w:rFonts w:ascii="Arial" w:hAnsi="Arial" w:cs="Arial"/>
                <w:color w:val="000000"/>
                <w:sz w:val="20"/>
                <w:szCs w:val="20"/>
              </w:rPr>
              <w:t xml:space="preserve">reports </w:t>
            </w:r>
            <w:r w:rsidRPr="004A27A1">
              <w:rPr>
                <w:rFonts w:ascii="Arial" w:hAnsi="Arial" w:cs="Arial"/>
                <w:color w:val="000000"/>
                <w:sz w:val="20"/>
                <w:szCs w:val="20"/>
              </w:rPr>
              <w:t>provide</w:t>
            </w:r>
            <w:r w:rsidR="007B7208" w:rsidRPr="004A27A1">
              <w:rPr>
                <w:rFonts w:ascii="Arial" w:hAnsi="Arial" w:cs="Arial"/>
                <w:color w:val="000000"/>
                <w:sz w:val="20"/>
                <w:szCs w:val="20"/>
              </w:rPr>
              <w:t xml:space="preserve"> the committee </w:t>
            </w:r>
            <w:r w:rsidRPr="004A27A1">
              <w:rPr>
                <w:rFonts w:ascii="Arial" w:hAnsi="Arial" w:cs="Arial"/>
                <w:color w:val="000000"/>
                <w:sz w:val="20"/>
                <w:szCs w:val="20"/>
              </w:rPr>
              <w:t>with</w:t>
            </w:r>
            <w:r w:rsidR="007B7208" w:rsidRPr="004A27A1">
              <w:rPr>
                <w:rFonts w:ascii="Arial" w:hAnsi="Arial" w:cs="Arial"/>
                <w:color w:val="000000"/>
                <w:sz w:val="20"/>
                <w:szCs w:val="20"/>
              </w:rPr>
              <w:t xml:space="preserve"> additional assurance. During 202</w:t>
            </w:r>
            <w:r w:rsidR="00CE722C" w:rsidRPr="004A27A1">
              <w:rPr>
                <w:rFonts w:ascii="Arial" w:hAnsi="Arial" w:cs="Arial"/>
                <w:color w:val="000000"/>
                <w:sz w:val="20"/>
                <w:szCs w:val="20"/>
              </w:rPr>
              <w:t>5</w:t>
            </w:r>
            <w:r w:rsidR="00C56E60" w:rsidRPr="004A27A1">
              <w:rPr>
                <w:rFonts w:ascii="Arial" w:hAnsi="Arial" w:cs="Arial"/>
                <w:color w:val="000000"/>
                <w:sz w:val="20"/>
                <w:szCs w:val="20"/>
              </w:rPr>
              <w:t>/2</w:t>
            </w:r>
            <w:r w:rsidR="00CE722C" w:rsidRPr="004A27A1">
              <w:rPr>
                <w:rFonts w:ascii="Arial" w:hAnsi="Arial" w:cs="Arial"/>
                <w:color w:val="000000"/>
                <w:sz w:val="20"/>
                <w:szCs w:val="20"/>
              </w:rPr>
              <w:t>6</w:t>
            </w:r>
            <w:r w:rsidR="007B7208" w:rsidRPr="004A27A1">
              <w:rPr>
                <w:rFonts w:ascii="Arial" w:hAnsi="Arial" w:cs="Arial"/>
                <w:color w:val="000000"/>
                <w:sz w:val="20"/>
                <w:szCs w:val="20"/>
              </w:rPr>
              <w:t xml:space="preserve"> the committee received reports on information governance and </w:t>
            </w:r>
            <w:r w:rsidR="00C117B8" w:rsidRPr="004A27A1">
              <w:rPr>
                <w:rFonts w:ascii="Arial" w:hAnsi="Arial" w:cs="Arial"/>
                <w:color w:val="000000"/>
                <w:sz w:val="20"/>
                <w:szCs w:val="20"/>
              </w:rPr>
              <w:t xml:space="preserve">records management, </w:t>
            </w:r>
            <w:r w:rsidR="007B7208" w:rsidRPr="004A27A1">
              <w:rPr>
                <w:rFonts w:ascii="Arial" w:hAnsi="Arial" w:cs="Arial"/>
                <w:color w:val="000000"/>
                <w:sz w:val="20"/>
                <w:szCs w:val="20"/>
              </w:rPr>
              <w:t>cyber security and resilience, the management of complaints</w:t>
            </w:r>
            <w:r w:rsidR="00D36053" w:rsidRPr="004A27A1">
              <w:rPr>
                <w:rFonts w:ascii="Arial" w:hAnsi="Arial" w:cs="Arial"/>
                <w:color w:val="000000"/>
                <w:sz w:val="20"/>
                <w:szCs w:val="20"/>
              </w:rPr>
              <w:t>, health and safety</w:t>
            </w:r>
            <w:r w:rsidR="00C117B8" w:rsidRPr="004A27A1">
              <w:rPr>
                <w:rFonts w:ascii="Arial" w:hAnsi="Arial" w:cs="Arial"/>
                <w:color w:val="000000"/>
                <w:sz w:val="20"/>
                <w:szCs w:val="20"/>
              </w:rPr>
              <w:t xml:space="preserve">, </w:t>
            </w:r>
            <w:proofErr w:type="gramStart"/>
            <w:r w:rsidR="00C117B8" w:rsidRPr="004A27A1">
              <w:rPr>
                <w:rFonts w:ascii="Arial" w:hAnsi="Arial" w:cs="Arial"/>
                <w:color w:val="000000"/>
                <w:sz w:val="20"/>
                <w:szCs w:val="20"/>
              </w:rPr>
              <w:t>whistle-blowing</w:t>
            </w:r>
            <w:proofErr w:type="gramEnd"/>
            <w:r w:rsidR="007B7208" w:rsidRPr="004A27A1">
              <w:rPr>
                <w:rFonts w:ascii="Arial" w:hAnsi="Arial" w:cs="Arial"/>
                <w:color w:val="000000"/>
                <w:sz w:val="20"/>
                <w:szCs w:val="20"/>
              </w:rPr>
              <w:t xml:space="preserve"> and compliance with the </w:t>
            </w:r>
            <w:r w:rsidR="00FF26C8" w:rsidRPr="004A27A1">
              <w:rPr>
                <w:rFonts w:ascii="Arial" w:hAnsi="Arial" w:cs="Arial"/>
                <w:color w:val="000000"/>
                <w:sz w:val="20"/>
                <w:szCs w:val="20"/>
              </w:rPr>
              <w:t>f</w:t>
            </w:r>
            <w:r w:rsidR="007B7208" w:rsidRPr="004A27A1">
              <w:rPr>
                <w:rFonts w:ascii="Arial" w:hAnsi="Arial" w:cs="Arial"/>
                <w:color w:val="000000"/>
                <w:sz w:val="20"/>
                <w:szCs w:val="20"/>
              </w:rPr>
              <w:t>unctional standard</w:t>
            </w:r>
            <w:r w:rsidR="00FF26C8" w:rsidRPr="004A27A1">
              <w:rPr>
                <w:rFonts w:ascii="Arial" w:hAnsi="Arial" w:cs="Arial"/>
                <w:color w:val="000000"/>
                <w:sz w:val="20"/>
                <w:szCs w:val="20"/>
              </w:rPr>
              <w:t>s</w:t>
            </w:r>
            <w:r w:rsidR="007B7208" w:rsidRPr="004A27A1">
              <w:rPr>
                <w:rFonts w:ascii="Arial" w:hAnsi="Arial" w:cs="Arial"/>
                <w:color w:val="000000"/>
                <w:sz w:val="20"/>
                <w:szCs w:val="20"/>
              </w:rPr>
              <w:t>.</w:t>
            </w:r>
          </w:p>
        </w:tc>
      </w:tr>
    </w:tbl>
    <w:p w14:paraId="4379DD0C" w14:textId="4F8AD678" w:rsidR="00B332FC" w:rsidRPr="004A27A1" w:rsidRDefault="00B332FC" w:rsidP="00B332FC">
      <w:pPr>
        <w:pStyle w:val="Heading2"/>
      </w:pPr>
      <w:r w:rsidRPr="004A27A1">
        <w:t>Key messages from this year’s work</w:t>
      </w:r>
    </w:p>
    <w:p w14:paraId="204E1161" w14:textId="2B2DB0D2" w:rsidR="00B332FC" w:rsidRPr="004A27A1" w:rsidRDefault="00B332FC" w:rsidP="00F232B7">
      <w:pPr>
        <w:pStyle w:val="NICEnormalnumbered"/>
        <w:rPr>
          <w:noProof w:val="0"/>
        </w:rPr>
      </w:pPr>
      <w:r w:rsidRPr="004A27A1">
        <w:rPr>
          <w:rFonts w:cs="Arial"/>
          <w:noProof w:val="0"/>
          <w:color w:val="000000"/>
        </w:rPr>
        <w:t xml:space="preserve">From our work we wish to highlight </w:t>
      </w:r>
      <w:r w:rsidR="002B4951" w:rsidRPr="004A27A1">
        <w:rPr>
          <w:rFonts w:cs="Arial"/>
          <w:noProof w:val="0"/>
          <w:color w:val="000000"/>
        </w:rPr>
        <w:t xml:space="preserve">the following </w:t>
      </w:r>
      <w:r w:rsidRPr="004A27A1">
        <w:rPr>
          <w:rFonts w:cs="Arial"/>
          <w:noProof w:val="0"/>
          <w:color w:val="000000"/>
        </w:rPr>
        <w:t>to the board</w:t>
      </w:r>
      <w:r w:rsidR="00357846" w:rsidRPr="004A27A1">
        <w:rPr>
          <w:rFonts w:cs="Arial"/>
          <w:noProof w:val="0"/>
          <w:color w:val="000000"/>
        </w:rPr>
        <w:t>:</w:t>
      </w:r>
    </w:p>
    <w:p w14:paraId="10994F1D" w14:textId="3438C202" w:rsidR="00AF0837" w:rsidRPr="004A27A1" w:rsidRDefault="006F0F57" w:rsidP="006F0F57">
      <w:pPr>
        <w:pStyle w:val="NICEnormalnumbered"/>
        <w:numPr>
          <w:ilvl w:val="0"/>
          <w:numId w:val="28"/>
        </w:numPr>
        <w:rPr>
          <w:noProof w:val="0"/>
        </w:rPr>
      </w:pPr>
      <w:r w:rsidRPr="004A27A1">
        <w:rPr>
          <w:rFonts w:cs="Arial"/>
          <w:noProof w:val="0"/>
        </w:rPr>
        <w:t>W</w:t>
      </w:r>
      <w:r w:rsidR="00E01481" w:rsidRPr="004A27A1">
        <w:rPr>
          <w:rFonts w:cs="Arial"/>
          <w:noProof w:val="0"/>
        </w:rPr>
        <w:t xml:space="preserve">e continue to </w:t>
      </w:r>
      <w:r w:rsidR="0058416F" w:rsidRPr="004A27A1">
        <w:rPr>
          <w:rFonts w:cs="Arial"/>
          <w:noProof w:val="0"/>
        </w:rPr>
        <w:t xml:space="preserve">work with the executives to </w:t>
      </w:r>
      <w:r w:rsidR="0082543D" w:rsidRPr="004A27A1">
        <w:rPr>
          <w:rFonts w:cs="Arial"/>
          <w:noProof w:val="0"/>
        </w:rPr>
        <w:t xml:space="preserve">mature </w:t>
      </w:r>
      <w:r w:rsidR="00493831" w:rsidRPr="004A27A1">
        <w:rPr>
          <w:rFonts w:cs="Arial"/>
          <w:noProof w:val="0"/>
        </w:rPr>
        <w:t>the</w:t>
      </w:r>
      <w:r w:rsidR="0082543D" w:rsidRPr="004A27A1">
        <w:rPr>
          <w:rFonts w:cs="Arial"/>
          <w:noProof w:val="0"/>
        </w:rPr>
        <w:t xml:space="preserve"> </w:t>
      </w:r>
      <w:r w:rsidR="00E01481" w:rsidRPr="004A27A1">
        <w:rPr>
          <w:rFonts w:cs="Arial"/>
          <w:noProof w:val="0"/>
          <w:u w:val="single"/>
        </w:rPr>
        <w:t>risk management</w:t>
      </w:r>
      <w:r w:rsidR="00F60135" w:rsidRPr="004A27A1">
        <w:rPr>
          <w:rFonts w:cs="Arial"/>
          <w:noProof w:val="0"/>
          <w:u w:val="single"/>
        </w:rPr>
        <w:t xml:space="preserve"> arrangements</w:t>
      </w:r>
      <w:r w:rsidR="00E01481" w:rsidRPr="004A27A1">
        <w:rPr>
          <w:rFonts w:cs="Arial"/>
          <w:noProof w:val="0"/>
        </w:rPr>
        <w:t xml:space="preserve">. </w:t>
      </w:r>
      <w:r w:rsidRPr="004A27A1">
        <w:rPr>
          <w:rFonts w:cs="Arial"/>
          <w:noProof w:val="0"/>
        </w:rPr>
        <w:t xml:space="preserve">As noted earlier in the report </w:t>
      </w:r>
      <w:r w:rsidR="00AF0837" w:rsidRPr="004A27A1">
        <w:rPr>
          <w:rFonts w:cs="Arial"/>
          <w:noProof w:val="0"/>
        </w:rPr>
        <w:t xml:space="preserve">we </w:t>
      </w:r>
      <w:r w:rsidR="00FD2F4C" w:rsidRPr="004A27A1">
        <w:rPr>
          <w:rFonts w:cs="Arial"/>
          <w:noProof w:val="0"/>
        </w:rPr>
        <w:t xml:space="preserve">reviewed </w:t>
      </w:r>
      <w:r w:rsidR="00CD3545" w:rsidRPr="004A27A1">
        <w:rPr>
          <w:rFonts w:cs="Arial"/>
          <w:noProof w:val="0"/>
        </w:rPr>
        <w:t>the risk app</w:t>
      </w:r>
      <w:r w:rsidR="00EE0E0A" w:rsidRPr="004A27A1">
        <w:rPr>
          <w:rFonts w:cs="Arial"/>
          <w:noProof w:val="0"/>
        </w:rPr>
        <w:t>etite</w:t>
      </w:r>
      <w:r w:rsidR="00DD4107" w:rsidRPr="004A27A1">
        <w:rPr>
          <w:rFonts w:cs="Arial"/>
          <w:noProof w:val="0"/>
        </w:rPr>
        <w:t xml:space="preserve"> statement and made a recommendation to the board</w:t>
      </w:r>
      <w:r w:rsidR="00EE0E0A" w:rsidRPr="004A27A1">
        <w:rPr>
          <w:rFonts w:cs="Arial"/>
          <w:noProof w:val="0"/>
        </w:rPr>
        <w:t xml:space="preserve">.  </w:t>
      </w:r>
      <w:r w:rsidR="00197EB7" w:rsidRPr="004A27A1">
        <w:rPr>
          <w:rFonts w:cs="Arial"/>
          <w:noProof w:val="0"/>
        </w:rPr>
        <w:t>We continued the</w:t>
      </w:r>
      <w:r w:rsidR="00AF0837" w:rsidRPr="004A27A1">
        <w:rPr>
          <w:rFonts w:cs="Arial"/>
          <w:noProof w:val="0"/>
        </w:rPr>
        <w:t xml:space="preserve"> approach </w:t>
      </w:r>
      <w:r w:rsidR="00197EB7" w:rsidRPr="004A27A1">
        <w:rPr>
          <w:rFonts w:cs="Arial"/>
          <w:noProof w:val="0"/>
        </w:rPr>
        <w:t>of</w:t>
      </w:r>
      <w:r w:rsidR="001037D7" w:rsidRPr="004A27A1">
        <w:rPr>
          <w:rFonts w:cs="Arial"/>
          <w:noProof w:val="0"/>
        </w:rPr>
        <w:t xml:space="preserve"> deep dive </w:t>
      </w:r>
      <w:r w:rsidR="00AF0837" w:rsidRPr="004A27A1">
        <w:rPr>
          <w:rFonts w:cs="Arial"/>
          <w:noProof w:val="0"/>
        </w:rPr>
        <w:t xml:space="preserve">risk </w:t>
      </w:r>
      <w:r w:rsidR="001037D7" w:rsidRPr="004A27A1">
        <w:rPr>
          <w:rFonts w:cs="Arial"/>
          <w:noProof w:val="0"/>
        </w:rPr>
        <w:t>discussions</w:t>
      </w:r>
      <w:r w:rsidR="005659D9" w:rsidRPr="004A27A1">
        <w:rPr>
          <w:rFonts w:cs="Arial"/>
          <w:noProof w:val="0"/>
        </w:rPr>
        <w:t xml:space="preserve">, focussing </w:t>
      </w:r>
      <w:r w:rsidR="00C16EDB" w:rsidRPr="004A27A1">
        <w:rPr>
          <w:rFonts w:cs="Arial"/>
          <w:noProof w:val="0"/>
        </w:rPr>
        <w:t xml:space="preserve">on </w:t>
      </w:r>
      <w:r w:rsidR="00EE0E0A" w:rsidRPr="004A27A1">
        <w:rPr>
          <w:rFonts w:cs="Arial"/>
          <w:noProof w:val="0"/>
        </w:rPr>
        <w:t>cyber security</w:t>
      </w:r>
      <w:r w:rsidR="005659D9" w:rsidRPr="004A27A1">
        <w:rPr>
          <w:rFonts w:cs="Arial"/>
          <w:noProof w:val="0"/>
        </w:rPr>
        <w:t xml:space="preserve">, innovation and the potential impact </w:t>
      </w:r>
      <w:r w:rsidR="004261AA" w:rsidRPr="004A27A1">
        <w:rPr>
          <w:rFonts w:cs="Arial"/>
          <w:noProof w:val="0"/>
        </w:rPr>
        <w:t>for NICE from</w:t>
      </w:r>
      <w:r w:rsidR="005659D9" w:rsidRPr="004A27A1">
        <w:rPr>
          <w:rFonts w:cs="Arial"/>
          <w:noProof w:val="0"/>
        </w:rPr>
        <w:t xml:space="preserve"> changes to medicines pricing.</w:t>
      </w:r>
    </w:p>
    <w:p w14:paraId="12D6F6EC" w14:textId="68F913B7" w:rsidR="004B5382" w:rsidRPr="004A27A1" w:rsidRDefault="004261AA" w:rsidP="0022712C">
      <w:pPr>
        <w:pStyle w:val="NICEnormalnumbered"/>
        <w:numPr>
          <w:ilvl w:val="0"/>
          <w:numId w:val="28"/>
        </w:numPr>
        <w:rPr>
          <w:noProof w:val="0"/>
        </w:rPr>
      </w:pPr>
      <w:r w:rsidRPr="004A27A1">
        <w:rPr>
          <w:noProof w:val="0"/>
        </w:rPr>
        <w:t>There was a</w:t>
      </w:r>
      <w:r w:rsidR="00754922" w:rsidRPr="004A27A1">
        <w:rPr>
          <w:noProof w:val="0"/>
        </w:rPr>
        <w:t xml:space="preserve"> </w:t>
      </w:r>
      <w:r w:rsidRPr="004A27A1">
        <w:rPr>
          <w:noProof w:val="0"/>
        </w:rPr>
        <w:t xml:space="preserve">continued </w:t>
      </w:r>
      <w:r w:rsidR="00754922" w:rsidRPr="004A27A1">
        <w:rPr>
          <w:noProof w:val="0"/>
        </w:rPr>
        <w:t xml:space="preserve">focus </w:t>
      </w:r>
      <w:r w:rsidRPr="004A27A1">
        <w:rPr>
          <w:noProof w:val="0"/>
        </w:rPr>
        <w:t>in</w:t>
      </w:r>
      <w:r w:rsidR="00754922" w:rsidRPr="004A27A1">
        <w:rPr>
          <w:noProof w:val="0"/>
        </w:rPr>
        <w:t xml:space="preserve"> 2</w:t>
      </w:r>
      <w:r w:rsidR="00005F1E" w:rsidRPr="004A27A1">
        <w:rPr>
          <w:noProof w:val="0"/>
        </w:rPr>
        <w:t>02</w:t>
      </w:r>
      <w:r w:rsidRPr="004A27A1">
        <w:rPr>
          <w:noProof w:val="0"/>
        </w:rPr>
        <w:t>5/26</w:t>
      </w:r>
      <w:r w:rsidR="00754922" w:rsidRPr="004A27A1">
        <w:rPr>
          <w:noProof w:val="0"/>
        </w:rPr>
        <w:t xml:space="preserve"> </w:t>
      </w:r>
      <w:r w:rsidRPr="004A27A1">
        <w:rPr>
          <w:noProof w:val="0"/>
        </w:rPr>
        <w:t>on</w:t>
      </w:r>
      <w:r w:rsidR="00754922" w:rsidRPr="004A27A1">
        <w:rPr>
          <w:noProof w:val="0"/>
        </w:rPr>
        <w:t xml:space="preserve"> </w:t>
      </w:r>
      <w:r w:rsidR="003F1875" w:rsidRPr="004A27A1">
        <w:rPr>
          <w:noProof w:val="0"/>
          <w:u w:val="single"/>
        </w:rPr>
        <w:t xml:space="preserve">cyber security </w:t>
      </w:r>
      <w:r w:rsidR="00C16EDB" w:rsidRPr="004A27A1">
        <w:rPr>
          <w:noProof w:val="0"/>
          <w:u w:val="single"/>
        </w:rPr>
        <w:t>and resilience</w:t>
      </w:r>
      <w:r w:rsidRPr="004A27A1">
        <w:rPr>
          <w:noProof w:val="0"/>
          <w:u w:val="single"/>
        </w:rPr>
        <w:t xml:space="preserve">, </w:t>
      </w:r>
      <w:r w:rsidRPr="004A27A1">
        <w:rPr>
          <w:noProof w:val="0"/>
        </w:rPr>
        <w:t>as had been the case in the previous year</w:t>
      </w:r>
      <w:r w:rsidR="00082A79" w:rsidRPr="004A27A1">
        <w:rPr>
          <w:noProof w:val="0"/>
        </w:rPr>
        <w:t>.  T</w:t>
      </w:r>
      <w:r w:rsidR="003F1875" w:rsidRPr="004A27A1">
        <w:rPr>
          <w:noProof w:val="0"/>
        </w:rPr>
        <w:t xml:space="preserve">he </w:t>
      </w:r>
      <w:r w:rsidR="007F3227" w:rsidRPr="004A27A1">
        <w:rPr>
          <w:noProof w:val="0"/>
        </w:rPr>
        <w:t xml:space="preserve">CIO </w:t>
      </w:r>
      <w:r w:rsidR="00337209" w:rsidRPr="004A27A1">
        <w:rPr>
          <w:noProof w:val="0"/>
        </w:rPr>
        <w:t>has</w:t>
      </w:r>
      <w:r w:rsidR="005F3A26" w:rsidRPr="004A27A1">
        <w:rPr>
          <w:noProof w:val="0"/>
        </w:rPr>
        <w:t xml:space="preserve"> </w:t>
      </w:r>
      <w:r w:rsidR="00681B37" w:rsidRPr="004A27A1">
        <w:rPr>
          <w:noProof w:val="0"/>
        </w:rPr>
        <w:t xml:space="preserve">provided </w:t>
      </w:r>
      <w:r w:rsidR="00CD5DBC" w:rsidRPr="004A27A1">
        <w:rPr>
          <w:noProof w:val="0"/>
        </w:rPr>
        <w:lastRenderedPageBreak/>
        <w:t xml:space="preserve">quarterly </w:t>
      </w:r>
      <w:r w:rsidR="00A94DDA" w:rsidRPr="004A27A1">
        <w:rPr>
          <w:noProof w:val="0"/>
        </w:rPr>
        <w:t xml:space="preserve">updates on </w:t>
      </w:r>
      <w:r w:rsidR="00733D3D" w:rsidRPr="004A27A1">
        <w:rPr>
          <w:noProof w:val="0"/>
        </w:rPr>
        <w:t>NICE’s current cyber security arrangements</w:t>
      </w:r>
      <w:r w:rsidR="00152A2B" w:rsidRPr="004A27A1">
        <w:rPr>
          <w:noProof w:val="0"/>
        </w:rPr>
        <w:t xml:space="preserve">, detailing the </w:t>
      </w:r>
      <w:r w:rsidR="00FD1B36" w:rsidRPr="004A27A1">
        <w:rPr>
          <w:noProof w:val="0"/>
        </w:rPr>
        <w:t xml:space="preserve">control actions to strengthen resilience from the increasingly sophisticated </w:t>
      </w:r>
      <w:r w:rsidR="002F2461" w:rsidRPr="004A27A1">
        <w:rPr>
          <w:noProof w:val="0"/>
        </w:rPr>
        <w:t>external threats.</w:t>
      </w:r>
    </w:p>
    <w:p w14:paraId="07C5BEAB" w14:textId="6AF0944C" w:rsidR="00E01481" w:rsidRPr="004A27A1" w:rsidRDefault="00D6305E" w:rsidP="76CBD8D0">
      <w:pPr>
        <w:pStyle w:val="NICEnormalnumbered"/>
        <w:numPr>
          <w:ilvl w:val="0"/>
          <w:numId w:val="28"/>
        </w:numPr>
        <w:rPr>
          <w:rFonts w:cs="Arial"/>
          <w:noProof w:val="0"/>
        </w:rPr>
      </w:pPr>
      <w:r w:rsidRPr="004A27A1">
        <w:rPr>
          <w:rFonts w:cs="Arial"/>
          <w:noProof w:val="0"/>
        </w:rPr>
        <w:t xml:space="preserve">There have been </w:t>
      </w:r>
      <w:r w:rsidR="7C22DC32" w:rsidRPr="004A27A1">
        <w:rPr>
          <w:rFonts w:cs="Arial"/>
          <w:noProof w:val="0"/>
          <w:u w:val="single"/>
        </w:rPr>
        <w:t>five</w:t>
      </w:r>
      <w:r w:rsidR="009F648C" w:rsidRPr="004A27A1">
        <w:rPr>
          <w:rFonts w:cs="Arial"/>
          <w:noProof w:val="0"/>
          <w:u w:val="single"/>
        </w:rPr>
        <w:t xml:space="preserve"> </w:t>
      </w:r>
      <w:r w:rsidRPr="004A27A1">
        <w:rPr>
          <w:rFonts w:cs="Arial"/>
          <w:noProof w:val="0"/>
          <w:u w:val="single"/>
        </w:rPr>
        <w:t>internal audit reports</w:t>
      </w:r>
      <w:r w:rsidRPr="004A27A1">
        <w:rPr>
          <w:rFonts w:cs="Arial"/>
          <w:noProof w:val="0"/>
        </w:rPr>
        <w:t xml:space="preserve"> published (listed in table 1 above).</w:t>
      </w:r>
      <w:r w:rsidR="003E7C7B" w:rsidRPr="004A27A1">
        <w:rPr>
          <w:rFonts w:cs="Arial"/>
          <w:noProof w:val="0"/>
        </w:rPr>
        <w:t xml:space="preserve"> </w:t>
      </w:r>
      <w:r w:rsidR="00754922" w:rsidRPr="004A27A1">
        <w:rPr>
          <w:rFonts w:cs="Arial"/>
          <w:noProof w:val="0"/>
        </w:rPr>
        <w:t>T</w:t>
      </w:r>
      <w:r w:rsidR="00AD7BF9" w:rsidRPr="004A27A1">
        <w:rPr>
          <w:rFonts w:cs="Arial"/>
          <w:noProof w:val="0"/>
        </w:rPr>
        <w:t>he</w:t>
      </w:r>
      <w:r w:rsidR="003E7C7B" w:rsidRPr="004A27A1">
        <w:rPr>
          <w:rFonts w:cs="Arial"/>
          <w:noProof w:val="0"/>
        </w:rPr>
        <w:t xml:space="preserve"> executive sponsor</w:t>
      </w:r>
      <w:r w:rsidR="00AD7BF9" w:rsidRPr="004A27A1">
        <w:rPr>
          <w:rFonts w:cs="Arial"/>
          <w:noProof w:val="0"/>
        </w:rPr>
        <w:t>s</w:t>
      </w:r>
      <w:r w:rsidR="00754922" w:rsidRPr="004A27A1">
        <w:rPr>
          <w:rFonts w:cs="Arial"/>
          <w:noProof w:val="0"/>
        </w:rPr>
        <w:t xml:space="preserve"> for each area</w:t>
      </w:r>
      <w:r w:rsidR="564A7352" w:rsidRPr="004A27A1">
        <w:rPr>
          <w:rFonts w:cs="Arial"/>
          <w:noProof w:val="0"/>
        </w:rPr>
        <w:t>, or their nominated lead,</w:t>
      </w:r>
      <w:r w:rsidR="00754922" w:rsidRPr="004A27A1">
        <w:rPr>
          <w:rFonts w:cs="Arial"/>
          <w:noProof w:val="0"/>
        </w:rPr>
        <w:t xml:space="preserve"> </w:t>
      </w:r>
      <w:r w:rsidR="003E7C7B" w:rsidRPr="004A27A1">
        <w:rPr>
          <w:rFonts w:cs="Arial"/>
          <w:noProof w:val="0"/>
        </w:rPr>
        <w:t>attend</w:t>
      </w:r>
      <w:r w:rsidR="00754922" w:rsidRPr="004A27A1">
        <w:rPr>
          <w:rFonts w:cs="Arial"/>
          <w:noProof w:val="0"/>
        </w:rPr>
        <w:t>ed</w:t>
      </w:r>
      <w:r w:rsidR="003E7C7B" w:rsidRPr="004A27A1">
        <w:rPr>
          <w:rFonts w:cs="Arial"/>
          <w:noProof w:val="0"/>
        </w:rPr>
        <w:t xml:space="preserve"> </w:t>
      </w:r>
      <w:r w:rsidR="005F7EBC" w:rsidRPr="004A27A1">
        <w:rPr>
          <w:rFonts w:cs="Arial"/>
          <w:noProof w:val="0"/>
        </w:rPr>
        <w:t xml:space="preserve">the committee meeting </w:t>
      </w:r>
      <w:r w:rsidR="003E7C7B" w:rsidRPr="004A27A1">
        <w:rPr>
          <w:rFonts w:cs="Arial"/>
          <w:noProof w:val="0"/>
        </w:rPr>
        <w:t>for the presentation of</w:t>
      </w:r>
      <w:r w:rsidR="00754922" w:rsidRPr="004A27A1">
        <w:rPr>
          <w:rFonts w:cs="Arial"/>
          <w:noProof w:val="0"/>
        </w:rPr>
        <w:t xml:space="preserve"> the</w:t>
      </w:r>
      <w:r w:rsidR="003E7C7B" w:rsidRPr="004A27A1">
        <w:rPr>
          <w:rFonts w:cs="Arial"/>
          <w:noProof w:val="0"/>
        </w:rPr>
        <w:t xml:space="preserve"> audit reports to answer any queries</w:t>
      </w:r>
      <w:r w:rsidR="005F7EBC" w:rsidRPr="004A27A1">
        <w:rPr>
          <w:rFonts w:cs="Arial"/>
          <w:noProof w:val="0"/>
        </w:rPr>
        <w:t xml:space="preserve"> </w:t>
      </w:r>
      <w:r w:rsidR="00367E4B" w:rsidRPr="004A27A1">
        <w:rPr>
          <w:rFonts w:cs="Arial"/>
          <w:noProof w:val="0"/>
        </w:rPr>
        <w:t xml:space="preserve">on the report </w:t>
      </w:r>
      <w:r w:rsidR="00AD7BF9" w:rsidRPr="004A27A1">
        <w:rPr>
          <w:rFonts w:cs="Arial"/>
          <w:noProof w:val="0"/>
        </w:rPr>
        <w:t>or</w:t>
      </w:r>
      <w:r w:rsidR="005F7EBC" w:rsidRPr="004A27A1">
        <w:rPr>
          <w:rFonts w:cs="Arial"/>
          <w:noProof w:val="0"/>
        </w:rPr>
        <w:t xml:space="preserve"> </w:t>
      </w:r>
      <w:r w:rsidRPr="004A27A1">
        <w:rPr>
          <w:rFonts w:cs="Arial"/>
          <w:noProof w:val="0"/>
        </w:rPr>
        <w:t>the management action plan</w:t>
      </w:r>
      <w:r w:rsidR="002A75D7" w:rsidRPr="004A27A1">
        <w:rPr>
          <w:rFonts w:cs="Arial"/>
          <w:noProof w:val="0"/>
        </w:rPr>
        <w:t>.</w:t>
      </w:r>
      <w:r w:rsidRPr="004A27A1">
        <w:rPr>
          <w:rFonts w:cs="Arial"/>
          <w:noProof w:val="0"/>
        </w:rPr>
        <w:t xml:space="preserve"> </w:t>
      </w:r>
      <w:r w:rsidR="002A75D7" w:rsidRPr="004A27A1">
        <w:rPr>
          <w:rFonts w:cs="Arial"/>
          <w:noProof w:val="0"/>
        </w:rPr>
        <w:t xml:space="preserve">The committee has been satisfied with </w:t>
      </w:r>
      <w:r w:rsidR="00C0143A" w:rsidRPr="004A27A1">
        <w:rPr>
          <w:rFonts w:cs="Arial"/>
          <w:noProof w:val="0"/>
        </w:rPr>
        <w:t xml:space="preserve">the implementation of actions </w:t>
      </w:r>
      <w:r w:rsidR="0047188B" w:rsidRPr="004A27A1">
        <w:rPr>
          <w:rFonts w:cs="Arial"/>
          <w:noProof w:val="0"/>
        </w:rPr>
        <w:t>arising</w:t>
      </w:r>
      <w:r w:rsidR="00C0143A" w:rsidRPr="004A27A1">
        <w:rPr>
          <w:rFonts w:cs="Arial"/>
          <w:noProof w:val="0"/>
        </w:rPr>
        <w:t xml:space="preserve"> from t</w:t>
      </w:r>
      <w:r w:rsidRPr="004A27A1">
        <w:rPr>
          <w:rFonts w:cs="Arial"/>
          <w:noProof w:val="0"/>
        </w:rPr>
        <w:t>his year</w:t>
      </w:r>
      <w:r w:rsidR="0047188B" w:rsidRPr="004A27A1">
        <w:rPr>
          <w:rFonts w:cs="Arial"/>
          <w:noProof w:val="0"/>
        </w:rPr>
        <w:t xml:space="preserve">’s audits </w:t>
      </w:r>
      <w:r w:rsidRPr="004A27A1">
        <w:rPr>
          <w:rFonts w:cs="Arial"/>
          <w:noProof w:val="0"/>
        </w:rPr>
        <w:t xml:space="preserve">and </w:t>
      </w:r>
      <w:r w:rsidR="00320AA0" w:rsidRPr="004A27A1">
        <w:rPr>
          <w:rFonts w:cs="Arial"/>
          <w:noProof w:val="0"/>
        </w:rPr>
        <w:t>th</w:t>
      </w:r>
      <w:r w:rsidR="0047188B" w:rsidRPr="004A27A1">
        <w:rPr>
          <w:rFonts w:cs="Arial"/>
          <w:noProof w:val="0"/>
        </w:rPr>
        <w:t xml:space="preserve">ose from </w:t>
      </w:r>
      <w:r w:rsidR="003B54C2" w:rsidRPr="004A27A1">
        <w:rPr>
          <w:rFonts w:cs="Arial"/>
          <w:noProof w:val="0"/>
        </w:rPr>
        <w:t xml:space="preserve">the </w:t>
      </w:r>
      <w:r w:rsidRPr="004A27A1">
        <w:rPr>
          <w:rFonts w:cs="Arial"/>
          <w:noProof w:val="0"/>
        </w:rPr>
        <w:t>previous year’s audit plan</w:t>
      </w:r>
      <w:r w:rsidR="00320AA0" w:rsidRPr="004A27A1">
        <w:rPr>
          <w:rFonts w:cs="Arial"/>
          <w:noProof w:val="0"/>
        </w:rPr>
        <w:t>.</w:t>
      </w:r>
      <w:r w:rsidR="21A07206" w:rsidRPr="004A27A1">
        <w:rPr>
          <w:rFonts w:cs="Arial"/>
          <w:noProof w:val="0"/>
        </w:rPr>
        <w:t xml:space="preserve">  The final audit of </w:t>
      </w:r>
      <w:r w:rsidR="0020579D" w:rsidRPr="004A27A1">
        <w:rPr>
          <w:rFonts w:cs="Arial"/>
          <w:noProof w:val="0"/>
        </w:rPr>
        <w:t>cyber security</w:t>
      </w:r>
      <w:r w:rsidR="21A07206" w:rsidRPr="004A27A1">
        <w:rPr>
          <w:rFonts w:cs="Arial"/>
          <w:noProof w:val="0"/>
        </w:rPr>
        <w:t xml:space="preserve"> is still in progress and will be circulated later in May.</w:t>
      </w:r>
    </w:p>
    <w:p w14:paraId="408E309D" w14:textId="26CE24E8" w:rsidR="00D36C2A" w:rsidRPr="004A27A1" w:rsidRDefault="00DA597B" w:rsidP="00E01481">
      <w:pPr>
        <w:pStyle w:val="NICEnormalnumbered"/>
        <w:numPr>
          <w:ilvl w:val="0"/>
          <w:numId w:val="28"/>
        </w:numPr>
        <w:rPr>
          <w:noProof w:val="0"/>
        </w:rPr>
      </w:pPr>
      <w:r w:rsidRPr="004A27A1">
        <w:rPr>
          <w:rFonts w:cs="Arial"/>
          <w:noProof w:val="0"/>
        </w:rPr>
        <w:t>We</w:t>
      </w:r>
      <w:r w:rsidR="00A46DC7" w:rsidRPr="004A27A1">
        <w:rPr>
          <w:rFonts w:cs="Arial"/>
          <w:noProof w:val="0"/>
        </w:rPr>
        <w:t xml:space="preserve"> </w:t>
      </w:r>
      <w:r w:rsidR="00146206" w:rsidRPr="004A27A1">
        <w:rPr>
          <w:rFonts w:cs="Arial"/>
          <w:noProof w:val="0"/>
        </w:rPr>
        <w:t xml:space="preserve">recommended revised versions of </w:t>
      </w:r>
      <w:r w:rsidR="00A46DC7" w:rsidRPr="004A27A1">
        <w:rPr>
          <w:rFonts w:cs="Arial"/>
          <w:noProof w:val="0"/>
          <w:u w:val="single"/>
        </w:rPr>
        <w:t xml:space="preserve">the </w:t>
      </w:r>
      <w:r w:rsidR="00A1031E" w:rsidRPr="004A27A1">
        <w:rPr>
          <w:rFonts w:cs="Arial"/>
          <w:noProof w:val="0"/>
          <w:u w:val="single"/>
        </w:rPr>
        <w:t xml:space="preserve">Standing Orders and </w:t>
      </w:r>
      <w:r w:rsidR="00A46DC7" w:rsidRPr="004A27A1">
        <w:rPr>
          <w:rFonts w:cs="Arial"/>
          <w:noProof w:val="0"/>
          <w:u w:val="single"/>
        </w:rPr>
        <w:t xml:space="preserve">Standing Financial </w:t>
      </w:r>
      <w:r w:rsidR="00524F06" w:rsidRPr="004A27A1">
        <w:rPr>
          <w:rFonts w:cs="Arial"/>
          <w:noProof w:val="0"/>
          <w:u w:val="single"/>
        </w:rPr>
        <w:t>Instructions</w:t>
      </w:r>
      <w:r w:rsidR="00A46DC7" w:rsidRPr="004A27A1">
        <w:rPr>
          <w:rFonts w:cs="Arial"/>
          <w:noProof w:val="0"/>
        </w:rPr>
        <w:t xml:space="preserve"> to the board.</w:t>
      </w:r>
      <w:r w:rsidR="007477F8" w:rsidRPr="004A27A1">
        <w:rPr>
          <w:rFonts w:cs="Arial"/>
          <w:noProof w:val="0"/>
        </w:rPr>
        <w:t xml:space="preserve">  </w:t>
      </w:r>
      <w:r w:rsidR="00A358FB" w:rsidRPr="004A27A1">
        <w:rPr>
          <w:rFonts w:cs="Arial"/>
          <w:noProof w:val="0"/>
        </w:rPr>
        <w:t>The</w:t>
      </w:r>
      <w:r w:rsidR="008F6CD4" w:rsidRPr="004A27A1">
        <w:rPr>
          <w:rFonts w:cs="Arial"/>
          <w:noProof w:val="0"/>
        </w:rPr>
        <w:t xml:space="preserve"> documents </w:t>
      </w:r>
      <w:r w:rsidR="00742649" w:rsidRPr="004A27A1">
        <w:rPr>
          <w:rFonts w:cs="Arial"/>
          <w:noProof w:val="0"/>
        </w:rPr>
        <w:t xml:space="preserve">were reviewed </w:t>
      </w:r>
      <w:r w:rsidR="00742649" w:rsidRPr="004A27A1">
        <w:rPr>
          <w:noProof w:val="0"/>
        </w:rPr>
        <w:t xml:space="preserve">in </w:t>
      </w:r>
      <w:r w:rsidR="008E6F5B" w:rsidRPr="004A27A1">
        <w:rPr>
          <w:noProof w:val="0"/>
        </w:rPr>
        <w:t xml:space="preserve">January </w:t>
      </w:r>
      <w:r w:rsidR="00742649" w:rsidRPr="004A27A1">
        <w:rPr>
          <w:noProof w:val="0"/>
        </w:rPr>
        <w:t>202</w:t>
      </w:r>
      <w:r w:rsidR="008E6F5B" w:rsidRPr="004A27A1">
        <w:rPr>
          <w:noProof w:val="0"/>
        </w:rPr>
        <w:t>6</w:t>
      </w:r>
      <w:r w:rsidR="00742649" w:rsidRPr="004A27A1">
        <w:rPr>
          <w:noProof w:val="0"/>
        </w:rPr>
        <w:t xml:space="preserve"> </w:t>
      </w:r>
      <w:r w:rsidR="00A358FB" w:rsidRPr="004A27A1">
        <w:rPr>
          <w:noProof w:val="0"/>
        </w:rPr>
        <w:t>in line with the annual cycle and</w:t>
      </w:r>
      <w:r w:rsidR="00742649" w:rsidRPr="004A27A1">
        <w:rPr>
          <w:noProof w:val="0"/>
        </w:rPr>
        <w:t xml:space="preserve"> approved by the board in March 202</w:t>
      </w:r>
      <w:r w:rsidR="005D492E" w:rsidRPr="004A27A1">
        <w:rPr>
          <w:noProof w:val="0"/>
        </w:rPr>
        <w:t>6</w:t>
      </w:r>
      <w:r w:rsidR="00742649" w:rsidRPr="004A27A1">
        <w:rPr>
          <w:noProof w:val="0"/>
        </w:rPr>
        <w:t>.</w:t>
      </w:r>
      <w:r w:rsidR="005D492E" w:rsidRPr="004A27A1">
        <w:rPr>
          <w:noProof w:val="0"/>
        </w:rPr>
        <w:t xml:space="preserve">  </w:t>
      </w:r>
      <w:r w:rsidR="007E3DB1" w:rsidRPr="004A27A1">
        <w:rPr>
          <w:noProof w:val="0"/>
        </w:rPr>
        <w:t xml:space="preserve">Only minor </w:t>
      </w:r>
      <w:r w:rsidR="005D492E" w:rsidRPr="004A27A1">
        <w:rPr>
          <w:noProof w:val="0"/>
        </w:rPr>
        <w:t>update</w:t>
      </w:r>
      <w:r w:rsidR="007E3DB1" w:rsidRPr="004A27A1">
        <w:rPr>
          <w:noProof w:val="0"/>
        </w:rPr>
        <w:t>s were made</w:t>
      </w:r>
      <w:r w:rsidR="005D492E" w:rsidRPr="004A27A1">
        <w:rPr>
          <w:noProof w:val="0"/>
        </w:rPr>
        <w:t xml:space="preserve"> to reflect general changes in internal processes</w:t>
      </w:r>
      <w:r w:rsidR="007E3DB1" w:rsidRPr="004A27A1">
        <w:rPr>
          <w:noProof w:val="0"/>
        </w:rPr>
        <w:t>.</w:t>
      </w:r>
    </w:p>
    <w:p w14:paraId="41E54803" w14:textId="3144EFA7" w:rsidR="00DA597B" w:rsidRPr="004A27A1" w:rsidRDefault="007477F8" w:rsidP="00E01481">
      <w:pPr>
        <w:pStyle w:val="NICEnormalnumbered"/>
        <w:numPr>
          <w:ilvl w:val="0"/>
          <w:numId w:val="28"/>
        </w:numPr>
        <w:rPr>
          <w:noProof w:val="0"/>
        </w:rPr>
      </w:pPr>
      <w:r w:rsidRPr="004A27A1">
        <w:rPr>
          <w:rFonts w:cs="Arial"/>
          <w:noProof w:val="0"/>
        </w:rPr>
        <w:t>We also approved a</w:t>
      </w:r>
      <w:r w:rsidR="004B5382" w:rsidRPr="004A27A1">
        <w:rPr>
          <w:rFonts w:cs="Arial"/>
          <w:noProof w:val="0"/>
        </w:rPr>
        <w:t>n</w:t>
      </w:r>
      <w:r w:rsidRPr="004A27A1">
        <w:rPr>
          <w:rFonts w:cs="Arial"/>
          <w:noProof w:val="0"/>
        </w:rPr>
        <w:t xml:space="preserve"> </w:t>
      </w:r>
      <w:r w:rsidR="004B5382" w:rsidRPr="004A27A1">
        <w:rPr>
          <w:rFonts w:cs="Arial"/>
          <w:noProof w:val="0"/>
        </w:rPr>
        <w:t xml:space="preserve">updated </w:t>
      </w:r>
      <w:r w:rsidRPr="00F451DD">
        <w:rPr>
          <w:rFonts w:cs="Arial"/>
          <w:noProof w:val="0"/>
          <w:u w:val="single"/>
        </w:rPr>
        <w:t>counter fraud strategy and policy and re</w:t>
      </w:r>
      <w:r w:rsidR="00AA197C" w:rsidRPr="00F451DD">
        <w:rPr>
          <w:rFonts w:cs="Arial"/>
          <w:noProof w:val="0"/>
          <w:u w:val="single"/>
        </w:rPr>
        <w:t>sponse plan</w:t>
      </w:r>
      <w:r w:rsidR="00EF5F8A" w:rsidRPr="004A27A1">
        <w:rPr>
          <w:rFonts w:cs="Arial"/>
          <w:noProof w:val="0"/>
        </w:rPr>
        <w:t>, and a new fraud prevention plan in response to the Economic Crime and Corporate Transparency Act.</w:t>
      </w:r>
    </w:p>
    <w:p w14:paraId="252C6AF7" w14:textId="386810AF" w:rsidR="00320AA0" w:rsidRPr="004A27A1" w:rsidRDefault="00320AA0" w:rsidP="005865B3">
      <w:pPr>
        <w:pStyle w:val="ListParagraph"/>
        <w:numPr>
          <w:ilvl w:val="0"/>
          <w:numId w:val="28"/>
        </w:numPr>
        <w:spacing w:after="120" w:line="360" w:lineRule="auto"/>
        <w:ind w:left="1077" w:hanging="357"/>
        <w:contextualSpacing w:val="0"/>
        <w:rPr>
          <w:rFonts w:ascii="Arial" w:hAnsi="Arial" w:cs="Arial"/>
          <w:color w:val="000000"/>
        </w:rPr>
      </w:pPr>
      <w:r w:rsidRPr="004A27A1">
        <w:rPr>
          <w:rFonts w:ascii="Arial" w:hAnsi="Arial" w:cs="Arial"/>
        </w:rPr>
        <w:t xml:space="preserve">We were advised that there have been no </w:t>
      </w:r>
      <w:r w:rsidRPr="004A27A1">
        <w:rPr>
          <w:rFonts w:ascii="Arial" w:hAnsi="Arial" w:cs="Arial"/>
          <w:u w:val="single"/>
        </w:rPr>
        <w:t>whistleblowing cases</w:t>
      </w:r>
      <w:r w:rsidRPr="004A27A1">
        <w:rPr>
          <w:rFonts w:ascii="Arial" w:hAnsi="Arial" w:cs="Arial"/>
        </w:rPr>
        <w:t xml:space="preserve"> reported during the year</w:t>
      </w:r>
      <w:r w:rsidR="00775E52" w:rsidRPr="004A27A1">
        <w:rPr>
          <w:rFonts w:ascii="Arial" w:hAnsi="Arial" w:cs="Arial"/>
        </w:rPr>
        <w:t>.</w:t>
      </w:r>
    </w:p>
    <w:p w14:paraId="4A529A5C" w14:textId="77777777" w:rsidR="00525DE0" w:rsidRPr="004A27A1" w:rsidRDefault="00320AA0" w:rsidP="00882DA5">
      <w:pPr>
        <w:pStyle w:val="ListParagraph"/>
        <w:numPr>
          <w:ilvl w:val="0"/>
          <w:numId w:val="28"/>
        </w:numPr>
        <w:spacing w:after="120" w:line="360" w:lineRule="auto"/>
        <w:ind w:left="1077" w:hanging="357"/>
        <w:contextualSpacing w:val="0"/>
        <w:rPr>
          <w:rFonts w:ascii="Arial" w:hAnsi="Arial" w:cs="Arial"/>
        </w:rPr>
      </w:pPr>
      <w:r w:rsidRPr="004A27A1">
        <w:rPr>
          <w:rFonts w:ascii="Arial" w:hAnsi="Arial" w:cs="Arial"/>
        </w:rPr>
        <w:t xml:space="preserve">We reviewed the </w:t>
      </w:r>
      <w:r w:rsidRPr="004A27A1">
        <w:rPr>
          <w:rFonts w:ascii="Arial" w:hAnsi="Arial" w:cs="Arial"/>
          <w:u w:val="single"/>
        </w:rPr>
        <w:t>committee’s terms of reference</w:t>
      </w:r>
      <w:r w:rsidRPr="004A27A1">
        <w:rPr>
          <w:rFonts w:ascii="Arial" w:hAnsi="Arial" w:cs="Arial"/>
        </w:rPr>
        <w:t xml:space="preserve"> and recommended minor amendments</w:t>
      </w:r>
      <w:r w:rsidR="00AB3A4B" w:rsidRPr="004A27A1">
        <w:rPr>
          <w:rFonts w:ascii="Arial" w:hAnsi="Arial" w:cs="Arial"/>
        </w:rPr>
        <w:t xml:space="preserve">.  These are attached at </w:t>
      </w:r>
      <w:r w:rsidRPr="004A27A1">
        <w:rPr>
          <w:rFonts w:ascii="Arial" w:hAnsi="Arial" w:cs="Arial"/>
        </w:rPr>
        <w:t>appendix C.</w:t>
      </w:r>
      <w:r w:rsidR="00EA504E" w:rsidRPr="004A27A1">
        <w:rPr>
          <w:rFonts w:ascii="Arial" w:hAnsi="Arial" w:cs="Arial"/>
        </w:rPr>
        <w:t xml:space="preserve">  </w:t>
      </w:r>
    </w:p>
    <w:p w14:paraId="341D5F24" w14:textId="101BAA7C" w:rsidR="004B1BC0" w:rsidRPr="004A27A1" w:rsidRDefault="00A56BBA" w:rsidP="005865B3">
      <w:pPr>
        <w:pStyle w:val="ListParagraph"/>
        <w:numPr>
          <w:ilvl w:val="0"/>
          <w:numId w:val="28"/>
        </w:numPr>
        <w:spacing w:after="120" w:line="360" w:lineRule="auto"/>
        <w:ind w:left="1077" w:hanging="357"/>
        <w:contextualSpacing w:val="0"/>
        <w:rPr>
          <w:rFonts w:ascii="Arial" w:hAnsi="Arial" w:cs="Arial"/>
        </w:rPr>
      </w:pPr>
      <w:r w:rsidRPr="004A27A1">
        <w:rPr>
          <w:rFonts w:ascii="Arial" w:hAnsi="Arial" w:cs="Arial"/>
        </w:rPr>
        <w:t xml:space="preserve">The </w:t>
      </w:r>
      <w:r w:rsidR="00525DE0" w:rsidRPr="004A27A1">
        <w:rPr>
          <w:rFonts w:ascii="Arial" w:hAnsi="Arial" w:cs="Arial"/>
        </w:rPr>
        <w:t xml:space="preserve">committee </w:t>
      </w:r>
      <w:r w:rsidR="00402CEF" w:rsidRPr="004A27A1">
        <w:rPr>
          <w:rFonts w:ascii="Arial" w:hAnsi="Arial" w:cs="Arial"/>
        </w:rPr>
        <w:t xml:space="preserve">was </w:t>
      </w:r>
      <w:r w:rsidR="004B1BC0" w:rsidRPr="004A27A1">
        <w:rPr>
          <w:rFonts w:ascii="Arial" w:hAnsi="Arial" w:cs="Arial"/>
        </w:rPr>
        <w:t xml:space="preserve">pleased to receive </w:t>
      </w:r>
      <w:r w:rsidR="004B1BC0" w:rsidRPr="004A27A1">
        <w:rPr>
          <w:rFonts w:ascii="Arial" w:hAnsi="Arial" w:cs="Arial"/>
          <w:u w:val="single"/>
        </w:rPr>
        <w:t>a clean set of accounts for the financial year 202</w:t>
      </w:r>
      <w:r w:rsidR="00B615C1" w:rsidRPr="004A27A1">
        <w:rPr>
          <w:rFonts w:ascii="Arial" w:hAnsi="Arial" w:cs="Arial"/>
          <w:u w:val="single"/>
        </w:rPr>
        <w:t>4</w:t>
      </w:r>
      <w:r w:rsidR="004B1BC0" w:rsidRPr="004A27A1">
        <w:rPr>
          <w:rFonts w:ascii="Arial" w:hAnsi="Arial" w:cs="Arial"/>
          <w:u w:val="single"/>
        </w:rPr>
        <w:t>/2</w:t>
      </w:r>
      <w:r w:rsidR="00B615C1" w:rsidRPr="004A27A1">
        <w:rPr>
          <w:rFonts w:ascii="Arial" w:hAnsi="Arial" w:cs="Arial"/>
          <w:u w:val="single"/>
        </w:rPr>
        <w:t>5</w:t>
      </w:r>
      <w:r w:rsidR="004B1BC0" w:rsidRPr="004A27A1">
        <w:rPr>
          <w:rFonts w:ascii="Arial" w:hAnsi="Arial" w:cs="Arial"/>
          <w:u w:val="single"/>
        </w:rPr>
        <w:t xml:space="preserve"> and a positive audit opinion</w:t>
      </w:r>
      <w:r w:rsidR="00E60076" w:rsidRPr="004A27A1">
        <w:rPr>
          <w:rFonts w:ascii="Arial" w:hAnsi="Arial" w:cs="Arial"/>
          <w:u w:val="single"/>
        </w:rPr>
        <w:t xml:space="preserve"> in May 2025</w:t>
      </w:r>
      <w:r w:rsidR="00CF0A14" w:rsidRPr="004A27A1">
        <w:rPr>
          <w:rFonts w:ascii="Arial" w:hAnsi="Arial" w:cs="Arial"/>
        </w:rPr>
        <w:t>.</w:t>
      </w:r>
    </w:p>
    <w:p w14:paraId="1C30DA62" w14:textId="15FFAEAD" w:rsidR="00E01481" w:rsidRPr="004A27A1" w:rsidRDefault="00320AA0" w:rsidP="00320AA0">
      <w:pPr>
        <w:pStyle w:val="NICEnormalnumbered"/>
        <w:numPr>
          <w:ilvl w:val="0"/>
          <w:numId w:val="28"/>
        </w:numPr>
        <w:rPr>
          <w:noProof w:val="0"/>
        </w:rPr>
      </w:pPr>
      <w:r w:rsidRPr="004A27A1">
        <w:rPr>
          <w:rFonts w:cs="Arial"/>
          <w:noProof w:val="0"/>
        </w:rPr>
        <w:t>The committee was able to review an early draft of the</w:t>
      </w:r>
      <w:r w:rsidRPr="004A27A1">
        <w:rPr>
          <w:rFonts w:cs="Arial"/>
          <w:noProof w:val="0"/>
          <w:u w:val="single"/>
        </w:rPr>
        <w:t xml:space="preserve"> annual report and accounts for 202</w:t>
      </w:r>
      <w:r w:rsidR="00B615C1" w:rsidRPr="004A27A1">
        <w:rPr>
          <w:rFonts w:cs="Arial"/>
          <w:noProof w:val="0"/>
          <w:u w:val="single"/>
        </w:rPr>
        <w:t>5/26</w:t>
      </w:r>
      <w:r w:rsidRPr="004A27A1">
        <w:rPr>
          <w:rFonts w:cs="Arial"/>
          <w:noProof w:val="0"/>
          <w:u w:val="single"/>
        </w:rPr>
        <w:t xml:space="preserve"> </w:t>
      </w:r>
      <w:r w:rsidRPr="004A27A1">
        <w:rPr>
          <w:rFonts w:cs="Arial"/>
          <w:noProof w:val="0"/>
        </w:rPr>
        <w:t xml:space="preserve">in May </w:t>
      </w:r>
      <w:r w:rsidR="00BE12C3" w:rsidRPr="004A27A1">
        <w:rPr>
          <w:rFonts w:cs="Arial"/>
          <w:noProof w:val="0"/>
        </w:rPr>
        <w:t xml:space="preserve">2026 </w:t>
      </w:r>
      <w:r w:rsidRPr="004A27A1">
        <w:rPr>
          <w:rFonts w:cs="Arial"/>
          <w:noProof w:val="0"/>
        </w:rPr>
        <w:t>to provide an opportunity to comment on its content ahead of the approval in June 202</w:t>
      </w:r>
      <w:r w:rsidR="00B615C1" w:rsidRPr="004A27A1">
        <w:rPr>
          <w:rFonts w:cs="Arial"/>
          <w:noProof w:val="0"/>
        </w:rPr>
        <w:t>6</w:t>
      </w:r>
      <w:r w:rsidR="005865B3" w:rsidRPr="004A27A1">
        <w:rPr>
          <w:rFonts w:cs="Arial"/>
          <w:noProof w:val="0"/>
        </w:rPr>
        <w:t>.</w:t>
      </w:r>
    </w:p>
    <w:p w14:paraId="7163618C" w14:textId="5AA68EDE" w:rsidR="002D7C56" w:rsidRPr="004A27A1" w:rsidRDefault="002D7C56" w:rsidP="002D7C56">
      <w:pPr>
        <w:pStyle w:val="Heading2boardreport"/>
      </w:pPr>
      <w:r w:rsidRPr="004A27A1">
        <w:lastRenderedPageBreak/>
        <w:t>Review of the committee’s effectiveness in 202</w:t>
      </w:r>
      <w:r w:rsidR="00B615C1" w:rsidRPr="004A27A1">
        <w:t>5</w:t>
      </w:r>
      <w:r w:rsidR="000C1C73" w:rsidRPr="004A27A1">
        <w:t>/2</w:t>
      </w:r>
      <w:r w:rsidR="00B615C1" w:rsidRPr="004A27A1">
        <w:t>6</w:t>
      </w:r>
    </w:p>
    <w:p w14:paraId="71229348" w14:textId="2C943805" w:rsidR="002D7C56" w:rsidRPr="004A27A1" w:rsidRDefault="002D7C56" w:rsidP="00D3624A">
      <w:pPr>
        <w:pStyle w:val="NICEnormalnumbered"/>
        <w:ind w:left="357" w:hanging="357"/>
        <w:rPr>
          <w:noProof w:val="0"/>
        </w:rPr>
      </w:pPr>
      <w:r w:rsidRPr="004A27A1">
        <w:rPr>
          <w:rFonts w:cs="Arial"/>
          <w:noProof w:val="0"/>
        </w:rPr>
        <w:t xml:space="preserve">The committee’s terms of reference require that periodically, the committee shall review its own effectiveness and report the results to the board.  This exercise took place in </w:t>
      </w:r>
      <w:r w:rsidR="00ED068E" w:rsidRPr="004A27A1">
        <w:rPr>
          <w:rFonts w:cs="Arial"/>
          <w:noProof w:val="0"/>
        </w:rPr>
        <w:t xml:space="preserve">March and </w:t>
      </w:r>
      <w:r w:rsidR="00C60E9E" w:rsidRPr="004A27A1">
        <w:rPr>
          <w:rFonts w:cs="Arial"/>
          <w:noProof w:val="0"/>
        </w:rPr>
        <w:t>April 202</w:t>
      </w:r>
      <w:r w:rsidR="00E57183" w:rsidRPr="004A27A1">
        <w:rPr>
          <w:rFonts w:cs="Arial"/>
          <w:noProof w:val="0"/>
        </w:rPr>
        <w:t>6</w:t>
      </w:r>
      <w:r w:rsidR="00E366A9" w:rsidRPr="004A27A1">
        <w:rPr>
          <w:rFonts w:cs="Arial"/>
          <w:noProof w:val="0"/>
        </w:rPr>
        <w:t>.</w:t>
      </w:r>
    </w:p>
    <w:p w14:paraId="263FB787" w14:textId="49F4459D" w:rsidR="00E01481" w:rsidRPr="004A27A1" w:rsidRDefault="00884E1C" w:rsidP="00D3624A">
      <w:pPr>
        <w:pStyle w:val="Paragraph"/>
        <w:spacing w:line="360" w:lineRule="auto"/>
        <w:ind w:left="357" w:hanging="357"/>
        <w:rPr>
          <w:noProof w:val="0"/>
        </w:rPr>
      </w:pPr>
      <w:r w:rsidRPr="004A27A1">
        <w:rPr>
          <w:noProof w:val="0"/>
        </w:rPr>
        <w:t xml:space="preserve">A summary of the feedback from the </w:t>
      </w:r>
      <w:r w:rsidR="008717E1" w:rsidRPr="004A27A1">
        <w:rPr>
          <w:noProof w:val="0"/>
        </w:rPr>
        <w:t>annual review was presented to the committee in May</w:t>
      </w:r>
      <w:r w:rsidR="007E1998">
        <w:rPr>
          <w:noProof w:val="0"/>
        </w:rPr>
        <w:t xml:space="preserve"> 2026</w:t>
      </w:r>
      <w:r w:rsidR="008717E1" w:rsidRPr="004A27A1">
        <w:rPr>
          <w:noProof w:val="0"/>
        </w:rPr>
        <w:t xml:space="preserve">.  </w:t>
      </w:r>
      <w:r w:rsidR="001D56FE" w:rsidRPr="004A27A1">
        <w:rPr>
          <w:noProof w:val="0"/>
        </w:rPr>
        <w:t xml:space="preserve">There were comments about the skill mix, noting that </w:t>
      </w:r>
      <w:r w:rsidR="001D56FE" w:rsidRPr="004A27A1">
        <w:rPr>
          <w:iCs/>
          <w:noProof w:val="0"/>
        </w:rPr>
        <w:t>the committee should keep under review whether there is a need for specialist skills</w:t>
      </w:r>
      <w:r w:rsidR="001D56FE" w:rsidRPr="004A27A1">
        <w:rPr>
          <w:noProof w:val="0"/>
        </w:rPr>
        <w:t xml:space="preserve"> and the future requirement for a member with a financial background.  </w:t>
      </w:r>
      <w:r w:rsidR="00BE33E3" w:rsidRPr="004A27A1">
        <w:rPr>
          <w:noProof w:val="0"/>
        </w:rPr>
        <w:t>T</w:t>
      </w:r>
      <w:r w:rsidR="008717E1" w:rsidRPr="004A27A1">
        <w:rPr>
          <w:noProof w:val="0"/>
        </w:rPr>
        <w:t xml:space="preserve">he </w:t>
      </w:r>
      <w:r w:rsidR="0040473C" w:rsidRPr="004A27A1">
        <w:rPr>
          <w:noProof w:val="0"/>
        </w:rPr>
        <w:t>committee</w:t>
      </w:r>
      <w:r w:rsidR="00A87CCA" w:rsidRPr="004A27A1">
        <w:rPr>
          <w:noProof w:val="0"/>
        </w:rPr>
        <w:t xml:space="preserve"> w</w:t>
      </w:r>
      <w:r w:rsidR="0040473C" w:rsidRPr="004A27A1">
        <w:rPr>
          <w:noProof w:val="0"/>
        </w:rPr>
        <w:t>as</w:t>
      </w:r>
      <w:r w:rsidR="00A87CCA" w:rsidRPr="004A27A1">
        <w:rPr>
          <w:noProof w:val="0"/>
        </w:rPr>
        <w:t xml:space="preserve"> pleased with the </w:t>
      </w:r>
      <w:r w:rsidR="004A6D1D" w:rsidRPr="004A27A1">
        <w:rPr>
          <w:noProof w:val="0"/>
        </w:rPr>
        <w:t>arrangements for discussing risks</w:t>
      </w:r>
      <w:r w:rsidR="00E04712" w:rsidRPr="004A27A1">
        <w:rPr>
          <w:noProof w:val="0"/>
        </w:rPr>
        <w:t xml:space="preserve"> and </w:t>
      </w:r>
      <w:r w:rsidR="0014164C" w:rsidRPr="004A27A1">
        <w:rPr>
          <w:noProof w:val="0"/>
        </w:rPr>
        <w:t xml:space="preserve">agreed that </w:t>
      </w:r>
      <w:r w:rsidR="0014164C" w:rsidRPr="004A27A1">
        <w:rPr>
          <w:rFonts w:cs="Arial"/>
          <w:iCs/>
          <w:noProof w:val="0"/>
        </w:rPr>
        <w:t>NICE’s risk areas are sufficiently covered within the risk register, but a</w:t>
      </w:r>
      <w:r w:rsidR="003B1246" w:rsidRPr="004A27A1">
        <w:rPr>
          <w:rFonts w:cs="Arial"/>
          <w:iCs/>
          <w:noProof w:val="0"/>
        </w:rPr>
        <w:t>lso the</w:t>
      </w:r>
      <w:r w:rsidR="0014164C" w:rsidRPr="004A27A1">
        <w:rPr>
          <w:rFonts w:cs="Arial"/>
          <w:iCs/>
          <w:noProof w:val="0"/>
        </w:rPr>
        <w:t xml:space="preserve"> need for continued attention given complexities and uncertainties of NICE’s operating environment</w:t>
      </w:r>
      <w:r w:rsidR="003B1246" w:rsidRPr="004A27A1">
        <w:rPr>
          <w:rFonts w:cs="Arial"/>
          <w:iCs/>
          <w:noProof w:val="0"/>
        </w:rPr>
        <w:t>.</w:t>
      </w:r>
    </w:p>
    <w:p w14:paraId="6EFFB586" w14:textId="7D605AD8" w:rsidR="00D052F9" w:rsidRPr="004A27A1" w:rsidRDefault="00D052F9" w:rsidP="00D052F9">
      <w:pPr>
        <w:pStyle w:val="Heading1"/>
        <w:spacing w:after="240"/>
        <w:rPr>
          <w:b w:val="0"/>
        </w:rPr>
      </w:pPr>
      <w:r w:rsidRPr="004A27A1">
        <w:t>Challenges and risks for 202</w:t>
      </w:r>
      <w:r w:rsidR="00A80280" w:rsidRPr="004A27A1">
        <w:t>6/27</w:t>
      </w:r>
    </w:p>
    <w:p w14:paraId="73F228F4" w14:textId="1262368C" w:rsidR="00CC465C" w:rsidRPr="004A27A1" w:rsidRDefault="00CC465C" w:rsidP="00F232B7">
      <w:pPr>
        <w:pStyle w:val="NICEnormalnumbered"/>
        <w:rPr>
          <w:noProof w:val="0"/>
        </w:rPr>
      </w:pPr>
      <w:r w:rsidRPr="004A27A1">
        <w:rPr>
          <w:rFonts w:cs="Arial"/>
          <w:noProof w:val="0"/>
        </w:rPr>
        <w:t>In the coming year we will continue to review the strategic risks facing NICE</w:t>
      </w:r>
      <w:r w:rsidR="00216104" w:rsidRPr="004A27A1">
        <w:rPr>
          <w:rFonts w:cs="Arial"/>
          <w:noProof w:val="0"/>
        </w:rPr>
        <w:t xml:space="preserve">, using the bow-tie </w:t>
      </w:r>
      <w:r w:rsidR="00E80FD4" w:rsidRPr="004A27A1">
        <w:rPr>
          <w:rFonts w:cs="Arial"/>
          <w:noProof w:val="0"/>
        </w:rPr>
        <w:t xml:space="preserve">risk </w:t>
      </w:r>
      <w:r w:rsidR="00216104" w:rsidRPr="004A27A1">
        <w:rPr>
          <w:rFonts w:cs="Arial"/>
          <w:noProof w:val="0"/>
        </w:rPr>
        <w:t xml:space="preserve">analysis where relevant, </w:t>
      </w:r>
      <w:r w:rsidRPr="004A27A1">
        <w:rPr>
          <w:rFonts w:cs="Arial"/>
          <w:noProof w:val="0"/>
        </w:rPr>
        <w:t>to better understand the controls in place and their effectiveness</w:t>
      </w:r>
      <w:r w:rsidR="00064984" w:rsidRPr="004A27A1">
        <w:rPr>
          <w:rFonts w:cs="Arial"/>
          <w:noProof w:val="0"/>
        </w:rPr>
        <w:t xml:space="preserve"> in reducing the risk level</w:t>
      </w:r>
      <w:r w:rsidR="00795C5F" w:rsidRPr="004A27A1">
        <w:rPr>
          <w:rFonts w:cs="Arial"/>
          <w:noProof w:val="0"/>
        </w:rPr>
        <w:t>.</w:t>
      </w:r>
      <w:r w:rsidRPr="004A27A1">
        <w:rPr>
          <w:rFonts w:cs="Arial"/>
          <w:noProof w:val="0"/>
        </w:rPr>
        <w:t xml:space="preserve"> </w:t>
      </w:r>
    </w:p>
    <w:p w14:paraId="2E489DD6" w14:textId="01128829" w:rsidR="00C11836" w:rsidRPr="004A27A1" w:rsidRDefault="00CC465C" w:rsidP="008E6077">
      <w:pPr>
        <w:pStyle w:val="NICEnormalnumbered"/>
        <w:rPr>
          <w:noProof w:val="0"/>
        </w:rPr>
      </w:pPr>
      <w:r w:rsidRPr="004A27A1">
        <w:rPr>
          <w:rFonts w:cs="Arial"/>
          <w:noProof w:val="0"/>
        </w:rPr>
        <w:t>In terms of our focus</w:t>
      </w:r>
      <w:r w:rsidR="005B4741" w:rsidRPr="004A27A1">
        <w:rPr>
          <w:rFonts w:cs="Arial"/>
          <w:noProof w:val="0"/>
        </w:rPr>
        <w:t xml:space="preserve"> for</w:t>
      </w:r>
      <w:r w:rsidR="00D919B6" w:rsidRPr="004A27A1">
        <w:rPr>
          <w:rFonts w:cs="Arial"/>
          <w:noProof w:val="0"/>
        </w:rPr>
        <w:t xml:space="preserve"> the immediate future</w:t>
      </w:r>
      <w:r w:rsidRPr="004A27A1">
        <w:rPr>
          <w:rFonts w:cs="Arial"/>
          <w:noProof w:val="0"/>
        </w:rPr>
        <w:t xml:space="preserve">, we are conscious of the following key </w:t>
      </w:r>
      <w:r w:rsidR="00D420A3" w:rsidRPr="004A27A1">
        <w:rPr>
          <w:rFonts w:cs="Arial"/>
          <w:noProof w:val="0"/>
        </w:rPr>
        <w:t>challenges</w:t>
      </w:r>
      <w:r w:rsidRPr="004A27A1">
        <w:rPr>
          <w:rFonts w:cs="Arial"/>
          <w:noProof w:val="0"/>
        </w:rPr>
        <w:t xml:space="preserve"> which will guide our work:</w:t>
      </w:r>
    </w:p>
    <w:p w14:paraId="3C79B164" w14:textId="17520D96" w:rsidR="0071785A" w:rsidRPr="004A27A1" w:rsidRDefault="001360FE" w:rsidP="00817F07">
      <w:pPr>
        <w:pStyle w:val="NICEnormalnumbered"/>
        <w:numPr>
          <w:ilvl w:val="0"/>
          <w:numId w:val="32"/>
        </w:numPr>
        <w:tabs>
          <w:tab w:val="clear" w:pos="426"/>
        </w:tabs>
        <w:ind w:left="851" w:hanging="425"/>
        <w:rPr>
          <w:noProof w:val="0"/>
        </w:rPr>
      </w:pPr>
      <w:r w:rsidRPr="004A27A1">
        <w:rPr>
          <w:b/>
          <w:bCs/>
          <w:noProof w:val="0"/>
        </w:rPr>
        <w:t xml:space="preserve">The health </w:t>
      </w:r>
      <w:r w:rsidR="002F0D55" w:rsidRPr="004A27A1">
        <w:rPr>
          <w:b/>
          <w:bCs/>
          <w:noProof w:val="0"/>
        </w:rPr>
        <w:t xml:space="preserve">and life sciences </w:t>
      </w:r>
      <w:r w:rsidRPr="004A27A1">
        <w:rPr>
          <w:b/>
          <w:bCs/>
          <w:noProof w:val="0"/>
        </w:rPr>
        <w:t>policy agenda</w:t>
      </w:r>
      <w:r w:rsidRPr="004A27A1">
        <w:rPr>
          <w:noProof w:val="0"/>
        </w:rPr>
        <w:t xml:space="preserve"> </w:t>
      </w:r>
      <w:r w:rsidR="00881241" w:rsidRPr="004A27A1">
        <w:rPr>
          <w:noProof w:val="0"/>
        </w:rPr>
        <w:t>–</w:t>
      </w:r>
      <w:r w:rsidRPr="004A27A1">
        <w:rPr>
          <w:noProof w:val="0"/>
        </w:rPr>
        <w:t xml:space="preserve"> </w:t>
      </w:r>
      <w:r w:rsidR="00881241" w:rsidRPr="004A27A1">
        <w:rPr>
          <w:noProof w:val="0"/>
        </w:rPr>
        <w:t xml:space="preserve">The chief executive </w:t>
      </w:r>
      <w:r w:rsidR="00CC5030" w:rsidRPr="004A27A1">
        <w:rPr>
          <w:noProof w:val="0"/>
        </w:rPr>
        <w:t>will keep both the bo</w:t>
      </w:r>
      <w:r w:rsidR="00CE7C57" w:rsidRPr="004A27A1">
        <w:rPr>
          <w:noProof w:val="0"/>
        </w:rPr>
        <w:t>ard</w:t>
      </w:r>
      <w:r w:rsidR="00CC5030" w:rsidRPr="004A27A1">
        <w:rPr>
          <w:noProof w:val="0"/>
        </w:rPr>
        <w:t xml:space="preserve"> and this committee updated on developments </w:t>
      </w:r>
      <w:r w:rsidR="007F1857" w:rsidRPr="004A27A1">
        <w:rPr>
          <w:noProof w:val="0"/>
        </w:rPr>
        <w:t>across</w:t>
      </w:r>
      <w:r w:rsidR="00CC5030" w:rsidRPr="004A27A1">
        <w:rPr>
          <w:noProof w:val="0"/>
        </w:rPr>
        <w:t xml:space="preserve"> the system</w:t>
      </w:r>
      <w:r w:rsidR="007F1857" w:rsidRPr="004A27A1">
        <w:rPr>
          <w:noProof w:val="0"/>
        </w:rPr>
        <w:t xml:space="preserve"> and the impact these are likely to have on NICE’s role and its relationships with partners</w:t>
      </w:r>
      <w:r w:rsidR="0099473A" w:rsidRPr="004A27A1">
        <w:rPr>
          <w:noProof w:val="0"/>
        </w:rPr>
        <w:t xml:space="preserve"> and stakeholders</w:t>
      </w:r>
      <w:r w:rsidR="007F1857" w:rsidRPr="004A27A1">
        <w:rPr>
          <w:noProof w:val="0"/>
        </w:rPr>
        <w:t>.</w:t>
      </w:r>
      <w:r w:rsidR="00E732CA" w:rsidRPr="004A27A1">
        <w:rPr>
          <w:noProof w:val="0"/>
        </w:rPr>
        <w:t xml:space="preserve">  </w:t>
      </w:r>
    </w:p>
    <w:p w14:paraId="6789C1DF" w14:textId="67CA1FCD" w:rsidR="00DE4264" w:rsidRPr="004A27A1" w:rsidRDefault="00077601" w:rsidP="00967A7C">
      <w:pPr>
        <w:pStyle w:val="NICEnormalnumbered"/>
        <w:numPr>
          <w:ilvl w:val="0"/>
          <w:numId w:val="32"/>
        </w:numPr>
        <w:tabs>
          <w:tab w:val="clear" w:pos="426"/>
        </w:tabs>
        <w:ind w:left="851" w:hanging="425"/>
        <w:rPr>
          <w:noProof w:val="0"/>
        </w:rPr>
      </w:pPr>
      <w:r w:rsidRPr="004A27A1">
        <w:rPr>
          <w:b/>
          <w:bCs/>
          <w:noProof w:val="0"/>
        </w:rPr>
        <w:t>I</w:t>
      </w:r>
      <w:r w:rsidR="00DE4264" w:rsidRPr="004A27A1">
        <w:rPr>
          <w:b/>
          <w:bCs/>
          <w:noProof w:val="0"/>
        </w:rPr>
        <w:t>nternational</w:t>
      </w:r>
      <w:r w:rsidR="003C4AD0" w:rsidRPr="004A27A1">
        <w:rPr>
          <w:b/>
          <w:bCs/>
          <w:noProof w:val="0"/>
        </w:rPr>
        <w:t xml:space="preserve"> </w:t>
      </w:r>
      <w:r w:rsidR="00567EB3" w:rsidRPr="004A27A1">
        <w:rPr>
          <w:b/>
          <w:bCs/>
          <w:noProof w:val="0"/>
        </w:rPr>
        <w:t xml:space="preserve">political </w:t>
      </w:r>
      <w:r w:rsidR="00FD3692" w:rsidRPr="004A27A1">
        <w:rPr>
          <w:b/>
          <w:bCs/>
          <w:noProof w:val="0"/>
        </w:rPr>
        <w:t>environment</w:t>
      </w:r>
      <w:r w:rsidR="003C4AD0" w:rsidRPr="004A27A1">
        <w:rPr>
          <w:noProof w:val="0"/>
        </w:rPr>
        <w:t xml:space="preserve"> – We </w:t>
      </w:r>
      <w:r w:rsidR="000B791D" w:rsidRPr="004A27A1">
        <w:rPr>
          <w:noProof w:val="0"/>
        </w:rPr>
        <w:t>will continue to monitor the potential impact on NICE of</w:t>
      </w:r>
      <w:r w:rsidR="00967A7C" w:rsidRPr="004A27A1">
        <w:rPr>
          <w:noProof w:val="0"/>
        </w:rPr>
        <w:t xml:space="preserve"> </w:t>
      </w:r>
      <w:r w:rsidR="000B791D" w:rsidRPr="004A27A1">
        <w:rPr>
          <w:noProof w:val="0"/>
        </w:rPr>
        <w:t xml:space="preserve">decisions </w:t>
      </w:r>
      <w:r w:rsidR="009420A0" w:rsidRPr="004A27A1">
        <w:rPr>
          <w:noProof w:val="0"/>
        </w:rPr>
        <w:t xml:space="preserve">that may be </w:t>
      </w:r>
      <w:r w:rsidR="00967A7C" w:rsidRPr="004A27A1">
        <w:rPr>
          <w:noProof w:val="0"/>
        </w:rPr>
        <w:t xml:space="preserve">taken by other countries, including on medicines pricing and </w:t>
      </w:r>
      <w:r w:rsidR="009420A0" w:rsidRPr="004A27A1">
        <w:rPr>
          <w:noProof w:val="0"/>
        </w:rPr>
        <w:t xml:space="preserve">NICE’s </w:t>
      </w:r>
      <w:r w:rsidR="00613D7E" w:rsidRPr="004A27A1">
        <w:rPr>
          <w:noProof w:val="0"/>
        </w:rPr>
        <w:t xml:space="preserve">access to </w:t>
      </w:r>
      <w:r w:rsidR="00396124" w:rsidRPr="004A27A1">
        <w:rPr>
          <w:noProof w:val="0"/>
        </w:rPr>
        <w:t xml:space="preserve">evidence </w:t>
      </w:r>
      <w:r w:rsidR="0034373B" w:rsidRPr="004A27A1">
        <w:rPr>
          <w:noProof w:val="0"/>
        </w:rPr>
        <w:t>needed for guidance production</w:t>
      </w:r>
      <w:r w:rsidR="00967A7C" w:rsidRPr="004A27A1">
        <w:rPr>
          <w:noProof w:val="0"/>
        </w:rPr>
        <w:t xml:space="preserve">. </w:t>
      </w:r>
    </w:p>
    <w:p w14:paraId="21A5DE3B" w14:textId="7B117EF9" w:rsidR="008E6077" w:rsidRPr="004A27A1" w:rsidRDefault="008E6077" w:rsidP="00817F07">
      <w:pPr>
        <w:pStyle w:val="NICEnormalnumbered"/>
        <w:numPr>
          <w:ilvl w:val="0"/>
          <w:numId w:val="32"/>
        </w:numPr>
        <w:tabs>
          <w:tab w:val="clear" w:pos="426"/>
        </w:tabs>
        <w:ind w:left="851" w:hanging="425"/>
        <w:rPr>
          <w:noProof w:val="0"/>
        </w:rPr>
      </w:pPr>
      <w:r w:rsidRPr="004A27A1">
        <w:rPr>
          <w:b/>
          <w:bCs/>
          <w:noProof w:val="0"/>
        </w:rPr>
        <w:t>Cyber security</w:t>
      </w:r>
      <w:r w:rsidRPr="004A27A1">
        <w:rPr>
          <w:noProof w:val="0"/>
        </w:rPr>
        <w:t xml:space="preserve"> – </w:t>
      </w:r>
      <w:r w:rsidR="00B14FE9" w:rsidRPr="004A27A1">
        <w:rPr>
          <w:noProof w:val="0"/>
        </w:rPr>
        <w:t>T</w:t>
      </w:r>
      <w:r w:rsidRPr="004A27A1">
        <w:rPr>
          <w:noProof w:val="0"/>
        </w:rPr>
        <w:t>he C</w:t>
      </w:r>
      <w:r w:rsidR="00057AD6" w:rsidRPr="004A27A1">
        <w:rPr>
          <w:noProof w:val="0"/>
        </w:rPr>
        <w:t xml:space="preserve">hief Information Officer </w:t>
      </w:r>
      <w:r w:rsidR="00B14FE9" w:rsidRPr="004A27A1">
        <w:rPr>
          <w:noProof w:val="0"/>
        </w:rPr>
        <w:t>has</w:t>
      </w:r>
      <w:r w:rsidR="0022638E" w:rsidRPr="004A27A1">
        <w:rPr>
          <w:noProof w:val="0"/>
        </w:rPr>
        <w:t xml:space="preserve"> continued</w:t>
      </w:r>
      <w:r w:rsidRPr="004A27A1">
        <w:rPr>
          <w:noProof w:val="0"/>
        </w:rPr>
        <w:t xml:space="preserve"> to </w:t>
      </w:r>
      <w:r w:rsidR="0022638E" w:rsidRPr="004A27A1">
        <w:rPr>
          <w:noProof w:val="0"/>
        </w:rPr>
        <w:t xml:space="preserve">keep </w:t>
      </w:r>
      <w:r w:rsidRPr="004A27A1">
        <w:rPr>
          <w:noProof w:val="0"/>
        </w:rPr>
        <w:t xml:space="preserve">the committee </w:t>
      </w:r>
      <w:r w:rsidR="0022638E" w:rsidRPr="004A27A1">
        <w:rPr>
          <w:noProof w:val="0"/>
        </w:rPr>
        <w:t xml:space="preserve">updated </w:t>
      </w:r>
      <w:r w:rsidRPr="004A27A1">
        <w:rPr>
          <w:noProof w:val="0"/>
        </w:rPr>
        <w:t>during the year</w:t>
      </w:r>
      <w:r w:rsidR="0022638E" w:rsidRPr="004A27A1">
        <w:rPr>
          <w:noProof w:val="0"/>
        </w:rPr>
        <w:t xml:space="preserve"> on </w:t>
      </w:r>
      <w:r w:rsidRPr="004A27A1">
        <w:rPr>
          <w:noProof w:val="0"/>
        </w:rPr>
        <w:t xml:space="preserve">improvements </w:t>
      </w:r>
      <w:r w:rsidR="00467676" w:rsidRPr="004A27A1">
        <w:rPr>
          <w:noProof w:val="0"/>
        </w:rPr>
        <w:t>that have been implemented</w:t>
      </w:r>
      <w:r w:rsidRPr="004A27A1">
        <w:rPr>
          <w:noProof w:val="0"/>
        </w:rPr>
        <w:t xml:space="preserve"> to strengthen NICE’s cyber resilience.  </w:t>
      </w:r>
      <w:r w:rsidR="00467676" w:rsidRPr="004A27A1">
        <w:rPr>
          <w:noProof w:val="0"/>
        </w:rPr>
        <w:t>This year</w:t>
      </w:r>
      <w:r w:rsidRPr="004A27A1">
        <w:rPr>
          <w:noProof w:val="0"/>
        </w:rPr>
        <w:t xml:space="preserve"> we reviewed </w:t>
      </w:r>
      <w:r w:rsidRPr="004A27A1">
        <w:rPr>
          <w:noProof w:val="0"/>
        </w:rPr>
        <w:lastRenderedPageBreak/>
        <w:t xml:space="preserve">an internal audit of NICE’s cyber security arrangements, as mentioned previously in this report, and we have agreed to include a further internal audit review </w:t>
      </w:r>
      <w:r w:rsidR="00467676" w:rsidRPr="004A27A1">
        <w:rPr>
          <w:noProof w:val="0"/>
        </w:rPr>
        <w:t xml:space="preserve">of business continuity </w:t>
      </w:r>
      <w:r w:rsidRPr="004A27A1">
        <w:rPr>
          <w:noProof w:val="0"/>
        </w:rPr>
        <w:t>in the 202</w:t>
      </w:r>
      <w:r w:rsidR="005B579C" w:rsidRPr="004A27A1">
        <w:rPr>
          <w:noProof w:val="0"/>
        </w:rPr>
        <w:t>6</w:t>
      </w:r>
      <w:r w:rsidRPr="004A27A1">
        <w:rPr>
          <w:noProof w:val="0"/>
        </w:rPr>
        <w:t>/2</w:t>
      </w:r>
      <w:r w:rsidR="005B579C" w:rsidRPr="004A27A1">
        <w:rPr>
          <w:noProof w:val="0"/>
        </w:rPr>
        <w:t>7</w:t>
      </w:r>
      <w:r w:rsidRPr="004A27A1">
        <w:rPr>
          <w:noProof w:val="0"/>
        </w:rPr>
        <w:t xml:space="preserve"> plan</w:t>
      </w:r>
      <w:r w:rsidR="005B579C" w:rsidRPr="004A27A1">
        <w:rPr>
          <w:noProof w:val="0"/>
        </w:rPr>
        <w:t>.</w:t>
      </w:r>
      <w:r w:rsidR="009420A0" w:rsidRPr="004A27A1">
        <w:rPr>
          <w:noProof w:val="0"/>
        </w:rPr>
        <w:t xml:space="preserve"> We are pleased to report the ongoing strengthening of NICE’s assurance in this area but will continue to keep a close focus on this issue given the ongoing risks facing all or</w:t>
      </w:r>
      <w:r w:rsidR="004D7514" w:rsidRPr="004A27A1">
        <w:rPr>
          <w:noProof w:val="0"/>
        </w:rPr>
        <w:t>ganisations.</w:t>
      </w:r>
    </w:p>
    <w:p w14:paraId="0963E801" w14:textId="416172F0" w:rsidR="00E85310" w:rsidRPr="004A27A1" w:rsidRDefault="008342EB" w:rsidP="00EB7610">
      <w:pPr>
        <w:pStyle w:val="NICEnormalnumbered"/>
        <w:numPr>
          <w:ilvl w:val="0"/>
          <w:numId w:val="32"/>
        </w:numPr>
        <w:ind w:left="851" w:hanging="425"/>
        <w:rPr>
          <w:noProof w:val="0"/>
        </w:rPr>
      </w:pPr>
      <w:r w:rsidRPr="004A27A1">
        <w:rPr>
          <w:b/>
          <w:bCs/>
          <w:noProof w:val="0"/>
        </w:rPr>
        <w:t>AI and data</w:t>
      </w:r>
      <w:r w:rsidRPr="004A27A1">
        <w:rPr>
          <w:noProof w:val="0"/>
        </w:rPr>
        <w:t xml:space="preserve"> – We will consider the risks and opportunities of AI and the skills needed </w:t>
      </w:r>
      <w:r w:rsidR="00EB7610" w:rsidRPr="004A27A1">
        <w:rPr>
          <w:noProof w:val="0"/>
        </w:rPr>
        <w:t>within the</w:t>
      </w:r>
      <w:r w:rsidRPr="004A27A1">
        <w:rPr>
          <w:noProof w:val="0"/>
        </w:rPr>
        <w:t xml:space="preserve"> business as we transform.</w:t>
      </w:r>
    </w:p>
    <w:p w14:paraId="2EA70FCD" w14:textId="18B750D2" w:rsidR="00CC465C" w:rsidRPr="004A27A1" w:rsidRDefault="00CC465C" w:rsidP="00CC465C">
      <w:pPr>
        <w:pStyle w:val="Heading3"/>
      </w:pPr>
      <w:r w:rsidRPr="004A27A1">
        <w:t>Conclusion</w:t>
      </w:r>
    </w:p>
    <w:p w14:paraId="46790EDD" w14:textId="2F89E924" w:rsidR="00CC465C" w:rsidRPr="004A27A1" w:rsidRDefault="00CC465C" w:rsidP="00F232B7">
      <w:pPr>
        <w:pStyle w:val="NICEnormalnumbered"/>
        <w:rPr>
          <w:noProof w:val="0"/>
        </w:rPr>
      </w:pPr>
      <w:r w:rsidRPr="004A27A1">
        <w:rPr>
          <w:rFonts w:cs="Arial"/>
          <w:noProof w:val="0"/>
        </w:rPr>
        <w:t xml:space="preserve">Considering </w:t>
      </w:r>
      <w:proofErr w:type="gramStart"/>
      <w:r w:rsidRPr="004A27A1">
        <w:rPr>
          <w:rFonts w:cs="Arial"/>
          <w:noProof w:val="0"/>
        </w:rPr>
        <w:t>all of</w:t>
      </w:r>
      <w:proofErr w:type="gramEnd"/>
      <w:r w:rsidRPr="004A27A1">
        <w:rPr>
          <w:rFonts w:cs="Arial"/>
          <w:noProof w:val="0"/>
        </w:rPr>
        <w:t xml:space="preserve"> the above, the committee </w:t>
      </w:r>
      <w:r w:rsidR="00223369" w:rsidRPr="004A27A1">
        <w:rPr>
          <w:rFonts w:cs="Arial"/>
          <w:noProof w:val="0"/>
        </w:rPr>
        <w:t>is satisfied</w:t>
      </w:r>
      <w:r w:rsidRPr="004A27A1">
        <w:rPr>
          <w:rFonts w:cs="Arial"/>
          <w:noProof w:val="0"/>
        </w:rPr>
        <w:t xml:space="preserve"> that NICE is well managed with effective processes and controls</w:t>
      </w:r>
      <w:r w:rsidR="00830636" w:rsidRPr="004A27A1">
        <w:rPr>
          <w:rFonts w:cs="Arial"/>
          <w:noProof w:val="0"/>
        </w:rPr>
        <w:t xml:space="preserve"> in place</w:t>
      </w:r>
      <w:r w:rsidRPr="004A27A1">
        <w:rPr>
          <w:rFonts w:cs="Arial"/>
          <w:noProof w:val="0"/>
        </w:rPr>
        <w:t xml:space="preserve">, </w:t>
      </w:r>
      <w:r w:rsidR="00FD4B2F" w:rsidRPr="004A27A1">
        <w:rPr>
          <w:rFonts w:cs="Arial"/>
          <w:noProof w:val="0"/>
        </w:rPr>
        <w:t>with</w:t>
      </w:r>
      <w:r w:rsidRPr="004A27A1">
        <w:rPr>
          <w:rFonts w:cs="Arial"/>
          <w:noProof w:val="0"/>
        </w:rPr>
        <w:t xml:space="preserve"> a skilled and committed workforce. </w:t>
      </w:r>
      <w:r w:rsidR="00927618" w:rsidRPr="004A27A1">
        <w:rPr>
          <w:rFonts w:cs="Arial"/>
          <w:noProof w:val="0"/>
        </w:rPr>
        <w:t xml:space="preserve"> </w:t>
      </w:r>
      <w:r w:rsidR="00483170" w:rsidRPr="004A27A1">
        <w:rPr>
          <w:rFonts w:cs="Arial"/>
          <w:noProof w:val="0"/>
        </w:rPr>
        <w:t xml:space="preserve">The </w:t>
      </w:r>
      <w:r w:rsidR="001C0A73" w:rsidRPr="004A27A1">
        <w:rPr>
          <w:rFonts w:cs="Arial"/>
          <w:noProof w:val="0"/>
        </w:rPr>
        <w:t xml:space="preserve">health and care system </w:t>
      </w:r>
      <w:r w:rsidR="00483170" w:rsidRPr="004A27A1">
        <w:rPr>
          <w:rFonts w:cs="Arial"/>
          <w:noProof w:val="0"/>
        </w:rPr>
        <w:t xml:space="preserve">continues to </w:t>
      </w:r>
      <w:r w:rsidR="00192130" w:rsidRPr="004A27A1">
        <w:rPr>
          <w:rFonts w:cs="Arial"/>
          <w:noProof w:val="0"/>
        </w:rPr>
        <w:t xml:space="preserve">be under </w:t>
      </w:r>
      <w:r w:rsidR="00C9635A" w:rsidRPr="004A27A1">
        <w:rPr>
          <w:rFonts w:cs="Arial"/>
          <w:noProof w:val="0"/>
        </w:rPr>
        <w:t xml:space="preserve">significant </w:t>
      </w:r>
      <w:r w:rsidR="00AF0A8A" w:rsidRPr="004A27A1">
        <w:rPr>
          <w:rFonts w:cs="Arial"/>
          <w:noProof w:val="0"/>
        </w:rPr>
        <w:t>pressure and</w:t>
      </w:r>
      <w:r w:rsidR="00E45E75" w:rsidRPr="004A27A1">
        <w:rPr>
          <w:rFonts w:cs="Arial"/>
          <w:noProof w:val="0"/>
        </w:rPr>
        <w:t xml:space="preserve"> is expected to be so for the foreseeable future.  </w:t>
      </w:r>
      <w:r w:rsidR="00AF0A8A" w:rsidRPr="004A27A1">
        <w:rPr>
          <w:rFonts w:cs="Arial"/>
          <w:noProof w:val="0"/>
        </w:rPr>
        <w:t>W</w:t>
      </w:r>
      <w:r w:rsidR="000752BE" w:rsidRPr="004A27A1">
        <w:rPr>
          <w:rFonts w:cs="Arial"/>
          <w:noProof w:val="0"/>
        </w:rPr>
        <w:t xml:space="preserve">e </w:t>
      </w:r>
      <w:r w:rsidR="00AF0A8A" w:rsidRPr="004A27A1">
        <w:rPr>
          <w:rFonts w:cs="Arial"/>
          <w:noProof w:val="0"/>
        </w:rPr>
        <w:t xml:space="preserve">therefore </w:t>
      </w:r>
      <w:r w:rsidR="00223369" w:rsidRPr="004A27A1">
        <w:rPr>
          <w:rFonts w:cs="Arial"/>
          <w:noProof w:val="0"/>
        </w:rPr>
        <w:t xml:space="preserve">look forward to </w:t>
      </w:r>
      <w:r w:rsidR="00927618" w:rsidRPr="004A27A1">
        <w:rPr>
          <w:rFonts w:cs="Arial"/>
          <w:noProof w:val="0"/>
        </w:rPr>
        <w:t xml:space="preserve">discussing with the executives </w:t>
      </w:r>
      <w:r w:rsidR="00431B73" w:rsidRPr="004A27A1">
        <w:rPr>
          <w:rFonts w:cs="Arial"/>
          <w:noProof w:val="0"/>
        </w:rPr>
        <w:t xml:space="preserve">the relevant actions that need to be taken </w:t>
      </w:r>
      <w:r w:rsidR="00927618" w:rsidRPr="004A27A1">
        <w:rPr>
          <w:rFonts w:cs="Arial"/>
          <w:noProof w:val="0"/>
        </w:rPr>
        <w:t xml:space="preserve">to ensure </w:t>
      </w:r>
      <w:r w:rsidR="00AF40A2" w:rsidRPr="004A27A1">
        <w:rPr>
          <w:rFonts w:cs="Arial"/>
          <w:noProof w:val="0"/>
        </w:rPr>
        <w:t>any impact</w:t>
      </w:r>
      <w:r w:rsidR="005A240F" w:rsidRPr="004A27A1">
        <w:rPr>
          <w:rFonts w:cs="Arial"/>
          <w:noProof w:val="0"/>
        </w:rPr>
        <w:t xml:space="preserve"> on</w:t>
      </w:r>
      <w:r w:rsidR="004349C0" w:rsidRPr="004A27A1">
        <w:rPr>
          <w:rFonts w:cs="Arial"/>
          <w:noProof w:val="0"/>
        </w:rPr>
        <w:t xml:space="preserve"> NICE’s activities are closely monitored </w:t>
      </w:r>
      <w:r w:rsidR="00AF40A2" w:rsidRPr="004A27A1">
        <w:rPr>
          <w:rFonts w:cs="Arial"/>
          <w:noProof w:val="0"/>
        </w:rPr>
        <w:t xml:space="preserve">and </w:t>
      </w:r>
      <w:r w:rsidR="00C9635A" w:rsidRPr="004A27A1">
        <w:rPr>
          <w:rFonts w:cs="Arial"/>
          <w:noProof w:val="0"/>
        </w:rPr>
        <w:t>responded</w:t>
      </w:r>
      <w:r w:rsidR="00AF40A2" w:rsidRPr="004A27A1">
        <w:rPr>
          <w:rFonts w:cs="Arial"/>
          <w:noProof w:val="0"/>
        </w:rPr>
        <w:t xml:space="preserve"> to </w:t>
      </w:r>
      <w:r w:rsidR="00D93021" w:rsidRPr="004A27A1">
        <w:rPr>
          <w:rFonts w:cs="Arial"/>
          <w:noProof w:val="0"/>
        </w:rPr>
        <w:t>effectively</w:t>
      </w:r>
      <w:r w:rsidR="001612FE" w:rsidRPr="004A27A1">
        <w:rPr>
          <w:rFonts w:cs="Arial"/>
          <w:noProof w:val="0"/>
        </w:rPr>
        <w:t>.</w:t>
      </w:r>
    </w:p>
    <w:p w14:paraId="28B47618" w14:textId="0E0D0CBE" w:rsidR="00CC465C" w:rsidRPr="004A27A1" w:rsidRDefault="00CC465C" w:rsidP="00F232B7">
      <w:pPr>
        <w:pStyle w:val="NICEnormalnumbered"/>
        <w:rPr>
          <w:noProof w:val="0"/>
        </w:rPr>
      </w:pPr>
      <w:r w:rsidRPr="004A27A1">
        <w:rPr>
          <w:rFonts w:cs="Arial"/>
          <w:noProof w:val="0"/>
        </w:rPr>
        <w:t>We record our appreciation of the excellent work and support from those teams whose work we most scrutinise and rely on.  We also note with satisfaction the effective working relationships that continue to operate with our external auditors and internal auditors.</w:t>
      </w:r>
      <w:r w:rsidR="005A240F" w:rsidRPr="004A27A1">
        <w:rPr>
          <w:rFonts w:cs="Arial"/>
          <w:noProof w:val="0"/>
        </w:rPr>
        <w:t xml:space="preserve"> </w:t>
      </w:r>
      <w:r w:rsidR="004D7514" w:rsidRPr="004A27A1">
        <w:rPr>
          <w:rFonts w:cs="Arial"/>
          <w:noProof w:val="0"/>
        </w:rPr>
        <w:t xml:space="preserve">The committee also wish to formally record its thanks and gratitude to Alina Lourie for her excellent leadership of the committee </w:t>
      </w:r>
      <w:r w:rsidR="002C280D" w:rsidRPr="004A27A1">
        <w:rPr>
          <w:rFonts w:cs="Arial"/>
          <w:noProof w:val="0"/>
        </w:rPr>
        <w:t xml:space="preserve">over the last </w:t>
      </w:r>
      <w:r w:rsidR="007F4821" w:rsidRPr="004A27A1">
        <w:rPr>
          <w:rFonts w:cs="Arial"/>
          <w:noProof w:val="0"/>
        </w:rPr>
        <w:t>4</w:t>
      </w:r>
      <w:r w:rsidR="002C280D" w:rsidRPr="004A27A1">
        <w:rPr>
          <w:rFonts w:cs="Arial"/>
          <w:noProof w:val="0"/>
        </w:rPr>
        <w:t xml:space="preserve"> years. </w:t>
      </w:r>
    </w:p>
    <w:p w14:paraId="33891AC7" w14:textId="0925B907" w:rsidR="00742414" w:rsidRPr="004A27A1" w:rsidRDefault="000879F4" w:rsidP="00F232B7">
      <w:pPr>
        <w:pStyle w:val="NICEnormalnumbered"/>
        <w:rPr>
          <w:rFonts w:cs="Arial"/>
          <w:noProof w:val="0"/>
        </w:rPr>
      </w:pPr>
      <w:r w:rsidRPr="004A27A1">
        <w:rPr>
          <w:rFonts w:cs="Arial"/>
          <w:noProof w:val="0"/>
        </w:rPr>
        <w:t>T</w:t>
      </w:r>
      <w:r w:rsidR="005D7C70" w:rsidRPr="004A27A1">
        <w:rPr>
          <w:rFonts w:cs="Arial"/>
          <w:noProof w:val="0"/>
        </w:rPr>
        <w:t>he committee</w:t>
      </w:r>
      <w:r w:rsidRPr="004A27A1">
        <w:rPr>
          <w:rFonts w:cs="Arial"/>
          <w:noProof w:val="0"/>
        </w:rPr>
        <w:t xml:space="preserve">’s </w:t>
      </w:r>
      <w:r w:rsidR="005D7C70" w:rsidRPr="004A27A1">
        <w:rPr>
          <w:rFonts w:cs="Arial"/>
          <w:noProof w:val="0"/>
        </w:rPr>
        <w:t>focus for 202</w:t>
      </w:r>
      <w:r w:rsidR="00412583" w:rsidRPr="004A27A1">
        <w:rPr>
          <w:rFonts w:cs="Arial"/>
          <w:noProof w:val="0"/>
        </w:rPr>
        <w:t>6/27</w:t>
      </w:r>
      <w:r w:rsidR="005D7C70" w:rsidRPr="004A27A1">
        <w:rPr>
          <w:rFonts w:cs="Arial"/>
          <w:noProof w:val="0"/>
        </w:rPr>
        <w:t xml:space="preserve"> will be on issues that </w:t>
      </w:r>
      <w:r w:rsidR="0061184F" w:rsidRPr="004A27A1">
        <w:rPr>
          <w:rFonts w:cs="Arial"/>
          <w:noProof w:val="0"/>
        </w:rPr>
        <w:t>provide</w:t>
      </w:r>
      <w:r w:rsidR="005D7C70" w:rsidRPr="004A27A1">
        <w:rPr>
          <w:rFonts w:cs="Arial"/>
          <w:noProof w:val="0"/>
        </w:rPr>
        <w:t xml:space="preserve"> assurances </w:t>
      </w:r>
      <w:r w:rsidR="0061184F" w:rsidRPr="004A27A1">
        <w:rPr>
          <w:rFonts w:cs="Arial"/>
          <w:noProof w:val="0"/>
        </w:rPr>
        <w:t xml:space="preserve">to </w:t>
      </w:r>
      <w:r w:rsidR="005D7C70" w:rsidRPr="004A27A1">
        <w:rPr>
          <w:rFonts w:cs="Arial"/>
          <w:noProof w:val="0"/>
        </w:rPr>
        <w:t xml:space="preserve">the board, linked to the priorities that enable NICE to best support the health and </w:t>
      </w:r>
      <w:r w:rsidR="0011117B" w:rsidRPr="004A27A1">
        <w:rPr>
          <w:rFonts w:cs="Arial"/>
          <w:noProof w:val="0"/>
        </w:rPr>
        <w:t xml:space="preserve">social </w:t>
      </w:r>
      <w:r w:rsidR="005D7C70" w:rsidRPr="004A27A1">
        <w:rPr>
          <w:rFonts w:cs="Arial"/>
          <w:noProof w:val="0"/>
        </w:rPr>
        <w:t>care system.</w:t>
      </w:r>
    </w:p>
    <w:p w14:paraId="3314B1DF" w14:textId="77777777" w:rsidR="004B4705" w:rsidRPr="004A27A1" w:rsidRDefault="000A103F" w:rsidP="003D3B28">
      <w:pPr>
        <w:pStyle w:val="Heading1boardreport"/>
      </w:pPr>
      <w:r w:rsidRPr="004A27A1">
        <w:t>Board action required</w:t>
      </w:r>
    </w:p>
    <w:p w14:paraId="4C56B71A" w14:textId="102F8955" w:rsidR="00F232B7" w:rsidRPr="004A27A1" w:rsidRDefault="000A103F" w:rsidP="00F232B7">
      <w:pPr>
        <w:pStyle w:val="NICEnormalnumbered"/>
        <w:rPr>
          <w:noProof w:val="0"/>
        </w:rPr>
      </w:pPr>
      <w:r w:rsidRPr="004A27A1">
        <w:rPr>
          <w:noProof w:val="0"/>
        </w:rPr>
        <w:t>The Board is asked to:</w:t>
      </w:r>
    </w:p>
    <w:p w14:paraId="4679927A" w14:textId="0406B688" w:rsidR="009C6E2D" w:rsidRPr="004A27A1" w:rsidRDefault="00F232B7" w:rsidP="00A820E1">
      <w:pPr>
        <w:pStyle w:val="NICEnormalnumbered"/>
        <w:numPr>
          <w:ilvl w:val="1"/>
          <w:numId w:val="25"/>
        </w:numPr>
        <w:rPr>
          <w:noProof w:val="0"/>
        </w:rPr>
      </w:pPr>
      <w:r w:rsidRPr="004A27A1">
        <w:rPr>
          <w:noProof w:val="0"/>
        </w:rPr>
        <w:t xml:space="preserve">Receive the report and </w:t>
      </w:r>
      <w:r w:rsidR="00994875" w:rsidRPr="004A27A1">
        <w:rPr>
          <w:noProof w:val="0"/>
        </w:rPr>
        <w:t xml:space="preserve">take assurance from </w:t>
      </w:r>
      <w:r w:rsidRPr="004A27A1">
        <w:rPr>
          <w:noProof w:val="0"/>
        </w:rPr>
        <w:t xml:space="preserve">the committee’s </w:t>
      </w:r>
      <w:r w:rsidR="00994875" w:rsidRPr="004A27A1">
        <w:rPr>
          <w:noProof w:val="0"/>
        </w:rPr>
        <w:t>a</w:t>
      </w:r>
      <w:r w:rsidRPr="004A27A1">
        <w:rPr>
          <w:noProof w:val="0"/>
        </w:rPr>
        <w:t xml:space="preserve">ssessment of </w:t>
      </w:r>
      <w:r w:rsidR="00994875" w:rsidRPr="004A27A1">
        <w:rPr>
          <w:noProof w:val="0"/>
        </w:rPr>
        <w:t xml:space="preserve">its </w:t>
      </w:r>
      <w:r w:rsidRPr="004A27A1">
        <w:rPr>
          <w:noProof w:val="0"/>
        </w:rPr>
        <w:t>work undertaken in 202</w:t>
      </w:r>
      <w:r w:rsidR="00412583" w:rsidRPr="004A27A1">
        <w:rPr>
          <w:noProof w:val="0"/>
        </w:rPr>
        <w:t>5/26</w:t>
      </w:r>
    </w:p>
    <w:p w14:paraId="40F5215F" w14:textId="6F2FE708" w:rsidR="009C6E2D" w:rsidRPr="004A27A1" w:rsidRDefault="00F232B7" w:rsidP="0016155A">
      <w:pPr>
        <w:pStyle w:val="NICEnormalnumbered"/>
        <w:numPr>
          <w:ilvl w:val="1"/>
          <w:numId w:val="25"/>
        </w:numPr>
        <w:spacing w:line="240" w:lineRule="auto"/>
        <w:ind w:left="1151" w:hanging="357"/>
        <w:rPr>
          <w:noProof w:val="0"/>
        </w:rPr>
      </w:pPr>
      <w:r w:rsidRPr="004A27A1">
        <w:rPr>
          <w:noProof w:val="0"/>
        </w:rPr>
        <w:lastRenderedPageBreak/>
        <w:t>Approve the amendments to the committee’s terms of reference</w:t>
      </w:r>
    </w:p>
    <w:p w14:paraId="170E0531" w14:textId="77777777" w:rsidR="004B4705" w:rsidRPr="004A27A1" w:rsidRDefault="004B4705" w:rsidP="00817F07">
      <w:pPr>
        <w:pStyle w:val="NICEnormal"/>
        <w:spacing w:after="120" w:line="240" w:lineRule="auto"/>
      </w:pPr>
    </w:p>
    <w:p w14:paraId="0FE9EDD0" w14:textId="685ED448" w:rsidR="004B4705" w:rsidRPr="004A27A1" w:rsidRDefault="004B4705" w:rsidP="00FB14CC">
      <w:pPr>
        <w:pStyle w:val="NICEnormal"/>
        <w:spacing w:after="0"/>
      </w:pPr>
      <w:r w:rsidRPr="004A27A1">
        <w:t xml:space="preserve">© NICE </w:t>
      </w:r>
      <w:r w:rsidR="00B45860" w:rsidRPr="004A27A1">
        <w:t>202</w:t>
      </w:r>
      <w:r w:rsidR="00FB14CC" w:rsidRPr="004A27A1">
        <w:t>6</w:t>
      </w:r>
      <w:r w:rsidRPr="004A27A1">
        <w:t xml:space="preserve">. All rights reserved. </w:t>
      </w:r>
      <w:hyperlink r:id="rId7" w:anchor="notice-of-rights" w:history="1">
        <w:r w:rsidRPr="004A27A1">
          <w:rPr>
            <w:rStyle w:val="Hyperlink"/>
          </w:rPr>
          <w:t>Subject to Notice of rights</w:t>
        </w:r>
      </w:hyperlink>
      <w:r w:rsidRPr="004A27A1">
        <w:t>.</w:t>
      </w:r>
    </w:p>
    <w:p w14:paraId="1C550334" w14:textId="37DB9077" w:rsidR="0071590C" w:rsidRPr="004A27A1" w:rsidRDefault="005E0F5A" w:rsidP="004511A7">
      <w:pPr>
        <w:pStyle w:val="NICEnormal"/>
      </w:pPr>
      <w:r w:rsidRPr="004A27A1">
        <w:t>May</w:t>
      </w:r>
      <w:r w:rsidR="00B45860" w:rsidRPr="004A27A1">
        <w:t xml:space="preserve"> 202</w:t>
      </w:r>
      <w:r w:rsidR="00412583" w:rsidRPr="004A27A1">
        <w:t>6</w:t>
      </w:r>
    </w:p>
    <w:p w14:paraId="53DDBAD2" w14:textId="77777777" w:rsidR="001916E1" w:rsidRPr="004A27A1" w:rsidRDefault="001916E1">
      <w:pPr>
        <w:rPr>
          <w:rFonts w:ascii="Arial" w:hAnsi="Arial" w:cs="Arial"/>
          <w:b/>
          <w:bCs/>
          <w:kern w:val="32"/>
        </w:rPr>
      </w:pPr>
      <w:r w:rsidRPr="004A27A1">
        <w:br w:type="page"/>
      </w:r>
    </w:p>
    <w:p w14:paraId="2EAC6115" w14:textId="5C1CB1CC" w:rsidR="00CA47DA" w:rsidRPr="004A27A1" w:rsidRDefault="00CA47DA" w:rsidP="00CA47DA">
      <w:pPr>
        <w:pStyle w:val="Heading1"/>
        <w:spacing w:after="240"/>
        <w:jc w:val="right"/>
        <w:rPr>
          <w:sz w:val="24"/>
          <w:szCs w:val="24"/>
        </w:rPr>
      </w:pPr>
      <w:r w:rsidRPr="004A27A1">
        <w:rPr>
          <w:sz w:val="24"/>
          <w:szCs w:val="24"/>
        </w:rPr>
        <w:lastRenderedPageBreak/>
        <w:t>Appendix B</w:t>
      </w:r>
    </w:p>
    <w:p w14:paraId="33445635" w14:textId="6BE4415C" w:rsidR="00CA47DA" w:rsidRPr="004A27A1" w:rsidRDefault="00CA47DA" w:rsidP="00CA47DA">
      <w:pPr>
        <w:pStyle w:val="Heading1"/>
        <w:spacing w:after="240"/>
        <w:rPr>
          <w:b w:val="0"/>
        </w:rPr>
      </w:pPr>
      <w:r w:rsidRPr="004A27A1">
        <w:t>The role and operation of the Audit and Risk Committee</w:t>
      </w:r>
    </w:p>
    <w:p w14:paraId="22387201" w14:textId="77777777" w:rsidR="00CA47DA" w:rsidRPr="004A27A1" w:rsidRDefault="00CA47DA" w:rsidP="001F3AFC">
      <w:pPr>
        <w:pStyle w:val="ListParagraph"/>
        <w:numPr>
          <w:ilvl w:val="0"/>
          <w:numId w:val="31"/>
        </w:numPr>
        <w:spacing w:after="120"/>
        <w:ind w:left="567" w:hanging="567"/>
        <w:contextualSpacing w:val="0"/>
        <w:rPr>
          <w:rFonts w:ascii="Arial" w:hAnsi="Arial" w:cs="Arial"/>
        </w:rPr>
      </w:pPr>
      <w:r w:rsidRPr="004A27A1">
        <w:rPr>
          <w:rFonts w:ascii="Arial" w:hAnsi="Arial" w:cs="Arial"/>
        </w:rPr>
        <w:t>The members of the committee during the period of the report were as follows:</w:t>
      </w:r>
    </w:p>
    <w:p w14:paraId="70D73808" w14:textId="11D9F952" w:rsidR="00CA47DA" w:rsidRPr="004A27A1" w:rsidRDefault="00CA47DA" w:rsidP="007074B3">
      <w:pPr>
        <w:pStyle w:val="BodyTextIndent3"/>
        <w:tabs>
          <w:tab w:val="left" w:pos="1134"/>
        </w:tabs>
        <w:spacing w:after="120"/>
        <w:rPr>
          <w:rFonts w:cs="Arial"/>
          <w:u w:val="none"/>
        </w:rPr>
      </w:pPr>
      <w:r w:rsidRPr="004A27A1">
        <w:rPr>
          <w:rFonts w:cs="Arial"/>
          <w:u w:val="none"/>
        </w:rPr>
        <w:t>Alina Lourie</w:t>
      </w:r>
      <w:r w:rsidRPr="004A27A1">
        <w:rPr>
          <w:rFonts w:cs="Arial"/>
          <w:u w:val="none"/>
        </w:rPr>
        <w:tab/>
      </w:r>
      <w:r w:rsidRPr="004A27A1">
        <w:rPr>
          <w:rFonts w:cs="Arial"/>
          <w:u w:val="none"/>
        </w:rPr>
        <w:tab/>
      </w:r>
      <w:r w:rsidRPr="004A27A1">
        <w:rPr>
          <w:rFonts w:cs="Arial"/>
          <w:u w:val="none"/>
        </w:rPr>
        <w:tab/>
      </w:r>
      <w:r w:rsidR="007074B3" w:rsidRPr="004A27A1">
        <w:rPr>
          <w:rFonts w:cs="Arial"/>
          <w:u w:val="none"/>
        </w:rPr>
        <w:t>appointed</w:t>
      </w:r>
      <w:r w:rsidRPr="004A27A1">
        <w:rPr>
          <w:rFonts w:cs="Arial"/>
          <w:u w:val="none"/>
        </w:rPr>
        <w:t xml:space="preserve"> 01/04/2021</w:t>
      </w:r>
      <w:r w:rsidR="00BA205A" w:rsidRPr="004A27A1">
        <w:rPr>
          <w:rFonts w:cs="Arial"/>
          <w:u w:val="none"/>
        </w:rPr>
        <w:t xml:space="preserve"> (until </w:t>
      </w:r>
      <w:r w:rsidR="003C3A01" w:rsidRPr="004A27A1">
        <w:rPr>
          <w:rFonts w:cs="Arial"/>
          <w:u w:val="none"/>
        </w:rPr>
        <w:t>March</w:t>
      </w:r>
      <w:r w:rsidR="00BA205A" w:rsidRPr="004A27A1">
        <w:rPr>
          <w:rFonts w:cs="Arial"/>
          <w:u w:val="none"/>
        </w:rPr>
        <w:t xml:space="preserve"> 2026)</w:t>
      </w:r>
    </w:p>
    <w:p w14:paraId="63ED7115" w14:textId="399A7380" w:rsidR="00CA47DA" w:rsidRPr="004A27A1" w:rsidRDefault="00CA47DA" w:rsidP="007074B3">
      <w:pPr>
        <w:pStyle w:val="BodyTextIndent3"/>
        <w:tabs>
          <w:tab w:val="left" w:pos="1134"/>
        </w:tabs>
        <w:spacing w:after="120"/>
        <w:rPr>
          <w:rFonts w:cs="Arial"/>
          <w:u w:val="none"/>
        </w:rPr>
      </w:pPr>
      <w:r w:rsidRPr="004A27A1">
        <w:rPr>
          <w:rFonts w:cs="Arial"/>
          <w:u w:val="none"/>
        </w:rPr>
        <w:t>Mark Chakravarty</w:t>
      </w:r>
      <w:r w:rsidRPr="004A27A1">
        <w:rPr>
          <w:rFonts w:cs="Arial"/>
          <w:u w:val="none"/>
        </w:rPr>
        <w:tab/>
      </w:r>
      <w:r w:rsidRPr="004A27A1">
        <w:rPr>
          <w:rFonts w:cs="Arial"/>
          <w:u w:val="none"/>
        </w:rPr>
        <w:tab/>
      </w:r>
      <w:r w:rsidR="007074B3" w:rsidRPr="004A27A1">
        <w:rPr>
          <w:rFonts w:cs="Arial"/>
          <w:u w:val="none"/>
        </w:rPr>
        <w:t xml:space="preserve">appointed </w:t>
      </w:r>
      <w:r w:rsidRPr="004A27A1">
        <w:rPr>
          <w:rFonts w:cs="Arial"/>
          <w:u w:val="none"/>
        </w:rPr>
        <w:t>01/04/2021</w:t>
      </w:r>
    </w:p>
    <w:p w14:paraId="60EDE5E7" w14:textId="3A9DA2C1" w:rsidR="00CA47DA" w:rsidRPr="004A27A1" w:rsidRDefault="00CA47DA" w:rsidP="007074B3">
      <w:pPr>
        <w:pStyle w:val="BodyTextIndent3"/>
        <w:tabs>
          <w:tab w:val="left" w:pos="1134"/>
        </w:tabs>
        <w:spacing w:after="120"/>
        <w:rPr>
          <w:rFonts w:cs="Arial"/>
          <w:u w:val="none"/>
        </w:rPr>
      </w:pPr>
      <w:r w:rsidRPr="004A27A1">
        <w:rPr>
          <w:rFonts w:cs="Arial"/>
          <w:u w:val="none"/>
        </w:rPr>
        <w:t>Justin Whatling</w:t>
      </w:r>
      <w:r w:rsidRPr="004A27A1">
        <w:rPr>
          <w:rFonts w:cs="Arial"/>
          <w:u w:val="none"/>
        </w:rPr>
        <w:tab/>
      </w:r>
      <w:r w:rsidRPr="004A27A1">
        <w:rPr>
          <w:rFonts w:cs="Arial"/>
          <w:u w:val="none"/>
        </w:rPr>
        <w:tab/>
      </w:r>
      <w:r w:rsidR="007074B3" w:rsidRPr="004A27A1">
        <w:rPr>
          <w:rFonts w:cs="Arial"/>
          <w:u w:val="none"/>
        </w:rPr>
        <w:t xml:space="preserve">appointed </w:t>
      </w:r>
      <w:r w:rsidRPr="004A27A1">
        <w:rPr>
          <w:rFonts w:cs="Arial"/>
          <w:u w:val="none"/>
        </w:rPr>
        <w:t>01/04/2021</w:t>
      </w:r>
    </w:p>
    <w:p w14:paraId="19752C40" w14:textId="60F938FB" w:rsidR="00BC43C3" w:rsidRPr="004A27A1" w:rsidRDefault="00BC43C3" w:rsidP="007074B3">
      <w:pPr>
        <w:pStyle w:val="BodyTextIndent3"/>
        <w:tabs>
          <w:tab w:val="left" w:pos="1134"/>
        </w:tabs>
        <w:spacing w:after="120"/>
        <w:rPr>
          <w:rFonts w:cs="Arial"/>
          <w:u w:val="none"/>
        </w:rPr>
      </w:pPr>
      <w:r w:rsidRPr="004A27A1">
        <w:rPr>
          <w:rFonts w:cs="Arial"/>
          <w:u w:val="none"/>
        </w:rPr>
        <w:t>Keith Ridge</w:t>
      </w:r>
      <w:r w:rsidRPr="004A27A1">
        <w:rPr>
          <w:rFonts w:cs="Arial"/>
          <w:u w:val="none"/>
        </w:rPr>
        <w:tab/>
      </w:r>
      <w:r w:rsidRPr="004A27A1">
        <w:rPr>
          <w:rFonts w:cs="Arial"/>
          <w:u w:val="none"/>
        </w:rPr>
        <w:tab/>
      </w:r>
      <w:r w:rsidRPr="004A27A1">
        <w:rPr>
          <w:rFonts w:cs="Arial"/>
          <w:u w:val="none"/>
        </w:rPr>
        <w:tab/>
        <w:t xml:space="preserve">appointed </w:t>
      </w:r>
      <w:r w:rsidR="00B969D3" w:rsidRPr="004A27A1">
        <w:rPr>
          <w:rFonts w:cs="Arial"/>
          <w:u w:val="none"/>
        </w:rPr>
        <w:t>01/07/2025</w:t>
      </w:r>
    </w:p>
    <w:p w14:paraId="6AF26ED8" w14:textId="2D0CB7A9" w:rsidR="00BC43C3" w:rsidRPr="004A27A1" w:rsidRDefault="00BC43C3" w:rsidP="007074B3">
      <w:pPr>
        <w:pStyle w:val="BodyTextIndent3"/>
        <w:tabs>
          <w:tab w:val="left" w:pos="1134"/>
        </w:tabs>
        <w:spacing w:after="120"/>
        <w:rPr>
          <w:rFonts w:cs="Arial"/>
          <w:u w:val="none"/>
        </w:rPr>
      </w:pPr>
      <w:r w:rsidRPr="004A27A1">
        <w:rPr>
          <w:rFonts w:cs="Arial"/>
          <w:u w:val="none"/>
        </w:rPr>
        <w:t>Frank Smith</w:t>
      </w:r>
      <w:r w:rsidRPr="004A27A1">
        <w:rPr>
          <w:rFonts w:cs="Arial"/>
          <w:u w:val="none"/>
        </w:rPr>
        <w:tab/>
      </w:r>
      <w:r w:rsidRPr="004A27A1">
        <w:rPr>
          <w:rFonts w:cs="Arial"/>
          <w:u w:val="none"/>
        </w:rPr>
        <w:tab/>
      </w:r>
      <w:r w:rsidRPr="004A27A1">
        <w:rPr>
          <w:rFonts w:cs="Arial"/>
          <w:u w:val="none"/>
        </w:rPr>
        <w:tab/>
        <w:t>appointed</w:t>
      </w:r>
      <w:r w:rsidR="00B969D3" w:rsidRPr="004A27A1">
        <w:rPr>
          <w:rFonts w:cs="Arial"/>
          <w:u w:val="none"/>
        </w:rPr>
        <w:t xml:space="preserve"> 01/07/2025</w:t>
      </w:r>
    </w:p>
    <w:p w14:paraId="2199B041" w14:textId="4C798FFE" w:rsidR="00CA47DA" w:rsidRPr="004A27A1" w:rsidRDefault="00CA47DA" w:rsidP="007074B3">
      <w:pPr>
        <w:pStyle w:val="BodyTextIndent3"/>
        <w:tabs>
          <w:tab w:val="left" w:pos="1134"/>
        </w:tabs>
        <w:spacing w:after="120"/>
        <w:rPr>
          <w:rFonts w:cs="Arial"/>
          <w:u w:val="none"/>
        </w:rPr>
      </w:pPr>
      <w:r w:rsidRPr="004A27A1">
        <w:rPr>
          <w:rFonts w:cs="Arial"/>
          <w:u w:val="none"/>
        </w:rPr>
        <w:t>Amanda Gibbon</w:t>
      </w:r>
      <w:r w:rsidRPr="004A27A1">
        <w:rPr>
          <w:rFonts w:cs="Arial"/>
          <w:u w:val="none"/>
        </w:rPr>
        <w:tab/>
      </w:r>
      <w:r w:rsidRPr="004A27A1">
        <w:rPr>
          <w:rFonts w:cs="Arial"/>
          <w:u w:val="none"/>
        </w:rPr>
        <w:tab/>
      </w:r>
      <w:r w:rsidR="007074B3" w:rsidRPr="004A27A1">
        <w:rPr>
          <w:rFonts w:cs="Arial"/>
          <w:u w:val="none"/>
        </w:rPr>
        <w:t xml:space="preserve">appointed </w:t>
      </w:r>
      <w:r w:rsidRPr="004A27A1">
        <w:rPr>
          <w:rFonts w:cs="Arial"/>
          <w:u w:val="none"/>
        </w:rPr>
        <w:t>01/03/2021</w:t>
      </w:r>
      <w:r w:rsidR="00275AE5" w:rsidRPr="004A27A1">
        <w:rPr>
          <w:rFonts w:cs="Arial"/>
          <w:u w:val="none"/>
        </w:rPr>
        <w:t xml:space="preserve"> (independent member)</w:t>
      </w:r>
    </w:p>
    <w:p w14:paraId="200B5F38" w14:textId="77777777" w:rsidR="00CA47DA" w:rsidRPr="004A27A1" w:rsidRDefault="00CA47DA" w:rsidP="00CA47DA">
      <w:pPr>
        <w:pStyle w:val="BodyTextIndent3"/>
        <w:spacing w:after="120"/>
        <w:ind w:left="360"/>
        <w:rPr>
          <w:rFonts w:cs="Arial"/>
          <w:u w:val="none"/>
        </w:rPr>
      </w:pPr>
    </w:p>
    <w:p w14:paraId="6F50A442" w14:textId="73DF7891" w:rsidR="00CA47DA" w:rsidRPr="004A27A1" w:rsidRDefault="00CA47DA" w:rsidP="004B10A6">
      <w:pPr>
        <w:pStyle w:val="ListParagraph"/>
        <w:numPr>
          <w:ilvl w:val="0"/>
          <w:numId w:val="31"/>
        </w:numPr>
        <w:spacing w:after="240" w:line="360" w:lineRule="auto"/>
        <w:ind w:left="567" w:hanging="567"/>
        <w:contextualSpacing w:val="0"/>
        <w:rPr>
          <w:rFonts w:ascii="Arial" w:hAnsi="Arial" w:cs="Arial"/>
        </w:rPr>
      </w:pPr>
      <w:r w:rsidRPr="004A27A1">
        <w:rPr>
          <w:rFonts w:ascii="Arial" w:hAnsi="Arial" w:cs="Arial"/>
        </w:rPr>
        <w:t>No members declared any conflicts of interests in any of the agenda items during the year.</w:t>
      </w:r>
    </w:p>
    <w:p w14:paraId="03BA6BAB" w14:textId="77777777" w:rsidR="00CA47DA" w:rsidRPr="004A27A1" w:rsidRDefault="00CA47DA" w:rsidP="004B10A6">
      <w:pPr>
        <w:pStyle w:val="ListParagraph"/>
        <w:numPr>
          <w:ilvl w:val="0"/>
          <w:numId w:val="31"/>
        </w:numPr>
        <w:spacing w:after="240" w:line="360" w:lineRule="auto"/>
        <w:ind w:left="567" w:hanging="567"/>
        <w:contextualSpacing w:val="0"/>
        <w:rPr>
          <w:rFonts w:ascii="Arial" w:hAnsi="Arial" w:cs="Arial"/>
        </w:rPr>
      </w:pPr>
      <w:r w:rsidRPr="004A27A1">
        <w:rPr>
          <w:rFonts w:ascii="Arial" w:hAnsi="Arial" w:cs="Arial"/>
        </w:rPr>
        <w:t>The following managers attend the committee meetings regularly to support it, present reports, respond to audit reports and answer queries from the committee:</w:t>
      </w:r>
    </w:p>
    <w:p w14:paraId="687ABAE6" w14:textId="6CE9F9C8" w:rsidR="005D7FB1" w:rsidRPr="004A27A1" w:rsidRDefault="005D7FB1" w:rsidP="005D7FB1">
      <w:pPr>
        <w:pStyle w:val="BodyTextIndent3"/>
        <w:spacing w:after="120"/>
        <w:ind w:left="360" w:firstLine="774"/>
        <w:rPr>
          <w:rFonts w:cs="Arial"/>
          <w:u w:val="none"/>
        </w:rPr>
      </w:pPr>
      <w:r w:rsidRPr="004A27A1">
        <w:rPr>
          <w:rFonts w:cs="Arial"/>
          <w:u w:val="none"/>
        </w:rPr>
        <w:t>Jonathan Benger</w:t>
      </w:r>
      <w:r w:rsidRPr="004A27A1">
        <w:rPr>
          <w:rFonts w:cs="Arial"/>
          <w:u w:val="none"/>
        </w:rPr>
        <w:tab/>
        <w:t>Chief executive (from December 2025)</w:t>
      </w:r>
    </w:p>
    <w:p w14:paraId="2FFEE009" w14:textId="2E71DF3F" w:rsidR="005D7FB1" w:rsidRPr="004A27A1" w:rsidRDefault="00CA47DA" w:rsidP="00CA47DA">
      <w:pPr>
        <w:pStyle w:val="BodyTextIndent3"/>
        <w:spacing w:after="120"/>
        <w:ind w:left="360" w:firstLine="774"/>
        <w:rPr>
          <w:rFonts w:cs="Arial"/>
          <w:u w:val="none"/>
        </w:rPr>
      </w:pPr>
      <w:r w:rsidRPr="004A27A1">
        <w:rPr>
          <w:rFonts w:cs="Arial"/>
          <w:u w:val="none"/>
        </w:rPr>
        <w:t>Sam Roberts</w:t>
      </w:r>
      <w:r w:rsidR="005D7FB1" w:rsidRPr="004A27A1">
        <w:rPr>
          <w:rFonts w:cs="Arial"/>
          <w:u w:val="none"/>
        </w:rPr>
        <w:tab/>
      </w:r>
      <w:r w:rsidR="005D7FB1" w:rsidRPr="004A27A1">
        <w:rPr>
          <w:rFonts w:cs="Arial"/>
          <w:u w:val="none"/>
        </w:rPr>
        <w:tab/>
        <w:t>Chief executive (until December 2025)</w:t>
      </w:r>
    </w:p>
    <w:p w14:paraId="3E389AE9" w14:textId="5FEBD54F" w:rsidR="00E44244" w:rsidRPr="004A27A1" w:rsidRDefault="00E44244" w:rsidP="00275AE5">
      <w:pPr>
        <w:pStyle w:val="BodyTextIndent3"/>
        <w:spacing w:after="120"/>
        <w:ind w:left="3544" w:hanging="2410"/>
        <w:rPr>
          <w:rFonts w:cs="Arial"/>
          <w:u w:val="none"/>
        </w:rPr>
      </w:pPr>
      <w:r w:rsidRPr="004A27A1">
        <w:rPr>
          <w:rFonts w:cs="Arial"/>
          <w:u w:val="none"/>
        </w:rPr>
        <w:t>Pete Thomas</w:t>
      </w:r>
      <w:r w:rsidR="00657A68" w:rsidRPr="004A27A1">
        <w:rPr>
          <w:rFonts w:cs="Arial"/>
          <w:u w:val="none"/>
        </w:rPr>
        <w:tab/>
      </w:r>
      <w:r w:rsidR="00414F8C" w:rsidRPr="004A27A1">
        <w:rPr>
          <w:rFonts w:cs="Arial"/>
          <w:u w:val="none"/>
        </w:rPr>
        <w:t xml:space="preserve"> </w:t>
      </w:r>
      <w:r w:rsidR="00AC2BEB" w:rsidRPr="004A27A1">
        <w:rPr>
          <w:rFonts w:cs="Arial"/>
          <w:u w:val="none"/>
        </w:rPr>
        <w:t>Director, finance</w:t>
      </w:r>
    </w:p>
    <w:p w14:paraId="580ACAF1" w14:textId="77777777" w:rsidR="00CA47DA" w:rsidRPr="004A27A1" w:rsidRDefault="00CA47DA" w:rsidP="00CA47DA">
      <w:pPr>
        <w:pStyle w:val="BodyTextIndent3"/>
        <w:spacing w:after="120"/>
        <w:ind w:left="360" w:firstLine="774"/>
        <w:rPr>
          <w:rFonts w:cs="Arial"/>
          <w:u w:val="none"/>
        </w:rPr>
      </w:pPr>
      <w:r w:rsidRPr="004A27A1">
        <w:rPr>
          <w:rFonts w:cs="Arial"/>
          <w:u w:val="none"/>
        </w:rPr>
        <w:t xml:space="preserve">Barney Wilkinson </w:t>
      </w:r>
      <w:r w:rsidRPr="004A27A1">
        <w:rPr>
          <w:rFonts w:cs="Arial"/>
          <w:u w:val="none"/>
        </w:rPr>
        <w:tab/>
        <w:t>Associate director – procurement</w:t>
      </w:r>
    </w:p>
    <w:p w14:paraId="31186D06" w14:textId="77777777" w:rsidR="00CA47DA" w:rsidRPr="004A27A1" w:rsidRDefault="00CA47DA" w:rsidP="00CA47DA">
      <w:pPr>
        <w:pStyle w:val="BodyTextIndent3"/>
        <w:spacing w:after="120"/>
        <w:ind w:left="360" w:firstLine="774"/>
        <w:rPr>
          <w:rFonts w:cs="Arial"/>
          <w:u w:val="none"/>
        </w:rPr>
      </w:pPr>
      <w:r w:rsidRPr="004A27A1">
        <w:rPr>
          <w:rFonts w:cs="Arial"/>
          <w:u w:val="none"/>
        </w:rPr>
        <w:t>David Coombs</w:t>
      </w:r>
      <w:r w:rsidRPr="004A27A1">
        <w:rPr>
          <w:rFonts w:cs="Arial"/>
          <w:u w:val="none"/>
        </w:rPr>
        <w:tab/>
      </w:r>
      <w:r w:rsidRPr="004A27A1">
        <w:rPr>
          <w:rFonts w:cs="Arial"/>
          <w:u w:val="none"/>
        </w:rPr>
        <w:tab/>
        <w:t>Associate director – corporate office</w:t>
      </w:r>
    </w:p>
    <w:p w14:paraId="111B411F" w14:textId="6B64CCE5" w:rsidR="00CA47DA" w:rsidRPr="004A27A1" w:rsidRDefault="00CA47DA" w:rsidP="00275AE5">
      <w:pPr>
        <w:pStyle w:val="BodyTextIndent3"/>
        <w:spacing w:after="120"/>
        <w:ind w:left="2164" w:hanging="1030"/>
        <w:rPr>
          <w:rFonts w:cs="Arial"/>
          <w:u w:val="none"/>
        </w:rPr>
      </w:pPr>
      <w:r w:rsidRPr="004A27A1">
        <w:rPr>
          <w:rFonts w:cs="Arial"/>
          <w:u w:val="none"/>
        </w:rPr>
        <w:t>Ehtisham</w:t>
      </w:r>
      <w:r w:rsidRPr="004A27A1">
        <w:rPr>
          <w:rFonts w:cs="Arial"/>
          <w:u w:val="none"/>
        </w:rPr>
        <w:tab/>
        <w:t>Ramzan</w:t>
      </w:r>
      <w:r w:rsidRPr="004A27A1">
        <w:rPr>
          <w:rFonts w:cs="Arial"/>
          <w:u w:val="none"/>
        </w:rPr>
        <w:tab/>
        <w:t>Head of financial accounting</w:t>
      </w:r>
      <w:r w:rsidR="00931C7F" w:rsidRPr="004A27A1">
        <w:rPr>
          <w:rFonts w:cs="Arial"/>
          <w:u w:val="none"/>
        </w:rPr>
        <w:t xml:space="preserve"> (until February 2026)</w:t>
      </w:r>
    </w:p>
    <w:p w14:paraId="5D9DEFBE" w14:textId="77777777" w:rsidR="00CA47DA" w:rsidRPr="004A27A1" w:rsidRDefault="00CA47DA" w:rsidP="00CA47DA">
      <w:pPr>
        <w:pStyle w:val="BodyTextIndent3"/>
        <w:spacing w:after="120"/>
        <w:ind w:left="3600" w:hanging="2466"/>
        <w:rPr>
          <w:rFonts w:cs="Arial"/>
          <w:u w:val="none"/>
        </w:rPr>
      </w:pPr>
      <w:r w:rsidRPr="004A27A1">
        <w:rPr>
          <w:rFonts w:cs="Arial"/>
          <w:u w:val="none"/>
        </w:rPr>
        <w:t>Elaine Repton</w:t>
      </w:r>
      <w:r w:rsidRPr="004A27A1">
        <w:rPr>
          <w:rFonts w:cs="Arial"/>
          <w:u w:val="none"/>
        </w:rPr>
        <w:tab/>
        <w:t>Corporate governance &amp; risk manager (committee secretary)</w:t>
      </w:r>
    </w:p>
    <w:p w14:paraId="0F032FAE" w14:textId="77777777" w:rsidR="00CA47DA" w:rsidRPr="004A27A1" w:rsidRDefault="00CA47DA" w:rsidP="00CA47DA">
      <w:pPr>
        <w:spacing w:after="120"/>
        <w:ind w:left="360" w:firstLine="774"/>
        <w:rPr>
          <w:rFonts w:ascii="Arial" w:hAnsi="Arial" w:cs="Arial"/>
        </w:rPr>
      </w:pPr>
      <w:r w:rsidRPr="004A27A1">
        <w:rPr>
          <w:rFonts w:ascii="Arial" w:hAnsi="Arial" w:cs="Arial"/>
        </w:rPr>
        <w:t>Other senior managers attend as and when for specific items as required.</w:t>
      </w:r>
    </w:p>
    <w:p w14:paraId="0848F005" w14:textId="77777777" w:rsidR="00CA47DA" w:rsidRPr="004A27A1" w:rsidRDefault="00CA47DA" w:rsidP="00CA47DA">
      <w:pPr>
        <w:rPr>
          <w:rFonts w:ascii="Arial" w:hAnsi="Arial" w:cs="Arial"/>
        </w:rPr>
      </w:pPr>
    </w:p>
    <w:p w14:paraId="712CA011" w14:textId="366DE849" w:rsidR="00CA47DA" w:rsidRPr="004A27A1" w:rsidRDefault="00CA47DA" w:rsidP="00CA47DA">
      <w:pPr>
        <w:pStyle w:val="ListParagraph"/>
        <w:numPr>
          <w:ilvl w:val="0"/>
          <w:numId w:val="31"/>
        </w:numPr>
        <w:spacing w:after="120"/>
        <w:ind w:left="567" w:hanging="567"/>
        <w:contextualSpacing w:val="0"/>
        <w:rPr>
          <w:rFonts w:ascii="Arial" w:hAnsi="Arial" w:cs="Arial"/>
        </w:rPr>
      </w:pPr>
      <w:r w:rsidRPr="004A27A1">
        <w:rPr>
          <w:rFonts w:ascii="Arial" w:hAnsi="Arial" w:cs="Arial"/>
        </w:rPr>
        <w:t>Representatives also attend</w:t>
      </w:r>
      <w:r w:rsidR="004B10A6" w:rsidRPr="004A27A1">
        <w:rPr>
          <w:rFonts w:ascii="Arial" w:hAnsi="Arial" w:cs="Arial"/>
        </w:rPr>
        <w:t>ed</w:t>
      </w:r>
      <w:r w:rsidRPr="004A27A1">
        <w:rPr>
          <w:rFonts w:ascii="Arial" w:hAnsi="Arial" w:cs="Arial"/>
        </w:rPr>
        <w:t xml:space="preserve"> from:</w:t>
      </w:r>
    </w:p>
    <w:p w14:paraId="5805AB7A" w14:textId="77777777" w:rsidR="00CA47DA" w:rsidRPr="004A27A1" w:rsidRDefault="00CA47DA" w:rsidP="00CA47DA">
      <w:pPr>
        <w:pStyle w:val="BodyTextIndent3"/>
        <w:spacing w:after="120"/>
        <w:ind w:left="360" w:firstLine="774"/>
        <w:jc w:val="both"/>
        <w:rPr>
          <w:rFonts w:cs="Arial"/>
          <w:u w:val="none"/>
        </w:rPr>
      </w:pPr>
      <w:r w:rsidRPr="004A27A1">
        <w:rPr>
          <w:rFonts w:cs="Arial"/>
          <w:u w:val="none"/>
        </w:rPr>
        <w:t>Internal audit</w:t>
      </w:r>
      <w:r w:rsidRPr="004A27A1">
        <w:rPr>
          <w:rFonts w:cs="Arial"/>
          <w:u w:val="none"/>
        </w:rPr>
        <w:tab/>
      </w:r>
      <w:r w:rsidRPr="004A27A1">
        <w:rPr>
          <w:rFonts w:cs="Arial"/>
          <w:u w:val="none"/>
        </w:rPr>
        <w:tab/>
        <w:t xml:space="preserve">The Government Internal Audit Agency </w:t>
      </w:r>
    </w:p>
    <w:p w14:paraId="6C905889" w14:textId="77777777" w:rsidR="00CA47DA" w:rsidRPr="004A27A1" w:rsidRDefault="00CA47DA" w:rsidP="00CA47DA">
      <w:pPr>
        <w:pStyle w:val="BodyTextIndent3"/>
        <w:spacing w:after="120"/>
        <w:ind w:left="360" w:firstLine="774"/>
        <w:rPr>
          <w:rFonts w:cs="Arial"/>
          <w:u w:val="none"/>
        </w:rPr>
      </w:pPr>
      <w:r w:rsidRPr="004A27A1">
        <w:rPr>
          <w:rFonts w:cs="Arial"/>
          <w:u w:val="none"/>
        </w:rPr>
        <w:t xml:space="preserve">External audit </w:t>
      </w:r>
      <w:r w:rsidRPr="004A27A1">
        <w:rPr>
          <w:rFonts w:cs="Arial"/>
          <w:u w:val="none"/>
        </w:rPr>
        <w:tab/>
      </w:r>
      <w:r w:rsidRPr="004A27A1">
        <w:rPr>
          <w:rFonts w:cs="Arial"/>
          <w:u w:val="none"/>
        </w:rPr>
        <w:tab/>
        <w:t>The National Audit Office &amp; KPMG</w:t>
      </w:r>
    </w:p>
    <w:p w14:paraId="78A16B37" w14:textId="77777777" w:rsidR="00CA47DA" w:rsidRPr="004A27A1" w:rsidRDefault="00CA47DA" w:rsidP="00CA47DA">
      <w:pPr>
        <w:spacing w:after="240"/>
        <w:ind w:left="357" w:firstLine="777"/>
        <w:rPr>
          <w:rFonts w:ascii="Arial" w:hAnsi="Arial" w:cs="Arial"/>
        </w:rPr>
      </w:pPr>
      <w:r w:rsidRPr="004A27A1">
        <w:rPr>
          <w:rFonts w:ascii="Arial" w:hAnsi="Arial" w:cs="Arial"/>
        </w:rPr>
        <w:t>DHSC</w:t>
      </w:r>
      <w:r w:rsidRPr="004A27A1">
        <w:rPr>
          <w:rFonts w:ascii="Arial" w:hAnsi="Arial" w:cs="Arial"/>
        </w:rPr>
        <w:tab/>
      </w:r>
      <w:r w:rsidRPr="004A27A1">
        <w:rPr>
          <w:rFonts w:ascii="Arial" w:hAnsi="Arial" w:cs="Arial"/>
        </w:rPr>
        <w:tab/>
      </w:r>
      <w:r w:rsidRPr="004A27A1">
        <w:rPr>
          <w:rFonts w:ascii="Arial" w:hAnsi="Arial" w:cs="Arial"/>
        </w:rPr>
        <w:tab/>
        <w:t>NICE Sponsor Team</w:t>
      </w:r>
    </w:p>
    <w:p w14:paraId="639B091A" w14:textId="44840FCF" w:rsidR="00CA47DA" w:rsidRPr="004A27A1" w:rsidRDefault="00CA47DA" w:rsidP="00CA47DA">
      <w:pPr>
        <w:pStyle w:val="ListParagraph"/>
        <w:numPr>
          <w:ilvl w:val="0"/>
          <w:numId w:val="31"/>
        </w:numPr>
        <w:spacing w:after="120" w:line="360" w:lineRule="auto"/>
        <w:ind w:left="567" w:hanging="567"/>
        <w:contextualSpacing w:val="0"/>
        <w:rPr>
          <w:rFonts w:ascii="Arial" w:hAnsi="Arial" w:cs="Arial"/>
        </w:rPr>
      </w:pPr>
      <w:r w:rsidRPr="004A27A1">
        <w:rPr>
          <w:rFonts w:ascii="Arial" w:hAnsi="Arial" w:cs="Arial"/>
        </w:rPr>
        <w:t xml:space="preserve">It has been the committee’s normal practice to hold a private discussion at the start of each meeting between the auditors and members of the committee without the management present. This is to give the auditors </w:t>
      </w:r>
      <w:r w:rsidR="00074234" w:rsidRPr="004A27A1">
        <w:rPr>
          <w:rFonts w:ascii="Arial" w:hAnsi="Arial" w:cs="Arial"/>
        </w:rPr>
        <w:t xml:space="preserve">and members </w:t>
      </w:r>
      <w:r w:rsidRPr="004A27A1">
        <w:rPr>
          <w:rFonts w:ascii="Arial" w:hAnsi="Arial" w:cs="Arial"/>
        </w:rPr>
        <w:t xml:space="preserve">an </w:t>
      </w:r>
      <w:r w:rsidRPr="004A27A1">
        <w:rPr>
          <w:rFonts w:ascii="Arial" w:hAnsi="Arial" w:cs="Arial"/>
        </w:rPr>
        <w:lastRenderedPageBreak/>
        <w:t>opportunity to raise any matters of concern without management present.</w:t>
      </w:r>
      <w:r w:rsidR="004B10A6" w:rsidRPr="004A27A1">
        <w:rPr>
          <w:rFonts w:ascii="Arial" w:hAnsi="Arial" w:cs="Arial"/>
        </w:rPr>
        <w:t xml:space="preserve">  No issues of concern were raised </w:t>
      </w:r>
      <w:r w:rsidR="00882019" w:rsidRPr="004A27A1">
        <w:rPr>
          <w:rFonts w:ascii="Arial" w:hAnsi="Arial" w:cs="Arial"/>
        </w:rPr>
        <w:t xml:space="preserve">by the auditors or </w:t>
      </w:r>
      <w:r w:rsidR="009645CA" w:rsidRPr="004A27A1">
        <w:rPr>
          <w:rFonts w:ascii="Arial" w:hAnsi="Arial" w:cs="Arial"/>
        </w:rPr>
        <w:t>members</w:t>
      </w:r>
      <w:r w:rsidR="00882019" w:rsidRPr="004A27A1">
        <w:rPr>
          <w:rFonts w:ascii="Arial" w:hAnsi="Arial" w:cs="Arial"/>
        </w:rPr>
        <w:t xml:space="preserve"> </w:t>
      </w:r>
      <w:r w:rsidR="004B10A6" w:rsidRPr="004A27A1">
        <w:rPr>
          <w:rFonts w:ascii="Arial" w:hAnsi="Arial" w:cs="Arial"/>
        </w:rPr>
        <w:t>which required management action to be taken.</w:t>
      </w:r>
    </w:p>
    <w:p w14:paraId="4E872EF3" w14:textId="06237F36" w:rsidR="00CA47DA" w:rsidRPr="004A27A1" w:rsidRDefault="00CA47DA" w:rsidP="004B10A6">
      <w:pPr>
        <w:pStyle w:val="ListParagraph"/>
        <w:numPr>
          <w:ilvl w:val="0"/>
          <w:numId w:val="31"/>
        </w:numPr>
        <w:spacing w:line="360" w:lineRule="auto"/>
        <w:ind w:left="567" w:hanging="567"/>
        <w:rPr>
          <w:rFonts w:ascii="Arial" w:hAnsi="Arial" w:cs="Arial"/>
        </w:rPr>
      </w:pPr>
      <w:r w:rsidRPr="004A27A1">
        <w:rPr>
          <w:rFonts w:ascii="Arial" w:hAnsi="Arial" w:cs="Arial"/>
        </w:rPr>
        <w:t>The committee is required to meet at least 4 times a year. Meetings took place during the period and were attended as follows:</w:t>
      </w:r>
    </w:p>
    <w:p w14:paraId="3320F912" w14:textId="77777777" w:rsidR="00CA47DA" w:rsidRPr="004A27A1" w:rsidRDefault="00CA47DA" w:rsidP="00CA47DA">
      <w:pPr>
        <w:pStyle w:val="BodyTextIndent3"/>
        <w:keepNext/>
        <w:spacing w:after="120"/>
        <w:ind w:left="720"/>
        <w:rPr>
          <w:rFonts w:cs="Arial"/>
          <w:b/>
          <w:highlight w:val="yellow"/>
          <w:u w:val="none"/>
        </w:rPr>
      </w:pPr>
    </w:p>
    <w:p w14:paraId="12FFE462" w14:textId="539C4B57" w:rsidR="00CA47DA" w:rsidRPr="004A27A1" w:rsidRDefault="00CA47DA" w:rsidP="00CA47DA">
      <w:pPr>
        <w:pStyle w:val="BodyTextIndent3"/>
        <w:keepNext/>
        <w:spacing w:after="120"/>
        <w:ind w:left="0" w:firstLine="720"/>
        <w:rPr>
          <w:rFonts w:cs="Arial"/>
          <w:b/>
          <w:u w:val="none"/>
        </w:rPr>
      </w:pPr>
      <w:r w:rsidRPr="004A27A1">
        <w:rPr>
          <w:rFonts w:cs="Arial"/>
          <w:b/>
          <w:u w:val="none"/>
        </w:rPr>
        <w:t>Table 3 – Attendance at meetings in 202</w:t>
      </w:r>
      <w:r w:rsidR="00490CE1" w:rsidRPr="004A27A1">
        <w:rPr>
          <w:rFonts w:cs="Arial"/>
          <w:b/>
          <w:u w:val="none"/>
        </w:rPr>
        <w:t>5/26</w:t>
      </w:r>
    </w:p>
    <w:tbl>
      <w:tblPr>
        <w:tblStyle w:val="TableGrid"/>
        <w:tblW w:w="0" w:type="auto"/>
        <w:tblInd w:w="562" w:type="dxa"/>
        <w:tblLook w:val="04A0" w:firstRow="1" w:lastRow="0" w:firstColumn="1" w:lastColumn="0" w:noHBand="0" w:noVBand="1"/>
      </w:tblPr>
      <w:tblGrid>
        <w:gridCol w:w="1985"/>
        <w:gridCol w:w="1293"/>
        <w:gridCol w:w="1294"/>
        <w:gridCol w:w="1294"/>
        <w:gridCol w:w="1294"/>
        <w:gridCol w:w="1294"/>
      </w:tblGrid>
      <w:tr w:rsidR="00CA47DA" w:rsidRPr="004A27A1" w14:paraId="5EEF53CB" w14:textId="77777777">
        <w:tc>
          <w:tcPr>
            <w:tcW w:w="1985" w:type="dxa"/>
            <w:shd w:val="clear" w:color="auto" w:fill="B4C6E7" w:themeFill="accent1" w:themeFillTint="66"/>
          </w:tcPr>
          <w:p w14:paraId="7DE949F5" w14:textId="77777777" w:rsidR="00CA47DA" w:rsidRPr="004A27A1" w:rsidRDefault="00CA47DA">
            <w:pPr>
              <w:pStyle w:val="BodyTextIndent3"/>
              <w:keepNext/>
              <w:spacing w:before="60" w:after="60"/>
              <w:ind w:left="0"/>
              <w:jc w:val="center"/>
              <w:rPr>
                <w:rFonts w:cs="Arial"/>
                <w:b/>
                <w:sz w:val="20"/>
                <w:szCs w:val="20"/>
                <w:u w:val="none"/>
              </w:rPr>
            </w:pPr>
            <w:r w:rsidRPr="004A27A1">
              <w:rPr>
                <w:rFonts w:cs="Arial"/>
                <w:b/>
                <w:sz w:val="20"/>
                <w:szCs w:val="20"/>
                <w:u w:val="none"/>
              </w:rPr>
              <w:t>Member</w:t>
            </w:r>
          </w:p>
        </w:tc>
        <w:tc>
          <w:tcPr>
            <w:tcW w:w="1293" w:type="dxa"/>
            <w:shd w:val="clear" w:color="auto" w:fill="B4C6E7" w:themeFill="accent1" w:themeFillTint="66"/>
          </w:tcPr>
          <w:p w14:paraId="79C72B58" w14:textId="24E2BA56" w:rsidR="00CA47DA" w:rsidRPr="004A27A1" w:rsidRDefault="00CA47DA">
            <w:pPr>
              <w:pStyle w:val="BodyTextIndent3"/>
              <w:keepNext/>
              <w:spacing w:before="60" w:after="60"/>
              <w:ind w:left="0"/>
              <w:jc w:val="center"/>
              <w:rPr>
                <w:rFonts w:cs="Arial"/>
                <w:b/>
                <w:sz w:val="20"/>
                <w:szCs w:val="20"/>
                <w:u w:val="none"/>
              </w:rPr>
            </w:pPr>
            <w:r w:rsidRPr="004A27A1">
              <w:rPr>
                <w:rFonts w:cs="Arial"/>
                <w:b/>
                <w:sz w:val="20"/>
                <w:szCs w:val="20"/>
                <w:u w:val="none"/>
              </w:rPr>
              <w:t>May 202</w:t>
            </w:r>
            <w:r w:rsidR="00490CE1" w:rsidRPr="004A27A1">
              <w:rPr>
                <w:rFonts w:cs="Arial"/>
                <w:b/>
                <w:sz w:val="20"/>
                <w:szCs w:val="20"/>
                <w:u w:val="none"/>
              </w:rPr>
              <w:t>5</w:t>
            </w:r>
          </w:p>
        </w:tc>
        <w:tc>
          <w:tcPr>
            <w:tcW w:w="1294" w:type="dxa"/>
            <w:shd w:val="clear" w:color="auto" w:fill="B4C6E7" w:themeFill="accent1" w:themeFillTint="66"/>
          </w:tcPr>
          <w:p w14:paraId="68D6CC2C" w14:textId="3EE8BD89" w:rsidR="00CA47DA" w:rsidRPr="004A27A1" w:rsidRDefault="004A0E2D" w:rsidP="004A0E2D">
            <w:pPr>
              <w:pStyle w:val="BodyTextIndent3"/>
              <w:keepNext/>
              <w:spacing w:before="60" w:after="60"/>
              <w:ind w:left="0"/>
              <w:jc w:val="center"/>
              <w:rPr>
                <w:rFonts w:cs="Arial"/>
                <w:b/>
                <w:sz w:val="20"/>
                <w:szCs w:val="20"/>
                <w:u w:val="none"/>
              </w:rPr>
            </w:pPr>
            <w:r w:rsidRPr="004A27A1">
              <w:rPr>
                <w:rFonts w:cs="Arial"/>
                <w:b/>
                <w:sz w:val="20"/>
                <w:szCs w:val="20"/>
                <w:u w:val="none"/>
              </w:rPr>
              <w:t xml:space="preserve"> </w:t>
            </w:r>
            <w:r w:rsidR="00CA47DA" w:rsidRPr="004A27A1">
              <w:rPr>
                <w:rFonts w:cs="Arial"/>
                <w:b/>
                <w:sz w:val="20"/>
                <w:szCs w:val="20"/>
                <w:u w:val="none"/>
              </w:rPr>
              <w:t>June 202</w:t>
            </w:r>
            <w:r w:rsidR="00490CE1" w:rsidRPr="004A27A1">
              <w:rPr>
                <w:rFonts w:cs="Arial"/>
                <w:b/>
                <w:sz w:val="20"/>
                <w:szCs w:val="20"/>
                <w:u w:val="none"/>
              </w:rPr>
              <w:t>5</w:t>
            </w:r>
          </w:p>
        </w:tc>
        <w:tc>
          <w:tcPr>
            <w:tcW w:w="1294" w:type="dxa"/>
            <w:shd w:val="clear" w:color="auto" w:fill="B4C6E7" w:themeFill="accent1" w:themeFillTint="66"/>
          </w:tcPr>
          <w:p w14:paraId="704706AA" w14:textId="5F271947" w:rsidR="00CA47DA" w:rsidRPr="004A27A1" w:rsidRDefault="0036666D" w:rsidP="00490CE1">
            <w:pPr>
              <w:pStyle w:val="BodyTextIndent3"/>
              <w:keepNext/>
              <w:spacing w:before="60"/>
              <w:ind w:left="0"/>
              <w:jc w:val="center"/>
              <w:rPr>
                <w:rFonts w:cs="Arial"/>
                <w:b/>
                <w:sz w:val="20"/>
                <w:szCs w:val="20"/>
                <w:u w:val="none"/>
              </w:rPr>
            </w:pPr>
            <w:r w:rsidRPr="004A27A1">
              <w:rPr>
                <w:rFonts w:cs="Arial"/>
                <w:b/>
                <w:sz w:val="20"/>
                <w:szCs w:val="20"/>
                <w:u w:val="none"/>
              </w:rPr>
              <w:t>Sept</w:t>
            </w:r>
            <w:r w:rsidR="00490CE1" w:rsidRPr="004A27A1">
              <w:rPr>
                <w:rFonts w:cs="Arial"/>
                <w:b/>
                <w:sz w:val="20"/>
                <w:szCs w:val="20"/>
                <w:u w:val="none"/>
              </w:rPr>
              <w:t xml:space="preserve"> </w:t>
            </w:r>
            <w:r w:rsidR="00CA47DA" w:rsidRPr="004A27A1">
              <w:rPr>
                <w:rFonts w:cs="Arial"/>
                <w:b/>
                <w:sz w:val="20"/>
                <w:szCs w:val="20"/>
                <w:u w:val="none"/>
              </w:rPr>
              <w:t>202</w:t>
            </w:r>
            <w:r w:rsidR="00490CE1" w:rsidRPr="004A27A1">
              <w:rPr>
                <w:rFonts w:cs="Arial"/>
                <w:b/>
                <w:sz w:val="20"/>
                <w:szCs w:val="20"/>
                <w:u w:val="none"/>
              </w:rPr>
              <w:t>5</w:t>
            </w:r>
          </w:p>
        </w:tc>
        <w:tc>
          <w:tcPr>
            <w:tcW w:w="1294" w:type="dxa"/>
            <w:shd w:val="clear" w:color="auto" w:fill="B4C6E7" w:themeFill="accent1" w:themeFillTint="66"/>
          </w:tcPr>
          <w:p w14:paraId="6FD7893D" w14:textId="7B789DA1" w:rsidR="00CA47DA" w:rsidRPr="004A27A1" w:rsidRDefault="00CA47DA">
            <w:pPr>
              <w:pStyle w:val="BodyTextIndent3"/>
              <w:keepNext/>
              <w:spacing w:before="60" w:after="60"/>
              <w:ind w:left="0"/>
              <w:jc w:val="center"/>
              <w:rPr>
                <w:rFonts w:cs="Arial"/>
                <w:b/>
                <w:sz w:val="20"/>
                <w:szCs w:val="20"/>
                <w:u w:val="none"/>
              </w:rPr>
            </w:pPr>
            <w:r w:rsidRPr="004A27A1">
              <w:rPr>
                <w:rFonts w:cs="Arial"/>
                <w:b/>
                <w:sz w:val="20"/>
                <w:szCs w:val="20"/>
                <w:u w:val="none"/>
              </w:rPr>
              <w:t>Nov 202</w:t>
            </w:r>
            <w:r w:rsidR="00490CE1" w:rsidRPr="004A27A1">
              <w:rPr>
                <w:rFonts w:cs="Arial"/>
                <w:b/>
                <w:sz w:val="20"/>
                <w:szCs w:val="20"/>
                <w:u w:val="none"/>
              </w:rPr>
              <w:t>5</w:t>
            </w:r>
          </w:p>
        </w:tc>
        <w:tc>
          <w:tcPr>
            <w:tcW w:w="1294" w:type="dxa"/>
            <w:shd w:val="clear" w:color="auto" w:fill="B4C6E7" w:themeFill="accent1" w:themeFillTint="66"/>
          </w:tcPr>
          <w:p w14:paraId="3AB8CF23" w14:textId="3B5C6269" w:rsidR="00CA47DA" w:rsidRPr="004A27A1" w:rsidRDefault="00CA47DA">
            <w:pPr>
              <w:pStyle w:val="BodyTextIndent3"/>
              <w:keepNext/>
              <w:spacing w:before="60" w:after="60"/>
              <w:ind w:left="0"/>
              <w:jc w:val="center"/>
              <w:rPr>
                <w:rFonts w:cs="Arial"/>
                <w:b/>
                <w:sz w:val="20"/>
                <w:szCs w:val="20"/>
                <w:u w:val="none"/>
              </w:rPr>
            </w:pPr>
            <w:r w:rsidRPr="004A27A1">
              <w:rPr>
                <w:rFonts w:cs="Arial"/>
                <w:b/>
                <w:sz w:val="20"/>
                <w:szCs w:val="20"/>
                <w:u w:val="none"/>
              </w:rPr>
              <w:t>Jan 202</w:t>
            </w:r>
            <w:r w:rsidR="00490CE1" w:rsidRPr="004A27A1">
              <w:rPr>
                <w:rFonts w:cs="Arial"/>
                <w:b/>
                <w:sz w:val="20"/>
                <w:szCs w:val="20"/>
                <w:u w:val="none"/>
              </w:rPr>
              <w:t>6</w:t>
            </w:r>
          </w:p>
        </w:tc>
      </w:tr>
      <w:tr w:rsidR="0071178A" w:rsidRPr="004A27A1" w14:paraId="427347BE" w14:textId="77777777">
        <w:tc>
          <w:tcPr>
            <w:tcW w:w="1985" w:type="dxa"/>
          </w:tcPr>
          <w:p w14:paraId="71337B82" w14:textId="4A53683E" w:rsidR="0071178A" w:rsidRPr="004A27A1" w:rsidRDefault="0071178A" w:rsidP="0071178A">
            <w:pPr>
              <w:pStyle w:val="BodyTextIndent3"/>
              <w:keepNext/>
              <w:spacing w:before="60" w:after="60"/>
              <w:ind w:left="0"/>
              <w:jc w:val="center"/>
              <w:rPr>
                <w:rFonts w:cs="Arial"/>
                <w:bCs/>
                <w:sz w:val="20"/>
                <w:szCs w:val="20"/>
                <w:u w:val="none"/>
              </w:rPr>
            </w:pPr>
            <w:r w:rsidRPr="004A27A1">
              <w:rPr>
                <w:rFonts w:cs="Arial"/>
                <w:bCs/>
                <w:sz w:val="20"/>
                <w:szCs w:val="20"/>
                <w:u w:val="none"/>
              </w:rPr>
              <w:t>Mark Chakravarty</w:t>
            </w:r>
          </w:p>
        </w:tc>
        <w:tc>
          <w:tcPr>
            <w:tcW w:w="1293" w:type="dxa"/>
          </w:tcPr>
          <w:p w14:paraId="5F162123" w14:textId="0C3A7735" w:rsidR="0071178A" w:rsidRPr="004A27A1" w:rsidRDefault="00CE1371"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6F021FBE" w14:textId="0C765921" w:rsidR="0071178A" w:rsidRPr="004A27A1" w:rsidRDefault="009832C0"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3F88A8AB" w14:textId="2437AFB6" w:rsidR="0071178A" w:rsidRPr="004A27A1" w:rsidRDefault="00A97458"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78BB90A5" w14:textId="070160BD" w:rsidR="0071178A" w:rsidRPr="004A27A1" w:rsidRDefault="00E31B43"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4EA8F2B1" w14:textId="5AE8F7D1" w:rsidR="0071178A" w:rsidRPr="004A27A1" w:rsidRDefault="00E31B43"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r>
      <w:tr w:rsidR="0071178A" w:rsidRPr="004A27A1" w14:paraId="6D950CF7" w14:textId="77777777">
        <w:tc>
          <w:tcPr>
            <w:tcW w:w="1985" w:type="dxa"/>
          </w:tcPr>
          <w:p w14:paraId="1EA8FBDC" w14:textId="77777777" w:rsidR="0071178A" w:rsidRPr="004A27A1" w:rsidRDefault="0071178A" w:rsidP="0071178A">
            <w:pPr>
              <w:pStyle w:val="BodyTextIndent3"/>
              <w:keepNext/>
              <w:spacing w:before="60" w:after="60"/>
              <w:ind w:left="0"/>
              <w:jc w:val="center"/>
              <w:rPr>
                <w:rFonts w:cs="Arial"/>
                <w:bCs/>
                <w:sz w:val="20"/>
                <w:szCs w:val="20"/>
                <w:u w:val="none"/>
              </w:rPr>
            </w:pPr>
            <w:r w:rsidRPr="004A27A1">
              <w:rPr>
                <w:rFonts w:cs="Arial"/>
                <w:bCs/>
                <w:sz w:val="20"/>
                <w:szCs w:val="20"/>
                <w:u w:val="none"/>
              </w:rPr>
              <w:t>Amanda Gibbon</w:t>
            </w:r>
          </w:p>
        </w:tc>
        <w:tc>
          <w:tcPr>
            <w:tcW w:w="1293" w:type="dxa"/>
          </w:tcPr>
          <w:p w14:paraId="53D2E796" w14:textId="6DA00CB9" w:rsidR="0071178A" w:rsidRPr="004A27A1" w:rsidRDefault="00FF2997"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5D0B35F7" w14:textId="348080FE" w:rsidR="0071178A" w:rsidRPr="004A27A1" w:rsidRDefault="00E2178F"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122221B8" w14:textId="6DCE094B" w:rsidR="0071178A" w:rsidRPr="004A27A1" w:rsidRDefault="00A13E28"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42745348" w14:textId="46D54C5B" w:rsidR="0071178A" w:rsidRPr="004A27A1" w:rsidRDefault="009B28FD"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03ABB6EB" w14:textId="7B6EE5A8" w:rsidR="0071178A" w:rsidRPr="004A27A1" w:rsidRDefault="00485CF7"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r>
      <w:tr w:rsidR="00675D28" w:rsidRPr="004A27A1" w14:paraId="4B7168CF" w14:textId="77777777">
        <w:tc>
          <w:tcPr>
            <w:tcW w:w="1985" w:type="dxa"/>
          </w:tcPr>
          <w:p w14:paraId="2894CEE4" w14:textId="7917C8A2" w:rsidR="00675D28" w:rsidRPr="004A27A1" w:rsidRDefault="00675D28" w:rsidP="0071178A">
            <w:pPr>
              <w:pStyle w:val="BodyTextIndent3"/>
              <w:keepNext/>
              <w:spacing w:before="60" w:after="60"/>
              <w:ind w:left="0"/>
              <w:jc w:val="center"/>
              <w:rPr>
                <w:rFonts w:cs="Arial"/>
                <w:bCs/>
                <w:sz w:val="20"/>
                <w:szCs w:val="20"/>
                <w:u w:val="none"/>
              </w:rPr>
            </w:pPr>
            <w:r w:rsidRPr="004A27A1">
              <w:rPr>
                <w:rFonts w:cs="Arial"/>
                <w:bCs/>
                <w:sz w:val="20"/>
                <w:szCs w:val="20"/>
                <w:u w:val="none"/>
              </w:rPr>
              <w:t>Alina Lourie</w:t>
            </w:r>
          </w:p>
        </w:tc>
        <w:tc>
          <w:tcPr>
            <w:tcW w:w="1293" w:type="dxa"/>
          </w:tcPr>
          <w:p w14:paraId="6FD1BFD7" w14:textId="055796A2" w:rsidR="00675D28" w:rsidRPr="004A27A1" w:rsidRDefault="00CE1371"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5CB99217" w14:textId="3345F0B9" w:rsidR="00675D28" w:rsidRPr="004A27A1" w:rsidRDefault="009832C0"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56266747" w14:textId="075CAA1E" w:rsidR="00675D28" w:rsidRPr="004A27A1" w:rsidRDefault="00A97458"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1A54F05A" w14:textId="67AB2EEB" w:rsidR="00675D28" w:rsidRPr="004A27A1" w:rsidRDefault="005550AB" w:rsidP="0071178A">
            <w:pPr>
              <w:pStyle w:val="BodyTextIndent3"/>
              <w:keepNext/>
              <w:spacing w:before="60" w:after="60"/>
              <w:ind w:left="0"/>
              <w:jc w:val="center"/>
              <w:rPr>
                <w:rFonts w:cs="Arial"/>
                <w:bCs/>
                <w:sz w:val="20"/>
                <w:szCs w:val="20"/>
                <w:u w:val="none"/>
              </w:rPr>
            </w:pPr>
            <w:r w:rsidRPr="004A27A1">
              <w:rPr>
                <w:rFonts w:cs="Arial"/>
                <w:bCs/>
                <w:sz w:val="20"/>
                <w:szCs w:val="20"/>
                <w:u w:val="none"/>
              </w:rPr>
              <w:t>A</w:t>
            </w:r>
          </w:p>
        </w:tc>
        <w:tc>
          <w:tcPr>
            <w:tcW w:w="1294" w:type="dxa"/>
          </w:tcPr>
          <w:p w14:paraId="47957334" w14:textId="7CFBBDF5" w:rsidR="00675D28" w:rsidRPr="004A27A1" w:rsidRDefault="00100680" w:rsidP="0071178A">
            <w:pPr>
              <w:pStyle w:val="BodyTextIndent3"/>
              <w:keepNext/>
              <w:spacing w:before="60" w:after="60"/>
              <w:ind w:left="0"/>
              <w:jc w:val="center"/>
              <w:rPr>
                <w:rFonts w:cs="Arial"/>
                <w:bCs/>
                <w:sz w:val="20"/>
                <w:szCs w:val="20"/>
                <w:u w:val="none"/>
              </w:rPr>
            </w:pPr>
            <w:r w:rsidRPr="004A27A1">
              <w:rPr>
                <w:rFonts w:cs="Arial"/>
                <w:bCs/>
                <w:sz w:val="20"/>
                <w:szCs w:val="20"/>
                <w:u w:val="none"/>
              </w:rPr>
              <w:t>A</w:t>
            </w:r>
          </w:p>
        </w:tc>
      </w:tr>
      <w:tr w:rsidR="009303FD" w:rsidRPr="004A27A1" w14:paraId="382545E6" w14:textId="77777777">
        <w:tc>
          <w:tcPr>
            <w:tcW w:w="1985" w:type="dxa"/>
          </w:tcPr>
          <w:p w14:paraId="0EFB2290" w14:textId="05C6F045" w:rsidR="009303FD" w:rsidRPr="004A27A1" w:rsidRDefault="009303FD" w:rsidP="0071178A">
            <w:pPr>
              <w:pStyle w:val="BodyTextIndent3"/>
              <w:keepNext/>
              <w:spacing w:before="60" w:after="60"/>
              <w:ind w:left="0"/>
              <w:jc w:val="center"/>
              <w:rPr>
                <w:rFonts w:cs="Arial"/>
                <w:bCs/>
                <w:sz w:val="20"/>
                <w:szCs w:val="20"/>
                <w:u w:val="none"/>
              </w:rPr>
            </w:pPr>
            <w:r w:rsidRPr="004A27A1">
              <w:rPr>
                <w:rFonts w:cs="Arial"/>
                <w:bCs/>
                <w:sz w:val="20"/>
                <w:szCs w:val="20"/>
                <w:u w:val="none"/>
              </w:rPr>
              <w:t>Keith Ridge</w:t>
            </w:r>
          </w:p>
        </w:tc>
        <w:tc>
          <w:tcPr>
            <w:tcW w:w="1293" w:type="dxa"/>
          </w:tcPr>
          <w:p w14:paraId="5369B1E6" w14:textId="1154A2A3" w:rsidR="009303FD" w:rsidRPr="004A27A1" w:rsidRDefault="00CB545F"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18DA9841" w14:textId="71D84E4B" w:rsidR="009303FD" w:rsidRPr="004A27A1" w:rsidRDefault="00CB545F"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150FA4F9" w14:textId="07122125" w:rsidR="009303FD" w:rsidRPr="004A27A1" w:rsidRDefault="00A97458" w:rsidP="0071178A">
            <w:pPr>
              <w:pStyle w:val="BodyTextIndent3"/>
              <w:keepNext/>
              <w:spacing w:before="60" w:after="60"/>
              <w:ind w:left="0"/>
              <w:jc w:val="center"/>
              <w:rPr>
                <w:rFonts w:cs="Arial"/>
                <w:bCs/>
                <w:sz w:val="20"/>
                <w:szCs w:val="20"/>
                <w:u w:val="none"/>
              </w:rPr>
            </w:pPr>
            <w:r w:rsidRPr="004A27A1">
              <w:rPr>
                <w:rFonts w:cs="Arial"/>
                <w:bCs/>
                <w:sz w:val="20"/>
                <w:szCs w:val="20"/>
                <w:u w:val="none"/>
              </w:rPr>
              <w:t>A</w:t>
            </w:r>
          </w:p>
        </w:tc>
        <w:tc>
          <w:tcPr>
            <w:tcW w:w="1294" w:type="dxa"/>
          </w:tcPr>
          <w:p w14:paraId="14389025" w14:textId="60813AC9" w:rsidR="009303FD" w:rsidRPr="004A27A1" w:rsidRDefault="001A3ACF"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58FE8AF2" w14:textId="62FFFA81" w:rsidR="009303FD" w:rsidRPr="004A27A1" w:rsidRDefault="003509B4"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r>
      <w:tr w:rsidR="009303FD" w:rsidRPr="004A27A1" w14:paraId="14A92722" w14:textId="77777777">
        <w:tc>
          <w:tcPr>
            <w:tcW w:w="1985" w:type="dxa"/>
          </w:tcPr>
          <w:p w14:paraId="761BB21B" w14:textId="232A3DC3" w:rsidR="009303FD" w:rsidRPr="004A27A1" w:rsidRDefault="009303FD" w:rsidP="0071178A">
            <w:pPr>
              <w:pStyle w:val="BodyTextIndent3"/>
              <w:keepNext/>
              <w:spacing w:before="60" w:after="60"/>
              <w:ind w:left="0"/>
              <w:jc w:val="center"/>
              <w:rPr>
                <w:rFonts w:cs="Arial"/>
                <w:bCs/>
                <w:sz w:val="20"/>
                <w:szCs w:val="20"/>
                <w:u w:val="none"/>
              </w:rPr>
            </w:pPr>
            <w:r w:rsidRPr="004A27A1">
              <w:rPr>
                <w:rFonts w:cs="Arial"/>
                <w:bCs/>
                <w:sz w:val="20"/>
                <w:szCs w:val="20"/>
                <w:u w:val="none"/>
              </w:rPr>
              <w:t>Frank Smith</w:t>
            </w:r>
          </w:p>
        </w:tc>
        <w:tc>
          <w:tcPr>
            <w:tcW w:w="1293" w:type="dxa"/>
          </w:tcPr>
          <w:p w14:paraId="1F8CA109" w14:textId="76F00AB9" w:rsidR="009303FD" w:rsidRPr="004A27A1" w:rsidRDefault="00CB545F"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710A870C" w14:textId="12409374" w:rsidR="009303FD" w:rsidRPr="004A27A1" w:rsidRDefault="00CB545F"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3BEBBAB7" w14:textId="08F701F1" w:rsidR="009303FD" w:rsidRPr="004A27A1" w:rsidRDefault="00A97458"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5D66D2EC" w14:textId="3677FFDE" w:rsidR="009303FD" w:rsidRPr="004A27A1" w:rsidRDefault="00E31B43"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c>
          <w:tcPr>
            <w:tcW w:w="1294" w:type="dxa"/>
          </w:tcPr>
          <w:p w14:paraId="4CB69CC6" w14:textId="349FB38D" w:rsidR="009303FD" w:rsidRPr="004A27A1" w:rsidRDefault="00E31B43"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r>
      <w:tr w:rsidR="0071178A" w:rsidRPr="004A27A1" w14:paraId="3C15E2FF" w14:textId="77777777">
        <w:tc>
          <w:tcPr>
            <w:tcW w:w="1985" w:type="dxa"/>
          </w:tcPr>
          <w:p w14:paraId="06C0ABD4" w14:textId="77777777" w:rsidR="0071178A" w:rsidRPr="004A27A1" w:rsidRDefault="0071178A" w:rsidP="0071178A">
            <w:pPr>
              <w:pStyle w:val="BodyTextIndent3"/>
              <w:keepNext/>
              <w:spacing w:before="60" w:after="60"/>
              <w:ind w:left="0"/>
              <w:jc w:val="center"/>
              <w:rPr>
                <w:rFonts w:cs="Arial"/>
                <w:bCs/>
                <w:sz w:val="20"/>
                <w:szCs w:val="20"/>
                <w:u w:val="none"/>
              </w:rPr>
            </w:pPr>
            <w:r w:rsidRPr="004A27A1">
              <w:rPr>
                <w:rFonts w:cs="Arial"/>
                <w:bCs/>
                <w:sz w:val="20"/>
                <w:szCs w:val="20"/>
                <w:u w:val="none"/>
              </w:rPr>
              <w:t>Justin Whatling</w:t>
            </w:r>
          </w:p>
        </w:tc>
        <w:tc>
          <w:tcPr>
            <w:tcW w:w="1293" w:type="dxa"/>
          </w:tcPr>
          <w:p w14:paraId="288C8CEE" w14:textId="39FBE221" w:rsidR="0071178A" w:rsidRPr="004A27A1" w:rsidRDefault="00CE1371" w:rsidP="0071178A">
            <w:pPr>
              <w:pStyle w:val="BodyTextIndent3"/>
              <w:keepNext/>
              <w:spacing w:before="60" w:after="60"/>
              <w:ind w:left="0"/>
              <w:jc w:val="center"/>
              <w:rPr>
                <w:rFonts w:cs="Arial"/>
                <w:bCs/>
                <w:sz w:val="20"/>
                <w:szCs w:val="20"/>
                <w:u w:val="none"/>
              </w:rPr>
            </w:pPr>
            <w:r w:rsidRPr="004A27A1">
              <w:rPr>
                <w:rFonts w:cs="Arial"/>
                <w:bCs/>
                <w:sz w:val="20"/>
                <w:szCs w:val="20"/>
                <w:u w:val="none"/>
              </w:rPr>
              <w:t>A</w:t>
            </w:r>
          </w:p>
        </w:tc>
        <w:tc>
          <w:tcPr>
            <w:tcW w:w="1294" w:type="dxa"/>
          </w:tcPr>
          <w:p w14:paraId="330740AE" w14:textId="0F1ED678" w:rsidR="0071178A" w:rsidRPr="004A27A1" w:rsidRDefault="00CE1371"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38493239" w14:textId="2D168233" w:rsidR="0071178A" w:rsidRPr="004A27A1" w:rsidRDefault="00CE1371"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6B187478" w14:textId="310FC611" w:rsidR="0071178A" w:rsidRPr="004A27A1" w:rsidRDefault="00EA4073" w:rsidP="0071178A">
            <w:pPr>
              <w:pStyle w:val="BodyTextIndent3"/>
              <w:keepNext/>
              <w:spacing w:before="60" w:after="60"/>
              <w:ind w:left="0"/>
              <w:jc w:val="center"/>
              <w:rPr>
                <w:rFonts w:cs="Arial"/>
                <w:bCs/>
                <w:sz w:val="20"/>
                <w:szCs w:val="20"/>
                <w:u w:val="none"/>
              </w:rPr>
            </w:pPr>
            <w:r w:rsidRPr="004A27A1">
              <w:rPr>
                <w:rFonts w:cs="Arial"/>
                <w:bCs/>
                <w:sz w:val="20"/>
                <w:szCs w:val="20"/>
                <w:u w:val="none"/>
              </w:rPr>
              <w:t>-</w:t>
            </w:r>
          </w:p>
        </w:tc>
        <w:tc>
          <w:tcPr>
            <w:tcW w:w="1294" w:type="dxa"/>
          </w:tcPr>
          <w:p w14:paraId="24390F8A" w14:textId="686D4641" w:rsidR="0071178A" w:rsidRPr="004A27A1" w:rsidRDefault="00485CF7" w:rsidP="0071178A">
            <w:pPr>
              <w:pStyle w:val="BodyTextIndent3"/>
              <w:keepNext/>
              <w:spacing w:before="60" w:after="60"/>
              <w:ind w:left="0"/>
              <w:jc w:val="center"/>
              <w:rPr>
                <w:rFonts w:cs="Arial"/>
                <w:bCs/>
                <w:sz w:val="20"/>
                <w:szCs w:val="20"/>
                <w:u w:val="none"/>
              </w:rPr>
            </w:pPr>
            <w:r w:rsidRPr="004A27A1">
              <w:rPr>
                <w:rFonts w:cs="Arial"/>
                <w:bCs/>
                <w:sz w:val="20"/>
                <w:szCs w:val="20"/>
                <w:u w:val="none"/>
              </w:rPr>
              <w:t>P</w:t>
            </w:r>
          </w:p>
        </w:tc>
      </w:tr>
    </w:tbl>
    <w:p w14:paraId="19DEEBBB" w14:textId="77777777" w:rsidR="00CA47DA" w:rsidRPr="004A27A1" w:rsidRDefault="00CA47DA" w:rsidP="00CA47DA">
      <w:pPr>
        <w:pStyle w:val="BodyTextIndent3"/>
        <w:keepNext/>
        <w:spacing w:after="120"/>
        <w:ind w:left="0"/>
        <w:rPr>
          <w:rFonts w:cs="Arial"/>
          <w:b/>
          <w:u w:val="none"/>
        </w:rPr>
      </w:pPr>
    </w:p>
    <w:p w14:paraId="18062081" w14:textId="68B8B530" w:rsidR="00CA47DA" w:rsidRPr="004A27A1" w:rsidRDefault="00CA47DA" w:rsidP="00C47472">
      <w:pPr>
        <w:pStyle w:val="BodyTextIndent3"/>
        <w:spacing w:after="120"/>
        <w:rPr>
          <w:rFonts w:cs="Arial"/>
          <w:sz w:val="20"/>
          <w:szCs w:val="20"/>
          <w:u w:val="none"/>
        </w:rPr>
      </w:pPr>
      <w:r w:rsidRPr="004A27A1">
        <w:rPr>
          <w:rFonts w:cs="Arial"/>
          <w:b/>
          <w:sz w:val="20"/>
          <w:szCs w:val="20"/>
          <w:u w:val="none"/>
        </w:rPr>
        <w:t>Key:</w:t>
      </w:r>
      <w:r w:rsidRPr="004A27A1">
        <w:rPr>
          <w:rFonts w:cs="Arial"/>
          <w:sz w:val="20"/>
          <w:szCs w:val="20"/>
          <w:u w:val="none"/>
        </w:rPr>
        <w:t xml:space="preserve">  P= Present </w:t>
      </w:r>
      <w:r w:rsidR="00BE2291" w:rsidRPr="004A27A1">
        <w:rPr>
          <w:rFonts w:cs="Arial"/>
          <w:sz w:val="20"/>
          <w:szCs w:val="20"/>
          <w:u w:val="none"/>
        </w:rPr>
        <w:t xml:space="preserve">/ </w:t>
      </w:r>
      <w:r w:rsidRPr="004A27A1">
        <w:rPr>
          <w:rFonts w:cs="Arial"/>
          <w:sz w:val="20"/>
          <w:szCs w:val="20"/>
          <w:u w:val="none"/>
        </w:rPr>
        <w:t>A= A</w:t>
      </w:r>
      <w:r w:rsidR="00620185" w:rsidRPr="004A27A1">
        <w:rPr>
          <w:rFonts w:cs="Arial"/>
          <w:sz w:val="20"/>
          <w:szCs w:val="20"/>
          <w:u w:val="none"/>
        </w:rPr>
        <w:t>pologies</w:t>
      </w:r>
      <w:r w:rsidR="00ED5E14" w:rsidRPr="004A27A1">
        <w:rPr>
          <w:rFonts w:cs="Arial"/>
          <w:sz w:val="20"/>
          <w:szCs w:val="20"/>
          <w:u w:val="none"/>
        </w:rPr>
        <w:t xml:space="preserve"> </w:t>
      </w:r>
      <w:r w:rsidR="00BE2291" w:rsidRPr="004A27A1">
        <w:rPr>
          <w:rFonts w:cs="Arial"/>
          <w:sz w:val="20"/>
          <w:szCs w:val="20"/>
          <w:u w:val="none"/>
        </w:rPr>
        <w:t xml:space="preserve">/ </w:t>
      </w:r>
      <w:r w:rsidR="00CF304D" w:rsidRPr="004A27A1">
        <w:rPr>
          <w:rFonts w:cs="Arial"/>
          <w:sz w:val="20"/>
          <w:szCs w:val="20"/>
          <w:u w:val="none"/>
        </w:rPr>
        <w:t>D</w:t>
      </w:r>
      <w:r w:rsidR="00EA4073" w:rsidRPr="004A27A1">
        <w:rPr>
          <w:rFonts w:cs="Arial"/>
          <w:sz w:val="20"/>
          <w:szCs w:val="20"/>
          <w:u w:val="none"/>
        </w:rPr>
        <w:t xml:space="preserve">ash </w:t>
      </w:r>
      <w:r w:rsidR="00931175" w:rsidRPr="004A27A1">
        <w:rPr>
          <w:rFonts w:cs="Arial"/>
          <w:sz w:val="20"/>
          <w:szCs w:val="20"/>
          <w:u w:val="none"/>
        </w:rPr>
        <w:t xml:space="preserve">(-) </w:t>
      </w:r>
      <w:r w:rsidR="00EA4073" w:rsidRPr="004A27A1">
        <w:rPr>
          <w:rFonts w:cs="Arial"/>
          <w:sz w:val="20"/>
          <w:szCs w:val="20"/>
          <w:u w:val="none"/>
        </w:rPr>
        <w:t>indicates not a member of the committee at the time</w:t>
      </w:r>
    </w:p>
    <w:p w14:paraId="3E19B7DA" w14:textId="77777777" w:rsidR="00CA47DA" w:rsidRPr="004A27A1" w:rsidRDefault="00CA47DA" w:rsidP="00CA47DA">
      <w:pPr>
        <w:pStyle w:val="BodyTextIndent3"/>
        <w:spacing w:after="120"/>
        <w:ind w:firstLine="153"/>
        <w:rPr>
          <w:rFonts w:cs="Arial"/>
          <w:u w:val="none"/>
        </w:rPr>
      </w:pPr>
    </w:p>
    <w:p w14:paraId="7BAEE881" w14:textId="11765075" w:rsidR="00CA47DA" w:rsidRPr="004A27A1" w:rsidRDefault="00CA47DA" w:rsidP="00CA47DA">
      <w:pPr>
        <w:pStyle w:val="BodyTextIndent3"/>
        <w:numPr>
          <w:ilvl w:val="0"/>
          <w:numId w:val="31"/>
        </w:numPr>
        <w:spacing w:after="120"/>
        <w:ind w:left="567" w:hanging="567"/>
        <w:rPr>
          <w:rFonts w:cs="Arial"/>
          <w:u w:val="none"/>
        </w:rPr>
      </w:pPr>
      <w:r w:rsidRPr="004A27A1">
        <w:rPr>
          <w:rFonts w:cs="Arial"/>
          <w:u w:val="none"/>
        </w:rPr>
        <w:t xml:space="preserve">The quorum for meetings of the committee </w:t>
      </w:r>
      <w:r w:rsidR="007F264A" w:rsidRPr="004A27A1">
        <w:rPr>
          <w:rFonts w:cs="Arial"/>
          <w:u w:val="none"/>
        </w:rPr>
        <w:t>wa</w:t>
      </w:r>
      <w:r w:rsidRPr="004A27A1">
        <w:rPr>
          <w:rFonts w:cs="Arial"/>
          <w:u w:val="none"/>
        </w:rPr>
        <w:t>s two, as the table above shows all meetings of the committee during the period were quorate.</w:t>
      </w:r>
    </w:p>
    <w:p w14:paraId="001A938E" w14:textId="77777777" w:rsidR="00CA47DA" w:rsidRPr="004A27A1" w:rsidRDefault="00CA47DA" w:rsidP="00CA47DA">
      <w:pPr>
        <w:rPr>
          <w:rFonts w:ascii="Arial" w:hAnsi="Arial" w:cs="Arial"/>
          <w:b/>
        </w:rPr>
      </w:pPr>
    </w:p>
    <w:p w14:paraId="3F8ED98C" w14:textId="5038004D" w:rsidR="00CA47DA" w:rsidRPr="004A27A1" w:rsidRDefault="00CA47DA" w:rsidP="00CA47DA">
      <w:pPr>
        <w:spacing w:after="120"/>
        <w:ind w:firstLine="567"/>
        <w:jc w:val="both"/>
        <w:rPr>
          <w:rFonts w:ascii="Arial" w:hAnsi="Arial" w:cs="Arial"/>
          <w:b/>
        </w:rPr>
      </w:pPr>
      <w:r w:rsidRPr="004A27A1">
        <w:rPr>
          <w:rFonts w:ascii="Arial" w:hAnsi="Arial" w:cs="Arial"/>
          <w:b/>
        </w:rPr>
        <w:t>Table 4 - Explanation of internal audit assurance levels</w:t>
      </w:r>
    </w:p>
    <w:tbl>
      <w:tblPr>
        <w:tblStyle w:val="TableGrid"/>
        <w:tblW w:w="0" w:type="auto"/>
        <w:tblInd w:w="562" w:type="dxa"/>
        <w:tblLook w:val="04A0" w:firstRow="1" w:lastRow="0" w:firstColumn="1" w:lastColumn="0" w:noHBand="0" w:noVBand="1"/>
      </w:tblPr>
      <w:tblGrid>
        <w:gridCol w:w="1606"/>
        <w:gridCol w:w="6848"/>
      </w:tblGrid>
      <w:tr w:rsidR="005508ED" w:rsidRPr="004A27A1" w14:paraId="0964EEC2" w14:textId="77777777" w:rsidTr="00D20E77">
        <w:tc>
          <w:tcPr>
            <w:tcW w:w="1606" w:type="dxa"/>
            <w:shd w:val="clear" w:color="auto" w:fill="92D050"/>
          </w:tcPr>
          <w:p w14:paraId="176EFBA1" w14:textId="4D485901" w:rsidR="005508ED" w:rsidRPr="004A27A1" w:rsidRDefault="005508ED" w:rsidP="00D20E77">
            <w:pPr>
              <w:spacing w:before="120" w:after="120"/>
              <w:jc w:val="both"/>
              <w:rPr>
                <w:rFonts w:ascii="Arial" w:hAnsi="Arial" w:cs="Arial"/>
                <w:b/>
                <w:sz w:val="20"/>
                <w:szCs w:val="20"/>
              </w:rPr>
            </w:pPr>
            <w:r w:rsidRPr="004A27A1">
              <w:rPr>
                <w:rFonts w:ascii="Arial" w:hAnsi="Arial" w:cs="Arial"/>
                <w:b/>
                <w:sz w:val="20"/>
                <w:szCs w:val="20"/>
              </w:rPr>
              <w:t>Substantial</w:t>
            </w:r>
          </w:p>
        </w:tc>
        <w:tc>
          <w:tcPr>
            <w:tcW w:w="6848" w:type="dxa"/>
          </w:tcPr>
          <w:p w14:paraId="17B80357" w14:textId="7FF1C996" w:rsidR="005508ED" w:rsidRPr="004A27A1" w:rsidRDefault="005508ED" w:rsidP="00D20E77">
            <w:pPr>
              <w:spacing w:before="120" w:after="120"/>
              <w:jc w:val="both"/>
              <w:rPr>
                <w:rFonts w:ascii="Arial" w:hAnsi="Arial" w:cs="Arial"/>
                <w:b/>
                <w:sz w:val="20"/>
                <w:szCs w:val="20"/>
                <w:u w:val="single"/>
              </w:rPr>
            </w:pPr>
            <w:r w:rsidRPr="004A27A1">
              <w:rPr>
                <w:rFonts w:ascii="Arial" w:hAnsi="Arial" w:cs="Arial"/>
                <w:color w:val="000000"/>
                <w:sz w:val="20"/>
                <w:szCs w:val="20"/>
              </w:rPr>
              <w:t>The framework of governance, risk management and control is adequate and effective.</w:t>
            </w:r>
          </w:p>
        </w:tc>
      </w:tr>
      <w:tr w:rsidR="005508ED" w:rsidRPr="004A27A1" w14:paraId="2A445033" w14:textId="77777777" w:rsidTr="00D20E77">
        <w:tc>
          <w:tcPr>
            <w:tcW w:w="1606" w:type="dxa"/>
            <w:shd w:val="clear" w:color="auto" w:fill="FFFF00"/>
          </w:tcPr>
          <w:p w14:paraId="00284D44" w14:textId="3CF17028" w:rsidR="005508ED" w:rsidRPr="004A27A1" w:rsidRDefault="005508ED" w:rsidP="00D20E77">
            <w:pPr>
              <w:spacing w:before="120" w:after="120"/>
              <w:jc w:val="both"/>
              <w:rPr>
                <w:rFonts w:ascii="Arial" w:hAnsi="Arial" w:cs="Arial"/>
                <w:b/>
                <w:sz w:val="20"/>
                <w:szCs w:val="20"/>
              </w:rPr>
            </w:pPr>
            <w:r w:rsidRPr="004A27A1">
              <w:rPr>
                <w:rFonts w:ascii="Arial" w:hAnsi="Arial" w:cs="Arial"/>
                <w:b/>
                <w:sz w:val="20"/>
                <w:szCs w:val="20"/>
              </w:rPr>
              <w:t>Moderate</w:t>
            </w:r>
          </w:p>
        </w:tc>
        <w:tc>
          <w:tcPr>
            <w:tcW w:w="6848" w:type="dxa"/>
          </w:tcPr>
          <w:p w14:paraId="2528D371" w14:textId="550C2102" w:rsidR="005508ED" w:rsidRPr="004A27A1" w:rsidRDefault="005508ED" w:rsidP="00D20E77">
            <w:pPr>
              <w:spacing w:before="120" w:after="120"/>
              <w:jc w:val="both"/>
              <w:rPr>
                <w:rFonts w:ascii="Arial" w:hAnsi="Arial" w:cs="Arial"/>
                <w:b/>
                <w:sz w:val="20"/>
                <w:szCs w:val="20"/>
                <w:u w:val="single"/>
              </w:rPr>
            </w:pPr>
            <w:r w:rsidRPr="004A27A1">
              <w:rPr>
                <w:rFonts w:ascii="Arial" w:hAnsi="Arial" w:cs="Arial"/>
                <w:color w:val="000000"/>
                <w:sz w:val="20"/>
                <w:szCs w:val="20"/>
              </w:rPr>
              <w:t>Some improvements are required to enhance the adequacy and effectiveness of the framework of governance, risk management and control.</w:t>
            </w:r>
          </w:p>
        </w:tc>
      </w:tr>
      <w:tr w:rsidR="005508ED" w:rsidRPr="004A27A1" w14:paraId="4B90704A" w14:textId="77777777" w:rsidTr="00D20E77">
        <w:tc>
          <w:tcPr>
            <w:tcW w:w="1606" w:type="dxa"/>
            <w:shd w:val="clear" w:color="auto" w:fill="FFC000"/>
          </w:tcPr>
          <w:p w14:paraId="19C57498" w14:textId="21E4FAC9" w:rsidR="005508ED" w:rsidRPr="004A27A1" w:rsidRDefault="005508ED" w:rsidP="00D20E77">
            <w:pPr>
              <w:spacing w:before="120" w:after="120"/>
              <w:jc w:val="both"/>
              <w:rPr>
                <w:rFonts w:ascii="Arial" w:hAnsi="Arial" w:cs="Arial"/>
                <w:b/>
                <w:sz w:val="20"/>
                <w:szCs w:val="20"/>
              </w:rPr>
            </w:pPr>
            <w:r w:rsidRPr="004A27A1">
              <w:rPr>
                <w:rFonts w:ascii="Arial" w:hAnsi="Arial" w:cs="Arial"/>
                <w:b/>
                <w:sz w:val="20"/>
                <w:szCs w:val="20"/>
              </w:rPr>
              <w:t>Limited</w:t>
            </w:r>
          </w:p>
        </w:tc>
        <w:tc>
          <w:tcPr>
            <w:tcW w:w="6848" w:type="dxa"/>
          </w:tcPr>
          <w:p w14:paraId="4716AA4F" w14:textId="79D462C6" w:rsidR="005508ED" w:rsidRPr="004A27A1" w:rsidRDefault="005508ED" w:rsidP="00D20E77">
            <w:pPr>
              <w:spacing w:before="120" w:after="120"/>
              <w:jc w:val="both"/>
              <w:rPr>
                <w:rFonts w:ascii="Arial" w:hAnsi="Arial" w:cs="Arial"/>
                <w:b/>
                <w:sz w:val="20"/>
                <w:szCs w:val="20"/>
                <w:u w:val="single"/>
              </w:rPr>
            </w:pPr>
            <w:r w:rsidRPr="004A27A1">
              <w:rPr>
                <w:rFonts w:ascii="Arial" w:hAnsi="Arial" w:cs="Arial"/>
                <w:color w:val="000000"/>
                <w:sz w:val="20"/>
                <w:szCs w:val="20"/>
              </w:rPr>
              <w:t>There are significant weaknesses in the framework of governance, risk management and control such that it could be or could become inadequate and ineffective.</w:t>
            </w:r>
          </w:p>
        </w:tc>
      </w:tr>
      <w:tr w:rsidR="005508ED" w:rsidRPr="004A27A1" w14:paraId="2647E24A" w14:textId="77777777" w:rsidTr="00D20E77">
        <w:tc>
          <w:tcPr>
            <w:tcW w:w="1606" w:type="dxa"/>
            <w:shd w:val="clear" w:color="auto" w:fill="FF0000"/>
          </w:tcPr>
          <w:p w14:paraId="7F30ADAE" w14:textId="4F29637C" w:rsidR="005508ED" w:rsidRPr="004A27A1" w:rsidRDefault="005508ED" w:rsidP="00D20E77">
            <w:pPr>
              <w:spacing w:before="120" w:after="120"/>
              <w:jc w:val="both"/>
              <w:rPr>
                <w:rFonts w:ascii="Arial" w:hAnsi="Arial" w:cs="Arial"/>
                <w:b/>
                <w:sz w:val="20"/>
                <w:szCs w:val="20"/>
              </w:rPr>
            </w:pPr>
            <w:r w:rsidRPr="004A27A1">
              <w:rPr>
                <w:rFonts w:ascii="Arial" w:hAnsi="Arial" w:cs="Arial"/>
                <w:b/>
                <w:sz w:val="20"/>
                <w:szCs w:val="20"/>
              </w:rPr>
              <w:t>Unsatisfactory</w:t>
            </w:r>
          </w:p>
        </w:tc>
        <w:tc>
          <w:tcPr>
            <w:tcW w:w="6848" w:type="dxa"/>
          </w:tcPr>
          <w:p w14:paraId="0983F482" w14:textId="4DD05C56" w:rsidR="005508ED" w:rsidRPr="004A27A1" w:rsidRDefault="005508ED" w:rsidP="00D20E77">
            <w:pPr>
              <w:spacing w:before="120" w:after="120"/>
              <w:jc w:val="both"/>
              <w:rPr>
                <w:rFonts w:ascii="Arial" w:hAnsi="Arial" w:cs="Arial"/>
                <w:b/>
                <w:sz w:val="20"/>
                <w:szCs w:val="20"/>
                <w:u w:val="single"/>
              </w:rPr>
            </w:pPr>
            <w:r w:rsidRPr="004A27A1">
              <w:rPr>
                <w:rFonts w:ascii="Arial" w:hAnsi="Arial" w:cs="Arial"/>
                <w:color w:val="000000"/>
                <w:sz w:val="20"/>
                <w:szCs w:val="20"/>
              </w:rPr>
              <w:t>There are fundamental weaknesses in the framework of governance, risk management and control such that it is inadequate and ineffective or is likely to fail,</w:t>
            </w:r>
          </w:p>
        </w:tc>
      </w:tr>
    </w:tbl>
    <w:p w14:paraId="7E41F6C6" w14:textId="390D9C17" w:rsidR="00CE39CE" w:rsidRPr="004A27A1" w:rsidRDefault="00CE39CE">
      <w:pPr>
        <w:rPr>
          <w:rFonts w:ascii="Arial" w:hAnsi="Arial" w:cs="Arial"/>
          <w:b/>
          <w:bCs/>
          <w:kern w:val="32"/>
        </w:rPr>
      </w:pPr>
    </w:p>
    <w:sectPr w:rsidR="00CE39CE" w:rsidRPr="004A27A1" w:rsidSect="0043410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4C99" w14:textId="77777777" w:rsidR="005F1420" w:rsidRDefault="005F1420">
      <w:r>
        <w:separator/>
      </w:r>
    </w:p>
  </w:endnote>
  <w:endnote w:type="continuationSeparator" w:id="0">
    <w:p w14:paraId="0D2B076E" w14:textId="77777777" w:rsidR="005F1420" w:rsidRDefault="005F1420">
      <w:r>
        <w:continuationSeparator/>
      </w:r>
    </w:p>
  </w:endnote>
  <w:endnote w:type="continuationNotice" w:id="1">
    <w:p w14:paraId="1CF8B41F" w14:textId="77777777" w:rsidR="005F1420" w:rsidRDefault="005F1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D3BC" w14:textId="0C01FC41" w:rsidR="004B4705" w:rsidRPr="002A231B" w:rsidRDefault="004B3577" w:rsidP="004B4705">
    <w:pPr>
      <w:pStyle w:val="Footer"/>
      <w:tabs>
        <w:tab w:val="right" w:pos="8931"/>
        <w:tab w:val="right" w:pos="13892"/>
      </w:tabs>
      <w:rPr>
        <w:szCs w:val="16"/>
      </w:rPr>
    </w:pPr>
    <w:r>
      <w:t>National Institute for Health and Care Excellence</w:t>
    </w:r>
    <w:r w:rsidR="004B4705" w:rsidRPr="002A231B">
      <w:rPr>
        <w:szCs w:val="16"/>
      </w:rPr>
      <w:tab/>
    </w:r>
    <w:r w:rsidR="003B7BCF">
      <w:rPr>
        <w:szCs w:val="16"/>
      </w:rPr>
      <w:tab/>
    </w:r>
    <w:r w:rsidR="004B4705" w:rsidRPr="002A231B">
      <w:rPr>
        <w:szCs w:val="16"/>
      </w:rPr>
      <w:t xml:space="preserve">Page </w:t>
    </w:r>
    <w:r w:rsidR="004B4705" w:rsidRPr="002A231B">
      <w:rPr>
        <w:szCs w:val="16"/>
      </w:rPr>
      <w:fldChar w:fldCharType="begin"/>
    </w:r>
    <w:r w:rsidR="004B4705" w:rsidRPr="002A231B">
      <w:rPr>
        <w:szCs w:val="16"/>
      </w:rPr>
      <w:instrText xml:space="preserve"> PAGE  \* Arabic  \* MERGEFORMAT </w:instrText>
    </w:r>
    <w:r w:rsidR="004B4705" w:rsidRPr="002A231B">
      <w:rPr>
        <w:szCs w:val="16"/>
      </w:rPr>
      <w:fldChar w:fldCharType="separate"/>
    </w:r>
    <w:r w:rsidR="004B4705">
      <w:rPr>
        <w:noProof/>
        <w:szCs w:val="16"/>
      </w:rPr>
      <w:t>7</w:t>
    </w:r>
    <w:r w:rsidR="004B4705" w:rsidRPr="002A231B">
      <w:rPr>
        <w:szCs w:val="16"/>
      </w:rPr>
      <w:fldChar w:fldCharType="end"/>
    </w:r>
    <w:r w:rsidR="004B4705" w:rsidRPr="002A231B">
      <w:rPr>
        <w:szCs w:val="16"/>
      </w:rPr>
      <w:t xml:space="preserve"> of </w:t>
    </w:r>
    <w:r w:rsidR="004B4705" w:rsidRPr="002A231B">
      <w:rPr>
        <w:szCs w:val="16"/>
      </w:rPr>
      <w:fldChar w:fldCharType="begin"/>
    </w:r>
    <w:r w:rsidR="004B4705" w:rsidRPr="002A231B">
      <w:rPr>
        <w:szCs w:val="16"/>
      </w:rPr>
      <w:instrText xml:space="preserve"> NUMPAGES  \* Arabic  \* MERGEFORMAT </w:instrText>
    </w:r>
    <w:r w:rsidR="004B4705" w:rsidRPr="002A231B">
      <w:rPr>
        <w:szCs w:val="16"/>
      </w:rPr>
      <w:fldChar w:fldCharType="separate"/>
    </w:r>
    <w:r w:rsidR="004B4705">
      <w:rPr>
        <w:noProof/>
        <w:szCs w:val="16"/>
      </w:rPr>
      <w:t>8</w:t>
    </w:r>
    <w:r w:rsidR="004B4705" w:rsidRPr="002A231B">
      <w:rPr>
        <w:szCs w:val="16"/>
      </w:rPr>
      <w:fldChar w:fldCharType="end"/>
    </w:r>
  </w:p>
  <w:p w14:paraId="7A87BCB8" w14:textId="6D1E6F0A" w:rsidR="004B4705" w:rsidRPr="00575A7A" w:rsidRDefault="00D03378" w:rsidP="004B4705">
    <w:pPr>
      <w:pStyle w:val="Footer"/>
      <w:rPr>
        <w:szCs w:val="16"/>
      </w:rPr>
    </w:pPr>
    <w:r w:rsidRPr="00575A7A">
      <w:t>Audit and risk</w:t>
    </w:r>
    <w:r w:rsidR="00587DE1">
      <w:t xml:space="preserve"> assurance</w:t>
    </w:r>
    <w:r w:rsidRPr="00575A7A">
      <w:t xml:space="preserve"> committee annual report to </w:t>
    </w:r>
    <w:r w:rsidR="003D6F09">
      <w:t>b</w:t>
    </w:r>
    <w:r w:rsidRPr="00575A7A">
      <w:t>oard</w:t>
    </w:r>
    <w:r w:rsidR="00575A7A">
      <w:t xml:space="preserve"> 202</w:t>
    </w:r>
    <w:r w:rsidR="005F0B12">
      <w:t>5/26</w:t>
    </w:r>
  </w:p>
  <w:p w14:paraId="445FCE7D" w14:textId="0BCA4A14" w:rsidR="004B4705" w:rsidRPr="002A231B" w:rsidRDefault="008B3AA2" w:rsidP="004B4705">
    <w:pPr>
      <w:pStyle w:val="Footer"/>
      <w:rPr>
        <w:szCs w:val="16"/>
      </w:rPr>
    </w:pPr>
    <w:r>
      <w:t>19</w:t>
    </w:r>
    <w:r w:rsidR="00D03378">
      <w:t xml:space="preserve"> May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0B00" w14:textId="77777777" w:rsidR="005F1420" w:rsidRDefault="005F1420">
      <w:r>
        <w:separator/>
      </w:r>
    </w:p>
  </w:footnote>
  <w:footnote w:type="continuationSeparator" w:id="0">
    <w:p w14:paraId="180A4AD5" w14:textId="77777777" w:rsidR="005F1420" w:rsidRDefault="005F1420">
      <w:r>
        <w:continuationSeparator/>
      </w:r>
    </w:p>
  </w:footnote>
  <w:footnote w:type="continuationNotice" w:id="1">
    <w:p w14:paraId="4B78819B" w14:textId="77777777" w:rsidR="005F1420" w:rsidRDefault="005F1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E4A4" w14:textId="679337CC" w:rsidR="004B4705" w:rsidRPr="006E0F0C" w:rsidRDefault="006E0F0C" w:rsidP="006E0F0C">
    <w:pPr>
      <w:pStyle w:val="Header"/>
      <w:ind w:left="0"/>
    </w:pPr>
    <w:r>
      <w:rPr>
        <w:noProof/>
      </w:rPr>
      <w:drawing>
        <wp:inline distT="0" distB="0" distL="0" distR="0" wp14:anchorId="7CDD8DCD" wp14:editId="5A95EF5A">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BB72574"/>
    <w:multiLevelType w:val="hybridMultilevel"/>
    <w:tmpl w:val="A50E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4FD88FF2"/>
    <w:lvl w:ilvl="0" w:tplc="0650A9B2">
      <w:start w:val="1"/>
      <w:numFmt w:val="decimal"/>
      <w:pStyle w:val="Paragraph"/>
      <w:lvlText w:val="%1."/>
      <w:lvlJc w:val="left"/>
      <w:pPr>
        <w:ind w:left="5889"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0570BC"/>
    <w:multiLevelType w:val="hybridMultilevel"/>
    <w:tmpl w:val="D976FD2E"/>
    <w:lvl w:ilvl="0" w:tplc="E36AE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B465FBB"/>
    <w:multiLevelType w:val="hybridMultilevel"/>
    <w:tmpl w:val="9AE85CE0"/>
    <w:lvl w:ilvl="0" w:tplc="08090019">
      <w:start w:val="1"/>
      <w:numFmt w:val="lowerLetter"/>
      <w:lvlText w:val="%1."/>
      <w:lvlJc w:val="left"/>
      <w:pPr>
        <w:ind w:left="1069"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4C45945"/>
    <w:multiLevelType w:val="hybridMultilevel"/>
    <w:tmpl w:val="96C6C120"/>
    <w:lvl w:ilvl="0" w:tplc="38F801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628FB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E97D0F"/>
    <w:multiLevelType w:val="hybridMultilevel"/>
    <w:tmpl w:val="F2C65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34"/>
  </w:num>
  <w:num w:numId="3" w16cid:durableId="2116749296">
    <w:abstractNumId w:val="22"/>
  </w:num>
  <w:num w:numId="4" w16cid:durableId="611715962">
    <w:abstractNumId w:val="24"/>
  </w:num>
  <w:num w:numId="5" w16cid:durableId="377554922">
    <w:abstractNumId w:val="6"/>
  </w:num>
  <w:num w:numId="6" w16cid:durableId="1967815002">
    <w:abstractNumId w:val="10"/>
  </w:num>
  <w:num w:numId="7" w16cid:durableId="1478373446">
    <w:abstractNumId w:val="17"/>
  </w:num>
  <w:num w:numId="8" w16cid:durableId="1216622483">
    <w:abstractNumId w:val="19"/>
  </w:num>
  <w:num w:numId="9" w16cid:durableId="1028289363">
    <w:abstractNumId w:val="26"/>
  </w:num>
  <w:num w:numId="10" w16cid:durableId="1748379919">
    <w:abstractNumId w:val="9"/>
  </w:num>
  <w:num w:numId="11" w16cid:durableId="1008825018">
    <w:abstractNumId w:val="32"/>
  </w:num>
  <w:num w:numId="12" w16cid:durableId="128134450">
    <w:abstractNumId w:val="13"/>
  </w:num>
  <w:num w:numId="13" w16cid:durableId="503516617">
    <w:abstractNumId w:val="25"/>
  </w:num>
  <w:num w:numId="14" w16cid:durableId="1971012577">
    <w:abstractNumId w:val="30"/>
  </w:num>
  <w:num w:numId="15" w16cid:durableId="1256014139">
    <w:abstractNumId w:val="15"/>
  </w:num>
  <w:num w:numId="16" w16cid:durableId="230039927">
    <w:abstractNumId w:val="0"/>
  </w:num>
  <w:num w:numId="17" w16cid:durableId="882135492">
    <w:abstractNumId w:val="1"/>
  </w:num>
  <w:num w:numId="18" w16cid:durableId="194315641">
    <w:abstractNumId w:val="11"/>
  </w:num>
  <w:num w:numId="19" w16cid:durableId="1279488302">
    <w:abstractNumId w:val="18"/>
  </w:num>
  <w:num w:numId="20" w16cid:durableId="102305755">
    <w:abstractNumId w:val="8"/>
  </w:num>
  <w:num w:numId="21" w16cid:durableId="1863712968">
    <w:abstractNumId w:val="33"/>
  </w:num>
  <w:num w:numId="22" w16cid:durableId="426196748">
    <w:abstractNumId w:val="31"/>
  </w:num>
  <w:num w:numId="23" w16cid:durableId="1440686053">
    <w:abstractNumId w:val="35"/>
  </w:num>
  <w:num w:numId="24" w16cid:durableId="87122838">
    <w:abstractNumId w:val="12"/>
  </w:num>
  <w:num w:numId="25" w16cid:durableId="2069259383">
    <w:abstractNumId w:val="5"/>
  </w:num>
  <w:num w:numId="26" w16cid:durableId="1082874494">
    <w:abstractNumId w:val="5"/>
    <w:lvlOverride w:ilvl="0">
      <w:startOverride w:val="1"/>
    </w:lvlOverride>
  </w:num>
  <w:num w:numId="27" w16cid:durableId="566762753">
    <w:abstractNumId w:val="37"/>
  </w:num>
  <w:num w:numId="28" w16cid:durableId="1501507477">
    <w:abstractNumId w:val="16"/>
  </w:num>
  <w:num w:numId="29" w16cid:durableId="1007052079">
    <w:abstractNumId w:val="2"/>
  </w:num>
  <w:num w:numId="30" w16cid:durableId="427890917">
    <w:abstractNumId w:val="35"/>
    <w:lvlOverride w:ilvl="0">
      <w:startOverride w:val="1"/>
    </w:lvlOverride>
  </w:num>
  <w:num w:numId="31" w16cid:durableId="1711951164">
    <w:abstractNumId w:val="7"/>
  </w:num>
  <w:num w:numId="32" w16cid:durableId="456028816">
    <w:abstractNumId w:val="21"/>
  </w:num>
  <w:num w:numId="33" w16cid:durableId="738748156">
    <w:abstractNumId w:val="27"/>
  </w:num>
  <w:num w:numId="34" w16cid:durableId="1410270612">
    <w:abstractNumId w:val="20"/>
  </w:num>
  <w:num w:numId="35" w16cid:durableId="724060844">
    <w:abstractNumId w:val="14"/>
  </w:num>
  <w:num w:numId="36" w16cid:durableId="70124730">
    <w:abstractNumId w:val="4"/>
  </w:num>
  <w:num w:numId="37" w16cid:durableId="1317995071">
    <w:abstractNumId w:val="29"/>
  </w:num>
  <w:num w:numId="38" w16cid:durableId="1560632198">
    <w:abstractNumId w:val="4"/>
  </w:num>
  <w:num w:numId="39" w16cid:durableId="151724709">
    <w:abstractNumId w:val="23"/>
  </w:num>
  <w:num w:numId="40" w16cid:durableId="506407319">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03416"/>
    <w:rsid w:val="0000526C"/>
    <w:rsid w:val="000056A7"/>
    <w:rsid w:val="00005F1E"/>
    <w:rsid w:val="00007CA0"/>
    <w:rsid w:val="00010353"/>
    <w:rsid w:val="000103C6"/>
    <w:rsid w:val="0001098D"/>
    <w:rsid w:val="00010FBC"/>
    <w:rsid w:val="000119FB"/>
    <w:rsid w:val="00012E7A"/>
    <w:rsid w:val="00013BE3"/>
    <w:rsid w:val="0001727C"/>
    <w:rsid w:val="00017E69"/>
    <w:rsid w:val="000215B9"/>
    <w:rsid w:val="00022AAF"/>
    <w:rsid w:val="00023893"/>
    <w:rsid w:val="000242AA"/>
    <w:rsid w:val="00026D7C"/>
    <w:rsid w:val="0002728F"/>
    <w:rsid w:val="00031FD4"/>
    <w:rsid w:val="00033DA1"/>
    <w:rsid w:val="000346D5"/>
    <w:rsid w:val="000347AC"/>
    <w:rsid w:val="0003590A"/>
    <w:rsid w:val="00037656"/>
    <w:rsid w:val="00041C79"/>
    <w:rsid w:val="00041FE6"/>
    <w:rsid w:val="00043B12"/>
    <w:rsid w:val="00046645"/>
    <w:rsid w:val="00047716"/>
    <w:rsid w:val="00047CF4"/>
    <w:rsid w:val="00052909"/>
    <w:rsid w:val="00053B9D"/>
    <w:rsid w:val="00057044"/>
    <w:rsid w:val="000570BC"/>
    <w:rsid w:val="00057AD6"/>
    <w:rsid w:val="000609AE"/>
    <w:rsid w:val="00060CFA"/>
    <w:rsid w:val="000633D2"/>
    <w:rsid w:val="00064984"/>
    <w:rsid w:val="00071EBF"/>
    <w:rsid w:val="000725AC"/>
    <w:rsid w:val="00072C46"/>
    <w:rsid w:val="0007373C"/>
    <w:rsid w:val="000739F9"/>
    <w:rsid w:val="00074234"/>
    <w:rsid w:val="000752BE"/>
    <w:rsid w:val="00075FE9"/>
    <w:rsid w:val="00076A41"/>
    <w:rsid w:val="000774E2"/>
    <w:rsid w:val="00077601"/>
    <w:rsid w:val="00080153"/>
    <w:rsid w:val="00080724"/>
    <w:rsid w:val="00082A79"/>
    <w:rsid w:val="00086F45"/>
    <w:rsid w:val="000879F4"/>
    <w:rsid w:val="00087AC4"/>
    <w:rsid w:val="00087D53"/>
    <w:rsid w:val="000933FB"/>
    <w:rsid w:val="000934AA"/>
    <w:rsid w:val="0009463C"/>
    <w:rsid w:val="00094B5D"/>
    <w:rsid w:val="000A00CB"/>
    <w:rsid w:val="000A103F"/>
    <w:rsid w:val="000A1D28"/>
    <w:rsid w:val="000A1EC0"/>
    <w:rsid w:val="000A2407"/>
    <w:rsid w:val="000A285C"/>
    <w:rsid w:val="000A375B"/>
    <w:rsid w:val="000A396D"/>
    <w:rsid w:val="000A5B81"/>
    <w:rsid w:val="000B791D"/>
    <w:rsid w:val="000C10AD"/>
    <w:rsid w:val="000C1C73"/>
    <w:rsid w:val="000C3F75"/>
    <w:rsid w:val="000C4168"/>
    <w:rsid w:val="000C6A3D"/>
    <w:rsid w:val="000C7D3D"/>
    <w:rsid w:val="000D0404"/>
    <w:rsid w:val="000D0C26"/>
    <w:rsid w:val="000D13BB"/>
    <w:rsid w:val="000D2FB3"/>
    <w:rsid w:val="000D4025"/>
    <w:rsid w:val="000D4B0B"/>
    <w:rsid w:val="000D571D"/>
    <w:rsid w:val="000E007D"/>
    <w:rsid w:val="000E1E06"/>
    <w:rsid w:val="000E5553"/>
    <w:rsid w:val="000E6806"/>
    <w:rsid w:val="000E6C5F"/>
    <w:rsid w:val="000E6E32"/>
    <w:rsid w:val="000F0BE0"/>
    <w:rsid w:val="000F31C2"/>
    <w:rsid w:val="000F4970"/>
    <w:rsid w:val="000F5641"/>
    <w:rsid w:val="000F6EBA"/>
    <w:rsid w:val="00100680"/>
    <w:rsid w:val="00100EC3"/>
    <w:rsid w:val="001013C3"/>
    <w:rsid w:val="00101F01"/>
    <w:rsid w:val="00101F34"/>
    <w:rsid w:val="001037D7"/>
    <w:rsid w:val="00106030"/>
    <w:rsid w:val="0010663C"/>
    <w:rsid w:val="001070D3"/>
    <w:rsid w:val="001100C3"/>
    <w:rsid w:val="00110724"/>
    <w:rsid w:val="00110A56"/>
    <w:rsid w:val="0011117B"/>
    <w:rsid w:val="00112870"/>
    <w:rsid w:val="00115677"/>
    <w:rsid w:val="001172E1"/>
    <w:rsid w:val="0011730E"/>
    <w:rsid w:val="0011750A"/>
    <w:rsid w:val="001201C5"/>
    <w:rsid w:val="001219F1"/>
    <w:rsid w:val="0012346A"/>
    <w:rsid w:val="00123D3F"/>
    <w:rsid w:val="00125174"/>
    <w:rsid w:val="001270FD"/>
    <w:rsid w:val="001300F7"/>
    <w:rsid w:val="00131252"/>
    <w:rsid w:val="00131EB8"/>
    <w:rsid w:val="0013296C"/>
    <w:rsid w:val="00132B9C"/>
    <w:rsid w:val="001349A6"/>
    <w:rsid w:val="00135A34"/>
    <w:rsid w:val="001360FE"/>
    <w:rsid w:val="00137F23"/>
    <w:rsid w:val="00137FDC"/>
    <w:rsid w:val="0014128C"/>
    <w:rsid w:val="001412AF"/>
    <w:rsid w:val="0014164C"/>
    <w:rsid w:val="001416CC"/>
    <w:rsid w:val="00143F42"/>
    <w:rsid w:val="00143F97"/>
    <w:rsid w:val="0014579B"/>
    <w:rsid w:val="001458A4"/>
    <w:rsid w:val="00145BC4"/>
    <w:rsid w:val="00145F6F"/>
    <w:rsid w:val="00146206"/>
    <w:rsid w:val="0015080A"/>
    <w:rsid w:val="001526E2"/>
    <w:rsid w:val="00152A2B"/>
    <w:rsid w:val="00152B17"/>
    <w:rsid w:val="00152C69"/>
    <w:rsid w:val="00152DC6"/>
    <w:rsid w:val="001556DE"/>
    <w:rsid w:val="00155A5D"/>
    <w:rsid w:val="00155E0D"/>
    <w:rsid w:val="0015685B"/>
    <w:rsid w:val="001609EA"/>
    <w:rsid w:val="00160D0A"/>
    <w:rsid w:val="001612FE"/>
    <w:rsid w:val="0016155A"/>
    <w:rsid w:val="00161AA0"/>
    <w:rsid w:val="001637F6"/>
    <w:rsid w:val="0016391E"/>
    <w:rsid w:val="0016456D"/>
    <w:rsid w:val="00164B25"/>
    <w:rsid w:val="001651AE"/>
    <w:rsid w:val="00170986"/>
    <w:rsid w:val="00171121"/>
    <w:rsid w:val="001714A5"/>
    <w:rsid w:val="0017277D"/>
    <w:rsid w:val="00174AAB"/>
    <w:rsid w:val="00175AA2"/>
    <w:rsid w:val="00175F7E"/>
    <w:rsid w:val="00177944"/>
    <w:rsid w:val="00180393"/>
    <w:rsid w:val="0018127A"/>
    <w:rsid w:val="001818EF"/>
    <w:rsid w:val="00182A1F"/>
    <w:rsid w:val="00183DF8"/>
    <w:rsid w:val="00184782"/>
    <w:rsid w:val="00184C4C"/>
    <w:rsid w:val="00185E4E"/>
    <w:rsid w:val="0018610D"/>
    <w:rsid w:val="001916E1"/>
    <w:rsid w:val="00192130"/>
    <w:rsid w:val="001947BE"/>
    <w:rsid w:val="001958C1"/>
    <w:rsid w:val="00197098"/>
    <w:rsid w:val="00197EB7"/>
    <w:rsid w:val="001A07AE"/>
    <w:rsid w:val="001A23E1"/>
    <w:rsid w:val="001A2A1B"/>
    <w:rsid w:val="001A2DDE"/>
    <w:rsid w:val="001A3ACF"/>
    <w:rsid w:val="001A47D2"/>
    <w:rsid w:val="001A4A84"/>
    <w:rsid w:val="001A79E5"/>
    <w:rsid w:val="001B00D8"/>
    <w:rsid w:val="001B0506"/>
    <w:rsid w:val="001B19AA"/>
    <w:rsid w:val="001B273B"/>
    <w:rsid w:val="001B28B2"/>
    <w:rsid w:val="001B4289"/>
    <w:rsid w:val="001B7091"/>
    <w:rsid w:val="001B7519"/>
    <w:rsid w:val="001B7AA3"/>
    <w:rsid w:val="001B7C25"/>
    <w:rsid w:val="001C032E"/>
    <w:rsid w:val="001C0A73"/>
    <w:rsid w:val="001C174F"/>
    <w:rsid w:val="001C2BE0"/>
    <w:rsid w:val="001C2D71"/>
    <w:rsid w:val="001C5ED5"/>
    <w:rsid w:val="001C78B1"/>
    <w:rsid w:val="001C7919"/>
    <w:rsid w:val="001C7EE1"/>
    <w:rsid w:val="001D2B4A"/>
    <w:rsid w:val="001D3A4F"/>
    <w:rsid w:val="001D485D"/>
    <w:rsid w:val="001D4E97"/>
    <w:rsid w:val="001D56FE"/>
    <w:rsid w:val="001E1025"/>
    <w:rsid w:val="001E1544"/>
    <w:rsid w:val="001E4AA2"/>
    <w:rsid w:val="001E5C2C"/>
    <w:rsid w:val="001E6871"/>
    <w:rsid w:val="001F136D"/>
    <w:rsid w:val="001F2118"/>
    <w:rsid w:val="001F24F5"/>
    <w:rsid w:val="001F2C9B"/>
    <w:rsid w:val="001F3AFC"/>
    <w:rsid w:val="001F5BF9"/>
    <w:rsid w:val="001F60D6"/>
    <w:rsid w:val="001F706B"/>
    <w:rsid w:val="001F772F"/>
    <w:rsid w:val="001F7DED"/>
    <w:rsid w:val="0020167E"/>
    <w:rsid w:val="002028E9"/>
    <w:rsid w:val="002033A7"/>
    <w:rsid w:val="00203CCF"/>
    <w:rsid w:val="00204BB6"/>
    <w:rsid w:val="0020579D"/>
    <w:rsid w:val="00206553"/>
    <w:rsid w:val="0020670C"/>
    <w:rsid w:val="002068F8"/>
    <w:rsid w:val="00206DA6"/>
    <w:rsid w:val="0020712A"/>
    <w:rsid w:val="0021029D"/>
    <w:rsid w:val="00211741"/>
    <w:rsid w:val="0021258A"/>
    <w:rsid w:val="0021378E"/>
    <w:rsid w:val="00213926"/>
    <w:rsid w:val="00213C41"/>
    <w:rsid w:val="00215CD1"/>
    <w:rsid w:val="00216104"/>
    <w:rsid w:val="002169E7"/>
    <w:rsid w:val="00216C54"/>
    <w:rsid w:val="00216C8D"/>
    <w:rsid w:val="00216ECB"/>
    <w:rsid w:val="00222C4D"/>
    <w:rsid w:val="00223369"/>
    <w:rsid w:val="00225037"/>
    <w:rsid w:val="0022638E"/>
    <w:rsid w:val="0022712C"/>
    <w:rsid w:val="002271A6"/>
    <w:rsid w:val="002271CD"/>
    <w:rsid w:val="00231654"/>
    <w:rsid w:val="00231AA4"/>
    <w:rsid w:val="00233F3B"/>
    <w:rsid w:val="00234BAE"/>
    <w:rsid w:val="002351A8"/>
    <w:rsid w:val="00235CAB"/>
    <w:rsid w:val="00236E1F"/>
    <w:rsid w:val="00237B18"/>
    <w:rsid w:val="00240B80"/>
    <w:rsid w:val="00241BE0"/>
    <w:rsid w:val="00242E3C"/>
    <w:rsid w:val="002501DA"/>
    <w:rsid w:val="002519A6"/>
    <w:rsid w:val="00251D56"/>
    <w:rsid w:val="002526E6"/>
    <w:rsid w:val="002535B1"/>
    <w:rsid w:val="00254083"/>
    <w:rsid w:val="00255B43"/>
    <w:rsid w:val="00261D44"/>
    <w:rsid w:val="002620F4"/>
    <w:rsid w:val="002624C8"/>
    <w:rsid w:val="00263C07"/>
    <w:rsid w:val="002648E9"/>
    <w:rsid w:val="002649E1"/>
    <w:rsid w:val="00266566"/>
    <w:rsid w:val="00274CE3"/>
    <w:rsid w:val="00275128"/>
    <w:rsid w:val="00275AE5"/>
    <w:rsid w:val="00277107"/>
    <w:rsid w:val="00277DDD"/>
    <w:rsid w:val="002856CB"/>
    <w:rsid w:val="00286DDB"/>
    <w:rsid w:val="002902D6"/>
    <w:rsid w:val="002910F0"/>
    <w:rsid w:val="00291E9C"/>
    <w:rsid w:val="00292A6F"/>
    <w:rsid w:val="00292BD6"/>
    <w:rsid w:val="00293E2B"/>
    <w:rsid w:val="00296178"/>
    <w:rsid w:val="002962B2"/>
    <w:rsid w:val="002A024B"/>
    <w:rsid w:val="002A02AE"/>
    <w:rsid w:val="002A0546"/>
    <w:rsid w:val="002A1726"/>
    <w:rsid w:val="002A1BC6"/>
    <w:rsid w:val="002A2426"/>
    <w:rsid w:val="002A3712"/>
    <w:rsid w:val="002A4B6C"/>
    <w:rsid w:val="002A75D7"/>
    <w:rsid w:val="002B0993"/>
    <w:rsid w:val="002B253B"/>
    <w:rsid w:val="002B2947"/>
    <w:rsid w:val="002B3C7B"/>
    <w:rsid w:val="002B4951"/>
    <w:rsid w:val="002B4C00"/>
    <w:rsid w:val="002B57BC"/>
    <w:rsid w:val="002B7912"/>
    <w:rsid w:val="002C280D"/>
    <w:rsid w:val="002C29AC"/>
    <w:rsid w:val="002C2A50"/>
    <w:rsid w:val="002C3F2E"/>
    <w:rsid w:val="002C3FAA"/>
    <w:rsid w:val="002C4836"/>
    <w:rsid w:val="002C6BA5"/>
    <w:rsid w:val="002D05F2"/>
    <w:rsid w:val="002D0EE8"/>
    <w:rsid w:val="002D3718"/>
    <w:rsid w:val="002D3A61"/>
    <w:rsid w:val="002D3B70"/>
    <w:rsid w:val="002D41FB"/>
    <w:rsid w:val="002D57F2"/>
    <w:rsid w:val="002D7C56"/>
    <w:rsid w:val="002E1EAC"/>
    <w:rsid w:val="002E3C88"/>
    <w:rsid w:val="002E5106"/>
    <w:rsid w:val="002E53E7"/>
    <w:rsid w:val="002E7229"/>
    <w:rsid w:val="002E7C7C"/>
    <w:rsid w:val="002F01CA"/>
    <w:rsid w:val="002F051B"/>
    <w:rsid w:val="002F0CA6"/>
    <w:rsid w:val="002F0D55"/>
    <w:rsid w:val="002F15CF"/>
    <w:rsid w:val="002F18B6"/>
    <w:rsid w:val="002F2461"/>
    <w:rsid w:val="002F36F2"/>
    <w:rsid w:val="002F3B1A"/>
    <w:rsid w:val="002F4CB8"/>
    <w:rsid w:val="002F7D02"/>
    <w:rsid w:val="003015FC"/>
    <w:rsid w:val="00302BCB"/>
    <w:rsid w:val="00304027"/>
    <w:rsid w:val="00307292"/>
    <w:rsid w:val="00307E51"/>
    <w:rsid w:val="0031076B"/>
    <w:rsid w:val="00313D81"/>
    <w:rsid w:val="003142B3"/>
    <w:rsid w:val="0031664C"/>
    <w:rsid w:val="00316898"/>
    <w:rsid w:val="00320367"/>
    <w:rsid w:val="00320AA0"/>
    <w:rsid w:val="003213C8"/>
    <w:rsid w:val="00322761"/>
    <w:rsid w:val="003238DC"/>
    <w:rsid w:val="0032606E"/>
    <w:rsid w:val="00330922"/>
    <w:rsid w:val="00330A35"/>
    <w:rsid w:val="00331354"/>
    <w:rsid w:val="00332B2C"/>
    <w:rsid w:val="00332CCD"/>
    <w:rsid w:val="003330E6"/>
    <w:rsid w:val="00334343"/>
    <w:rsid w:val="003351DF"/>
    <w:rsid w:val="00335267"/>
    <w:rsid w:val="003362E3"/>
    <w:rsid w:val="003368F9"/>
    <w:rsid w:val="00337209"/>
    <w:rsid w:val="00337AA4"/>
    <w:rsid w:val="003430E3"/>
    <w:rsid w:val="0034373B"/>
    <w:rsid w:val="00344075"/>
    <w:rsid w:val="00344C56"/>
    <w:rsid w:val="003469E9"/>
    <w:rsid w:val="0035027D"/>
    <w:rsid w:val="003509B4"/>
    <w:rsid w:val="00350AF6"/>
    <w:rsid w:val="003521AA"/>
    <w:rsid w:val="00352676"/>
    <w:rsid w:val="00353D3E"/>
    <w:rsid w:val="0035721A"/>
    <w:rsid w:val="0035725C"/>
    <w:rsid w:val="00357846"/>
    <w:rsid w:val="0035790E"/>
    <w:rsid w:val="00361D64"/>
    <w:rsid w:val="00362226"/>
    <w:rsid w:val="00362EA0"/>
    <w:rsid w:val="00363932"/>
    <w:rsid w:val="00364B2B"/>
    <w:rsid w:val="00365F2F"/>
    <w:rsid w:val="0036666D"/>
    <w:rsid w:val="00366E6E"/>
    <w:rsid w:val="00367E4B"/>
    <w:rsid w:val="003728D7"/>
    <w:rsid w:val="00372DD6"/>
    <w:rsid w:val="00373875"/>
    <w:rsid w:val="00374DD3"/>
    <w:rsid w:val="00375BFD"/>
    <w:rsid w:val="00375D42"/>
    <w:rsid w:val="00377866"/>
    <w:rsid w:val="00377E36"/>
    <w:rsid w:val="0038114E"/>
    <w:rsid w:val="003812B2"/>
    <w:rsid w:val="003830CE"/>
    <w:rsid w:val="00387B13"/>
    <w:rsid w:val="00387B56"/>
    <w:rsid w:val="00390C10"/>
    <w:rsid w:val="0039459B"/>
    <w:rsid w:val="0039463D"/>
    <w:rsid w:val="00396124"/>
    <w:rsid w:val="00397095"/>
    <w:rsid w:val="0039732C"/>
    <w:rsid w:val="00397669"/>
    <w:rsid w:val="003A2B05"/>
    <w:rsid w:val="003A353C"/>
    <w:rsid w:val="003A571A"/>
    <w:rsid w:val="003A5802"/>
    <w:rsid w:val="003A5A2E"/>
    <w:rsid w:val="003A652B"/>
    <w:rsid w:val="003A6FC5"/>
    <w:rsid w:val="003B02C4"/>
    <w:rsid w:val="003B1246"/>
    <w:rsid w:val="003B1379"/>
    <w:rsid w:val="003B1504"/>
    <w:rsid w:val="003B1C3B"/>
    <w:rsid w:val="003B54C2"/>
    <w:rsid w:val="003B56B8"/>
    <w:rsid w:val="003B5AC6"/>
    <w:rsid w:val="003B6544"/>
    <w:rsid w:val="003B7BCF"/>
    <w:rsid w:val="003B7D87"/>
    <w:rsid w:val="003C054C"/>
    <w:rsid w:val="003C0F42"/>
    <w:rsid w:val="003C36AC"/>
    <w:rsid w:val="003C376A"/>
    <w:rsid w:val="003C3A01"/>
    <w:rsid w:val="003C45C9"/>
    <w:rsid w:val="003C4AD0"/>
    <w:rsid w:val="003C650E"/>
    <w:rsid w:val="003C78F0"/>
    <w:rsid w:val="003D0C7D"/>
    <w:rsid w:val="003D2A90"/>
    <w:rsid w:val="003D3ADB"/>
    <w:rsid w:val="003D3B28"/>
    <w:rsid w:val="003D457C"/>
    <w:rsid w:val="003D48E3"/>
    <w:rsid w:val="003D4A20"/>
    <w:rsid w:val="003D4C58"/>
    <w:rsid w:val="003D6A4E"/>
    <w:rsid w:val="003D6F09"/>
    <w:rsid w:val="003D7382"/>
    <w:rsid w:val="003E12E4"/>
    <w:rsid w:val="003E14F8"/>
    <w:rsid w:val="003E5C9A"/>
    <w:rsid w:val="003E6434"/>
    <w:rsid w:val="003E64DB"/>
    <w:rsid w:val="003E7C7B"/>
    <w:rsid w:val="003E7CA1"/>
    <w:rsid w:val="003F0A74"/>
    <w:rsid w:val="003F1875"/>
    <w:rsid w:val="003F18D1"/>
    <w:rsid w:val="003F1FF7"/>
    <w:rsid w:val="003F339B"/>
    <w:rsid w:val="003F4D50"/>
    <w:rsid w:val="003F5FD0"/>
    <w:rsid w:val="003F792E"/>
    <w:rsid w:val="003F796B"/>
    <w:rsid w:val="004014A4"/>
    <w:rsid w:val="00401D4C"/>
    <w:rsid w:val="00402343"/>
    <w:rsid w:val="00402CEF"/>
    <w:rsid w:val="0040418E"/>
    <w:rsid w:val="0040473C"/>
    <w:rsid w:val="0040615D"/>
    <w:rsid w:val="004063DF"/>
    <w:rsid w:val="00412583"/>
    <w:rsid w:val="00412C21"/>
    <w:rsid w:val="004130B3"/>
    <w:rsid w:val="004131D1"/>
    <w:rsid w:val="004132B6"/>
    <w:rsid w:val="004132FD"/>
    <w:rsid w:val="004133D7"/>
    <w:rsid w:val="00413858"/>
    <w:rsid w:val="00413876"/>
    <w:rsid w:val="00414F8C"/>
    <w:rsid w:val="004155D4"/>
    <w:rsid w:val="0041595B"/>
    <w:rsid w:val="00415973"/>
    <w:rsid w:val="00415F89"/>
    <w:rsid w:val="00416A95"/>
    <w:rsid w:val="00420533"/>
    <w:rsid w:val="00420835"/>
    <w:rsid w:val="00421166"/>
    <w:rsid w:val="004241AA"/>
    <w:rsid w:val="00424492"/>
    <w:rsid w:val="00424A5E"/>
    <w:rsid w:val="00425C79"/>
    <w:rsid w:val="004261AA"/>
    <w:rsid w:val="0042620E"/>
    <w:rsid w:val="0042680E"/>
    <w:rsid w:val="0042724E"/>
    <w:rsid w:val="00431B73"/>
    <w:rsid w:val="00434103"/>
    <w:rsid w:val="004349C0"/>
    <w:rsid w:val="00434E4B"/>
    <w:rsid w:val="00440AFD"/>
    <w:rsid w:val="00441307"/>
    <w:rsid w:val="004419F3"/>
    <w:rsid w:val="00441BEC"/>
    <w:rsid w:val="00441FE5"/>
    <w:rsid w:val="00442659"/>
    <w:rsid w:val="00446025"/>
    <w:rsid w:val="00446486"/>
    <w:rsid w:val="0045108E"/>
    <w:rsid w:val="004511A7"/>
    <w:rsid w:val="004519B2"/>
    <w:rsid w:val="0045494F"/>
    <w:rsid w:val="00457451"/>
    <w:rsid w:val="0046112D"/>
    <w:rsid w:val="0046124F"/>
    <w:rsid w:val="00461997"/>
    <w:rsid w:val="004649AC"/>
    <w:rsid w:val="00465104"/>
    <w:rsid w:val="00467676"/>
    <w:rsid w:val="0047056B"/>
    <w:rsid w:val="004707FD"/>
    <w:rsid w:val="0047147A"/>
    <w:rsid w:val="0047188B"/>
    <w:rsid w:val="00471B19"/>
    <w:rsid w:val="00471BC3"/>
    <w:rsid w:val="00472561"/>
    <w:rsid w:val="0047278F"/>
    <w:rsid w:val="00472BDB"/>
    <w:rsid w:val="00474B4D"/>
    <w:rsid w:val="0047644B"/>
    <w:rsid w:val="00476518"/>
    <w:rsid w:val="0047773F"/>
    <w:rsid w:val="00481D43"/>
    <w:rsid w:val="004820E9"/>
    <w:rsid w:val="00483170"/>
    <w:rsid w:val="0048361F"/>
    <w:rsid w:val="00483BA6"/>
    <w:rsid w:val="00484FE9"/>
    <w:rsid w:val="00485914"/>
    <w:rsid w:val="00485B88"/>
    <w:rsid w:val="00485CF7"/>
    <w:rsid w:val="004866DC"/>
    <w:rsid w:val="00490CE1"/>
    <w:rsid w:val="004912DB"/>
    <w:rsid w:val="004914C0"/>
    <w:rsid w:val="004918C5"/>
    <w:rsid w:val="00492B30"/>
    <w:rsid w:val="00492C86"/>
    <w:rsid w:val="00492F52"/>
    <w:rsid w:val="0049315F"/>
    <w:rsid w:val="00493831"/>
    <w:rsid w:val="00495FE4"/>
    <w:rsid w:val="004971DB"/>
    <w:rsid w:val="004979E5"/>
    <w:rsid w:val="004A0E2D"/>
    <w:rsid w:val="004A27A1"/>
    <w:rsid w:val="004A46A3"/>
    <w:rsid w:val="004A5A28"/>
    <w:rsid w:val="004A5A3F"/>
    <w:rsid w:val="004A6D1D"/>
    <w:rsid w:val="004A78C2"/>
    <w:rsid w:val="004A7C60"/>
    <w:rsid w:val="004B066C"/>
    <w:rsid w:val="004B0EAD"/>
    <w:rsid w:val="004B10A6"/>
    <w:rsid w:val="004B1BC0"/>
    <w:rsid w:val="004B3577"/>
    <w:rsid w:val="004B4705"/>
    <w:rsid w:val="004B4F49"/>
    <w:rsid w:val="004B514C"/>
    <w:rsid w:val="004B5382"/>
    <w:rsid w:val="004B63C7"/>
    <w:rsid w:val="004B696F"/>
    <w:rsid w:val="004B6D06"/>
    <w:rsid w:val="004C001C"/>
    <w:rsid w:val="004C51FD"/>
    <w:rsid w:val="004D2964"/>
    <w:rsid w:val="004D3D45"/>
    <w:rsid w:val="004D50A5"/>
    <w:rsid w:val="004D68D9"/>
    <w:rsid w:val="004D6BBD"/>
    <w:rsid w:val="004D7310"/>
    <w:rsid w:val="004D7514"/>
    <w:rsid w:val="004D7671"/>
    <w:rsid w:val="004E1318"/>
    <w:rsid w:val="004E1A4F"/>
    <w:rsid w:val="004E2E8F"/>
    <w:rsid w:val="004E3689"/>
    <w:rsid w:val="004E37DC"/>
    <w:rsid w:val="004E40F6"/>
    <w:rsid w:val="004F3944"/>
    <w:rsid w:val="004F3A04"/>
    <w:rsid w:val="004F51DB"/>
    <w:rsid w:val="004F6870"/>
    <w:rsid w:val="004F73B1"/>
    <w:rsid w:val="00502B74"/>
    <w:rsid w:val="00503454"/>
    <w:rsid w:val="00503ED1"/>
    <w:rsid w:val="005060D5"/>
    <w:rsid w:val="00507286"/>
    <w:rsid w:val="005104B0"/>
    <w:rsid w:val="00510AD1"/>
    <w:rsid w:val="00511379"/>
    <w:rsid w:val="0051590F"/>
    <w:rsid w:val="0052073F"/>
    <w:rsid w:val="005244A8"/>
    <w:rsid w:val="00524F06"/>
    <w:rsid w:val="00525DE0"/>
    <w:rsid w:val="00526043"/>
    <w:rsid w:val="00526C07"/>
    <w:rsid w:val="0053387C"/>
    <w:rsid w:val="00534115"/>
    <w:rsid w:val="0053414D"/>
    <w:rsid w:val="00534269"/>
    <w:rsid w:val="00535CF7"/>
    <w:rsid w:val="00535FE1"/>
    <w:rsid w:val="00541582"/>
    <w:rsid w:val="005417C8"/>
    <w:rsid w:val="0054248C"/>
    <w:rsid w:val="005428A1"/>
    <w:rsid w:val="00547E57"/>
    <w:rsid w:val="005508ED"/>
    <w:rsid w:val="00551607"/>
    <w:rsid w:val="00552DB3"/>
    <w:rsid w:val="005533AA"/>
    <w:rsid w:val="00554058"/>
    <w:rsid w:val="005550AB"/>
    <w:rsid w:val="0055740B"/>
    <w:rsid w:val="00557A9B"/>
    <w:rsid w:val="005614AA"/>
    <w:rsid w:val="00562B3B"/>
    <w:rsid w:val="005636EA"/>
    <w:rsid w:val="00563C06"/>
    <w:rsid w:val="00564852"/>
    <w:rsid w:val="005651F9"/>
    <w:rsid w:val="005659D9"/>
    <w:rsid w:val="005677E8"/>
    <w:rsid w:val="00567EB3"/>
    <w:rsid w:val="0057010D"/>
    <w:rsid w:val="0057322F"/>
    <w:rsid w:val="005751DB"/>
    <w:rsid w:val="00575990"/>
    <w:rsid w:val="00575A7A"/>
    <w:rsid w:val="00576367"/>
    <w:rsid w:val="00577AA8"/>
    <w:rsid w:val="00577ABC"/>
    <w:rsid w:val="00580057"/>
    <w:rsid w:val="00582371"/>
    <w:rsid w:val="005826D9"/>
    <w:rsid w:val="00583E79"/>
    <w:rsid w:val="0058416F"/>
    <w:rsid w:val="005860F4"/>
    <w:rsid w:val="005865B3"/>
    <w:rsid w:val="005866B1"/>
    <w:rsid w:val="00587DE1"/>
    <w:rsid w:val="00590A08"/>
    <w:rsid w:val="00593FB0"/>
    <w:rsid w:val="005947C3"/>
    <w:rsid w:val="005951EB"/>
    <w:rsid w:val="00595BB9"/>
    <w:rsid w:val="00595D9F"/>
    <w:rsid w:val="005A086D"/>
    <w:rsid w:val="005A240F"/>
    <w:rsid w:val="005A2412"/>
    <w:rsid w:val="005A4778"/>
    <w:rsid w:val="005A50E2"/>
    <w:rsid w:val="005A5E10"/>
    <w:rsid w:val="005A5F61"/>
    <w:rsid w:val="005A725C"/>
    <w:rsid w:val="005B0957"/>
    <w:rsid w:val="005B0F9C"/>
    <w:rsid w:val="005B1AB5"/>
    <w:rsid w:val="005B34BB"/>
    <w:rsid w:val="005B4741"/>
    <w:rsid w:val="005B53B0"/>
    <w:rsid w:val="005B579C"/>
    <w:rsid w:val="005B6F58"/>
    <w:rsid w:val="005B7F96"/>
    <w:rsid w:val="005C051F"/>
    <w:rsid w:val="005C07C7"/>
    <w:rsid w:val="005C10D8"/>
    <w:rsid w:val="005C4467"/>
    <w:rsid w:val="005C5CDF"/>
    <w:rsid w:val="005C762E"/>
    <w:rsid w:val="005C7C88"/>
    <w:rsid w:val="005D098C"/>
    <w:rsid w:val="005D0CA6"/>
    <w:rsid w:val="005D1A2D"/>
    <w:rsid w:val="005D3CB8"/>
    <w:rsid w:val="005D492E"/>
    <w:rsid w:val="005D7C70"/>
    <w:rsid w:val="005D7FB1"/>
    <w:rsid w:val="005E0336"/>
    <w:rsid w:val="005E0F5A"/>
    <w:rsid w:val="005E308A"/>
    <w:rsid w:val="005E34BC"/>
    <w:rsid w:val="005E5A53"/>
    <w:rsid w:val="005E7573"/>
    <w:rsid w:val="005E7B23"/>
    <w:rsid w:val="005F0B12"/>
    <w:rsid w:val="005F1420"/>
    <w:rsid w:val="005F2644"/>
    <w:rsid w:val="005F2C77"/>
    <w:rsid w:val="005F38B4"/>
    <w:rsid w:val="005F3A26"/>
    <w:rsid w:val="005F41BF"/>
    <w:rsid w:val="005F7EBC"/>
    <w:rsid w:val="006009B4"/>
    <w:rsid w:val="00601181"/>
    <w:rsid w:val="00601DEA"/>
    <w:rsid w:val="006025B7"/>
    <w:rsid w:val="00602A96"/>
    <w:rsid w:val="00603E56"/>
    <w:rsid w:val="00603EC3"/>
    <w:rsid w:val="00603EC5"/>
    <w:rsid w:val="006045AC"/>
    <w:rsid w:val="0060541C"/>
    <w:rsid w:val="006055F9"/>
    <w:rsid w:val="0060662A"/>
    <w:rsid w:val="00606DBC"/>
    <w:rsid w:val="006113F8"/>
    <w:rsid w:val="0061184F"/>
    <w:rsid w:val="006118F7"/>
    <w:rsid w:val="006134B2"/>
    <w:rsid w:val="00613D7E"/>
    <w:rsid w:val="00614704"/>
    <w:rsid w:val="00614BDA"/>
    <w:rsid w:val="00614D70"/>
    <w:rsid w:val="00617519"/>
    <w:rsid w:val="006177E4"/>
    <w:rsid w:val="00620185"/>
    <w:rsid w:val="00620E3E"/>
    <w:rsid w:val="00624470"/>
    <w:rsid w:val="00624A56"/>
    <w:rsid w:val="00624E26"/>
    <w:rsid w:val="006279E9"/>
    <w:rsid w:val="0063212F"/>
    <w:rsid w:val="006331B4"/>
    <w:rsid w:val="00633EB8"/>
    <w:rsid w:val="00634357"/>
    <w:rsid w:val="006343F3"/>
    <w:rsid w:val="006356EE"/>
    <w:rsid w:val="00636954"/>
    <w:rsid w:val="00636D0F"/>
    <w:rsid w:val="006378DF"/>
    <w:rsid w:val="0064004E"/>
    <w:rsid w:val="006414AF"/>
    <w:rsid w:val="00642906"/>
    <w:rsid w:val="00643B0A"/>
    <w:rsid w:val="00644B7D"/>
    <w:rsid w:val="00644DBF"/>
    <w:rsid w:val="006476E5"/>
    <w:rsid w:val="00650D02"/>
    <w:rsid w:val="00650DB9"/>
    <w:rsid w:val="006516A1"/>
    <w:rsid w:val="00651736"/>
    <w:rsid w:val="0065188F"/>
    <w:rsid w:val="00654091"/>
    <w:rsid w:val="00655C80"/>
    <w:rsid w:val="006571D4"/>
    <w:rsid w:val="00657A68"/>
    <w:rsid w:val="00657B93"/>
    <w:rsid w:val="006608B3"/>
    <w:rsid w:val="0066118A"/>
    <w:rsid w:val="0066125A"/>
    <w:rsid w:val="006632A3"/>
    <w:rsid w:val="006637B1"/>
    <w:rsid w:val="0066672F"/>
    <w:rsid w:val="00675115"/>
    <w:rsid w:val="00675D28"/>
    <w:rsid w:val="00677925"/>
    <w:rsid w:val="00680B94"/>
    <w:rsid w:val="006818B4"/>
    <w:rsid w:val="00681B37"/>
    <w:rsid w:val="00681D4D"/>
    <w:rsid w:val="0068273C"/>
    <w:rsid w:val="00683D4B"/>
    <w:rsid w:val="00683EA9"/>
    <w:rsid w:val="00686510"/>
    <w:rsid w:val="006875C3"/>
    <w:rsid w:val="00692C81"/>
    <w:rsid w:val="00693126"/>
    <w:rsid w:val="006939F5"/>
    <w:rsid w:val="00693FDD"/>
    <w:rsid w:val="00695480"/>
    <w:rsid w:val="006A1A7C"/>
    <w:rsid w:val="006A3D1A"/>
    <w:rsid w:val="006A42BA"/>
    <w:rsid w:val="006A55E9"/>
    <w:rsid w:val="006A721F"/>
    <w:rsid w:val="006A7D27"/>
    <w:rsid w:val="006A7D35"/>
    <w:rsid w:val="006B1051"/>
    <w:rsid w:val="006B24D2"/>
    <w:rsid w:val="006B53B8"/>
    <w:rsid w:val="006B553E"/>
    <w:rsid w:val="006B64AC"/>
    <w:rsid w:val="006B6DF6"/>
    <w:rsid w:val="006B7413"/>
    <w:rsid w:val="006C186E"/>
    <w:rsid w:val="006C5285"/>
    <w:rsid w:val="006C5584"/>
    <w:rsid w:val="006D15A4"/>
    <w:rsid w:val="006D3C8A"/>
    <w:rsid w:val="006D4FA6"/>
    <w:rsid w:val="006D699E"/>
    <w:rsid w:val="006D6CBB"/>
    <w:rsid w:val="006D73F1"/>
    <w:rsid w:val="006D79A6"/>
    <w:rsid w:val="006E022C"/>
    <w:rsid w:val="006E0F0C"/>
    <w:rsid w:val="006E1040"/>
    <w:rsid w:val="006E1181"/>
    <w:rsid w:val="006E1A56"/>
    <w:rsid w:val="006E2C79"/>
    <w:rsid w:val="006E320A"/>
    <w:rsid w:val="006E37FB"/>
    <w:rsid w:val="006E3E01"/>
    <w:rsid w:val="006E4DC0"/>
    <w:rsid w:val="006E5D27"/>
    <w:rsid w:val="006E6FD1"/>
    <w:rsid w:val="006E787C"/>
    <w:rsid w:val="006F0F57"/>
    <w:rsid w:val="006F29A9"/>
    <w:rsid w:val="006F3359"/>
    <w:rsid w:val="006F4073"/>
    <w:rsid w:val="006F49FB"/>
    <w:rsid w:val="006F4A80"/>
    <w:rsid w:val="007005D8"/>
    <w:rsid w:val="00700736"/>
    <w:rsid w:val="00700CA8"/>
    <w:rsid w:val="00702866"/>
    <w:rsid w:val="007030BA"/>
    <w:rsid w:val="0070410F"/>
    <w:rsid w:val="0070461A"/>
    <w:rsid w:val="00704C6C"/>
    <w:rsid w:val="0070517B"/>
    <w:rsid w:val="007074B3"/>
    <w:rsid w:val="007108B0"/>
    <w:rsid w:val="0071178A"/>
    <w:rsid w:val="0071267F"/>
    <w:rsid w:val="00713A5B"/>
    <w:rsid w:val="007154EA"/>
    <w:rsid w:val="0071590C"/>
    <w:rsid w:val="0071785A"/>
    <w:rsid w:val="00720137"/>
    <w:rsid w:val="0072237D"/>
    <w:rsid w:val="00722A79"/>
    <w:rsid w:val="007237A5"/>
    <w:rsid w:val="00725726"/>
    <w:rsid w:val="007266C4"/>
    <w:rsid w:val="007277C3"/>
    <w:rsid w:val="00731FA8"/>
    <w:rsid w:val="00732405"/>
    <w:rsid w:val="00732519"/>
    <w:rsid w:val="00732C7D"/>
    <w:rsid w:val="00733D3D"/>
    <w:rsid w:val="00734E2C"/>
    <w:rsid w:val="007352E5"/>
    <w:rsid w:val="00737F9C"/>
    <w:rsid w:val="007400DA"/>
    <w:rsid w:val="00740DC0"/>
    <w:rsid w:val="00742414"/>
    <w:rsid w:val="00742649"/>
    <w:rsid w:val="00743EEE"/>
    <w:rsid w:val="0074773A"/>
    <w:rsid w:val="007477F8"/>
    <w:rsid w:val="007508A0"/>
    <w:rsid w:val="00750C85"/>
    <w:rsid w:val="00751964"/>
    <w:rsid w:val="0075298B"/>
    <w:rsid w:val="00752F5C"/>
    <w:rsid w:val="00753AA1"/>
    <w:rsid w:val="00754364"/>
    <w:rsid w:val="00754647"/>
    <w:rsid w:val="00754922"/>
    <w:rsid w:val="00757F67"/>
    <w:rsid w:val="007600BE"/>
    <w:rsid w:val="007621B9"/>
    <w:rsid w:val="0076279C"/>
    <w:rsid w:val="0076403B"/>
    <w:rsid w:val="007710D0"/>
    <w:rsid w:val="007724E4"/>
    <w:rsid w:val="007726F2"/>
    <w:rsid w:val="00772B9A"/>
    <w:rsid w:val="007753BD"/>
    <w:rsid w:val="00775E52"/>
    <w:rsid w:val="00777984"/>
    <w:rsid w:val="0078176A"/>
    <w:rsid w:val="007822AD"/>
    <w:rsid w:val="00782564"/>
    <w:rsid w:val="00782FD4"/>
    <w:rsid w:val="0078430E"/>
    <w:rsid w:val="007843E5"/>
    <w:rsid w:val="00784F27"/>
    <w:rsid w:val="0078501F"/>
    <w:rsid w:val="00785F57"/>
    <w:rsid w:val="007865DC"/>
    <w:rsid w:val="007865E1"/>
    <w:rsid w:val="00786D83"/>
    <w:rsid w:val="0079097F"/>
    <w:rsid w:val="007945BA"/>
    <w:rsid w:val="0079522E"/>
    <w:rsid w:val="007953DC"/>
    <w:rsid w:val="007955B1"/>
    <w:rsid w:val="00795C38"/>
    <w:rsid w:val="00795C5F"/>
    <w:rsid w:val="00795E73"/>
    <w:rsid w:val="007A174B"/>
    <w:rsid w:val="007A1B27"/>
    <w:rsid w:val="007A3260"/>
    <w:rsid w:val="007A393E"/>
    <w:rsid w:val="007A41B3"/>
    <w:rsid w:val="007A4EEE"/>
    <w:rsid w:val="007A5D74"/>
    <w:rsid w:val="007A7B66"/>
    <w:rsid w:val="007B1444"/>
    <w:rsid w:val="007B1D88"/>
    <w:rsid w:val="007B2F05"/>
    <w:rsid w:val="007B415D"/>
    <w:rsid w:val="007B5571"/>
    <w:rsid w:val="007B5BCA"/>
    <w:rsid w:val="007B6EED"/>
    <w:rsid w:val="007B7208"/>
    <w:rsid w:val="007C07DC"/>
    <w:rsid w:val="007C0985"/>
    <w:rsid w:val="007C0B84"/>
    <w:rsid w:val="007C150B"/>
    <w:rsid w:val="007C2BD3"/>
    <w:rsid w:val="007C4AE8"/>
    <w:rsid w:val="007C73C2"/>
    <w:rsid w:val="007D0A34"/>
    <w:rsid w:val="007D1C29"/>
    <w:rsid w:val="007D24D3"/>
    <w:rsid w:val="007D3FA0"/>
    <w:rsid w:val="007D4354"/>
    <w:rsid w:val="007D47C7"/>
    <w:rsid w:val="007E1998"/>
    <w:rsid w:val="007E19A7"/>
    <w:rsid w:val="007E3DB1"/>
    <w:rsid w:val="007E5F93"/>
    <w:rsid w:val="007E7B80"/>
    <w:rsid w:val="007F1857"/>
    <w:rsid w:val="007F2311"/>
    <w:rsid w:val="007F264A"/>
    <w:rsid w:val="007F26A3"/>
    <w:rsid w:val="007F3227"/>
    <w:rsid w:val="007F4075"/>
    <w:rsid w:val="007F4821"/>
    <w:rsid w:val="007F4A80"/>
    <w:rsid w:val="007F70A2"/>
    <w:rsid w:val="00800633"/>
    <w:rsid w:val="0080162F"/>
    <w:rsid w:val="008028A1"/>
    <w:rsid w:val="00804351"/>
    <w:rsid w:val="00806809"/>
    <w:rsid w:val="00807A0F"/>
    <w:rsid w:val="00807F52"/>
    <w:rsid w:val="0081080C"/>
    <w:rsid w:val="0081404B"/>
    <w:rsid w:val="00814380"/>
    <w:rsid w:val="00817AFE"/>
    <w:rsid w:val="00817F07"/>
    <w:rsid w:val="008211AC"/>
    <w:rsid w:val="0082543D"/>
    <w:rsid w:val="008277C1"/>
    <w:rsid w:val="00830636"/>
    <w:rsid w:val="008329B3"/>
    <w:rsid w:val="0083335A"/>
    <w:rsid w:val="008342EB"/>
    <w:rsid w:val="0083550B"/>
    <w:rsid w:val="008361D2"/>
    <w:rsid w:val="008416D6"/>
    <w:rsid w:val="0084178B"/>
    <w:rsid w:val="00844F8B"/>
    <w:rsid w:val="00845F2B"/>
    <w:rsid w:val="008467DA"/>
    <w:rsid w:val="00847F2B"/>
    <w:rsid w:val="00847FD4"/>
    <w:rsid w:val="008505C3"/>
    <w:rsid w:val="00850606"/>
    <w:rsid w:val="00850778"/>
    <w:rsid w:val="008509EA"/>
    <w:rsid w:val="00851538"/>
    <w:rsid w:val="008545AB"/>
    <w:rsid w:val="008551CD"/>
    <w:rsid w:val="008560D6"/>
    <w:rsid w:val="008565C1"/>
    <w:rsid w:val="00860B27"/>
    <w:rsid w:val="0086168F"/>
    <w:rsid w:val="00862746"/>
    <w:rsid w:val="00862C0C"/>
    <w:rsid w:val="008637AC"/>
    <w:rsid w:val="008702B9"/>
    <w:rsid w:val="00871684"/>
    <w:rsid w:val="008717E1"/>
    <w:rsid w:val="00871A5E"/>
    <w:rsid w:val="0087233F"/>
    <w:rsid w:val="00872381"/>
    <w:rsid w:val="00873546"/>
    <w:rsid w:val="00873F9E"/>
    <w:rsid w:val="00874CA2"/>
    <w:rsid w:val="00874FBA"/>
    <w:rsid w:val="00876212"/>
    <w:rsid w:val="00877EC4"/>
    <w:rsid w:val="00880A47"/>
    <w:rsid w:val="00881241"/>
    <w:rsid w:val="00881ABF"/>
    <w:rsid w:val="00882019"/>
    <w:rsid w:val="008821B9"/>
    <w:rsid w:val="00882DA5"/>
    <w:rsid w:val="00883667"/>
    <w:rsid w:val="00884171"/>
    <w:rsid w:val="00884250"/>
    <w:rsid w:val="00884297"/>
    <w:rsid w:val="00884E1C"/>
    <w:rsid w:val="008853CB"/>
    <w:rsid w:val="00890FE0"/>
    <w:rsid w:val="00895DFD"/>
    <w:rsid w:val="00896D51"/>
    <w:rsid w:val="00897428"/>
    <w:rsid w:val="00897AF2"/>
    <w:rsid w:val="008A161C"/>
    <w:rsid w:val="008A33B6"/>
    <w:rsid w:val="008A3CB5"/>
    <w:rsid w:val="008A5C28"/>
    <w:rsid w:val="008A6557"/>
    <w:rsid w:val="008A722F"/>
    <w:rsid w:val="008A75A7"/>
    <w:rsid w:val="008A7B6D"/>
    <w:rsid w:val="008B0090"/>
    <w:rsid w:val="008B00D6"/>
    <w:rsid w:val="008B339C"/>
    <w:rsid w:val="008B3AA2"/>
    <w:rsid w:val="008B3BE6"/>
    <w:rsid w:val="008B3D28"/>
    <w:rsid w:val="008B59EC"/>
    <w:rsid w:val="008B6B7A"/>
    <w:rsid w:val="008B7904"/>
    <w:rsid w:val="008C02B6"/>
    <w:rsid w:val="008C1412"/>
    <w:rsid w:val="008C2080"/>
    <w:rsid w:val="008C20A0"/>
    <w:rsid w:val="008C379B"/>
    <w:rsid w:val="008C782E"/>
    <w:rsid w:val="008C7F9A"/>
    <w:rsid w:val="008D0AEB"/>
    <w:rsid w:val="008D0BAD"/>
    <w:rsid w:val="008D10F4"/>
    <w:rsid w:val="008D4A8D"/>
    <w:rsid w:val="008D4E06"/>
    <w:rsid w:val="008D6069"/>
    <w:rsid w:val="008E229C"/>
    <w:rsid w:val="008E4510"/>
    <w:rsid w:val="008E4B93"/>
    <w:rsid w:val="008E527F"/>
    <w:rsid w:val="008E6077"/>
    <w:rsid w:val="008E6C2D"/>
    <w:rsid w:val="008E6F5B"/>
    <w:rsid w:val="008E7585"/>
    <w:rsid w:val="008F1839"/>
    <w:rsid w:val="008F5456"/>
    <w:rsid w:val="008F55F6"/>
    <w:rsid w:val="008F675E"/>
    <w:rsid w:val="008F687A"/>
    <w:rsid w:val="008F6CD4"/>
    <w:rsid w:val="0090045D"/>
    <w:rsid w:val="00903B5B"/>
    <w:rsid w:val="00903BA1"/>
    <w:rsid w:val="00904034"/>
    <w:rsid w:val="00905488"/>
    <w:rsid w:val="00905DD8"/>
    <w:rsid w:val="009065B8"/>
    <w:rsid w:val="009104CF"/>
    <w:rsid w:val="00910656"/>
    <w:rsid w:val="00912165"/>
    <w:rsid w:val="00915E2F"/>
    <w:rsid w:val="00916AF7"/>
    <w:rsid w:val="00917AF1"/>
    <w:rsid w:val="00921354"/>
    <w:rsid w:val="009214EE"/>
    <w:rsid w:val="00922F20"/>
    <w:rsid w:val="0092569F"/>
    <w:rsid w:val="009260F4"/>
    <w:rsid w:val="009261AD"/>
    <w:rsid w:val="009265C8"/>
    <w:rsid w:val="00927618"/>
    <w:rsid w:val="009303FD"/>
    <w:rsid w:val="00931175"/>
    <w:rsid w:val="00931C7F"/>
    <w:rsid w:val="00933485"/>
    <w:rsid w:val="0093472E"/>
    <w:rsid w:val="009352E3"/>
    <w:rsid w:val="00936649"/>
    <w:rsid w:val="00940F49"/>
    <w:rsid w:val="009415A4"/>
    <w:rsid w:val="009420A0"/>
    <w:rsid w:val="0094366C"/>
    <w:rsid w:val="00943C27"/>
    <w:rsid w:val="0094406F"/>
    <w:rsid w:val="00944808"/>
    <w:rsid w:val="00944A6D"/>
    <w:rsid w:val="009458B4"/>
    <w:rsid w:val="0094624D"/>
    <w:rsid w:val="00946F9B"/>
    <w:rsid w:val="0094761E"/>
    <w:rsid w:val="00950526"/>
    <w:rsid w:val="0095158B"/>
    <w:rsid w:val="00952244"/>
    <w:rsid w:val="00953ADF"/>
    <w:rsid w:val="00956A76"/>
    <w:rsid w:val="00957687"/>
    <w:rsid w:val="00960520"/>
    <w:rsid w:val="00960703"/>
    <w:rsid w:val="0096097E"/>
    <w:rsid w:val="00961763"/>
    <w:rsid w:val="00962BDA"/>
    <w:rsid w:val="009632D6"/>
    <w:rsid w:val="00963712"/>
    <w:rsid w:val="009645CA"/>
    <w:rsid w:val="0096526D"/>
    <w:rsid w:val="009657EC"/>
    <w:rsid w:val="00967A7C"/>
    <w:rsid w:val="009706FA"/>
    <w:rsid w:val="00971036"/>
    <w:rsid w:val="00971131"/>
    <w:rsid w:val="00971B4C"/>
    <w:rsid w:val="00973405"/>
    <w:rsid w:val="00974F27"/>
    <w:rsid w:val="00974FB2"/>
    <w:rsid w:val="00981C17"/>
    <w:rsid w:val="009832C0"/>
    <w:rsid w:val="00983E48"/>
    <w:rsid w:val="009871F3"/>
    <w:rsid w:val="00987CA4"/>
    <w:rsid w:val="00987E56"/>
    <w:rsid w:val="0099226D"/>
    <w:rsid w:val="00992BEE"/>
    <w:rsid w:val="009933CF"/>
    <w:rsid w:val="00993DBB"/>
    <w:rsid w:val="00994738"/>
    <w:rsid w:val="0099473A"/>
    <w:rsid w:val="00994875"/>
    <w:rsid w:val="00994B46"/>
    <w:rsid w:val="00995847"/>
    <w:rsid w:val="00995971"/>
    <w:rsid w:val="009A0289"/>
    <w:rsid w:val="009A143F"/>
    <w:rsid w:val="009A19FB"/>
    <w:rsid w:val="009A1B99"/>
    <w:rsid w:val="009A1CAD"/>
    <w:rsid w:val="009A2B8A"/>
    <w:rsid w:val="009A3238"/>
    <w:rsid w:val="009A59EF"/>
    <w:rsid w:val="009A5F8D"/>
    <w:rsid w:val="009A6655"/>
    <w:rsid w:val="009B003D"/>
    <w:rsid w:val="009B05C9"/>
    <w:rsid w:val="009B19F0"/>
    <w:rsid w:val="009B1D56"/>
    <w:rsid w:val="009B28FD"/>
    <w:rsid w:val="009B478B"/>
    <w:rsid w:val="009B4E81"/>
    <w:rsid w:val="009B59A0"/>
    <w:rsid w:val="009B6192"/>
    <w:rsid w:val="009B621A"/>
    <w:rsid w:val="009B6755"/>
    <w:rsid w:val="009B746B"/>
    <w:rsid w:val="009B748A"/>
    <w:rsid w:val="009C0705"/>
    <w:rsid w:val="009C079C"/>
    <w:rsid w:val="009C0E6E"/>
    <w:rsid w:val="009C39B9"/>
    <w:rsid w:val="009C45D9"/>
    <w:rsid w:val="009C5461"/>
    <w:rsid w:val="009C6E2D"/>
    <w:rsid w:val="009D0BCC"/>
    <w:rsid w:val="009D15B0"/>
    <w:rsid w:val="009D31A8"/>
    <w:rsid w:val="009D433F"/>
    <w:rsid w:val="009E2824"/>
    <w:rsid w:val="009E4203"/>
    <w:rsid w:val="009E4430"/>
    <w:rsid w:val="009F0A43"/>
    <w:rsid w:val="009F1C07"/>
    <w:rsid w:val="009F3F2F"/>
    <w:rsid w:val="009F521B"/>
    <w:rsid w:val="009F587A"/>
    <w:rsid w:val="009F5E23"/>
    <w:rsid w:val="009F5F95"/>
    <w:rsid w:val="009F60C4"/>
    <w:rsid w:val="009F648C"/>
    <w:rsid w:val="009F6F6E"/>
    <w:rsid w:val="009F7250"/>
    <w:rsid w:val="009F760D"/>
    <w:rsid w:val="009F7FDF"/>
    <w:rsid w:val="00A00113"/>
    <w:rsid w:val="00A02E37"/>
    <w:rsid w:val="00A039B1"/>
    <w:rsid w:val="00A042CE"/>
    <w:rsid w:val="00A04E3D"/>
    <w:rsid w:val="00A06657"/>
    <w:rsid w:val="00A102A0"/>
    <w:rsid w:val="00A1031E"/>
    <w:rsid w:val="00A10D8D"/>
    <w:rsid w:val="00A110F2"/>
    <w:rsid w:val="00A117C2"/>
    <w:rsid w:val="00A12D9F"/>
    <w:rsid w:val="00A13E28"/>
    <w:rsid w:val="00A1583D"/>
    <w:rsid w:val="00A15857"/>
    <w:rsid w:val="00A16747"/>
    <w:rsid w:val="00A16E36"/>
    <w:rsid w:val="00A16E57"/>
    <w:rsid w:val="00A20DBE"/>
    <w:rsid w:val="00A21500"/>
    <w:rsid w:val="00A226C8"/>
    <w:rsid w:val="00A227E2"/>
    <w:rsid w:val="00A22B3C"/>
    <w:rsid w:val="00A230E0"/>
    <w:rsid w:val="00A23468"/>
    <w:rsid w:val="00A23D67"/>
    <w:rsid w:val="00A24960"/>
    <w:rsid w:val="00A24C1C"/>
    <w:rsid w:val="00A24E9B"/>
    <w:rsid w:val="00A25390"/>
    <w:rsid w:val="00A25E10"/>
    <w:rsid w:val="00A26D0E"/>
    <w:rsid w:val="00A276A4"/>
    <w:rsid w:val="00A31005"/>
    <w:rsid w:val="00A31269"/>
    <w:rsid w:val="00A353BB"/>
    <w:rsid w:val="00A358FB"/>
    <w:rsid w:val="00A36575"/>
    <w:rsid w:val="00A365BB"/>
    <w:rsid w:val="00A43114"/>
    <w:rsid w:val="00A45531"/>
    <w:rsid w:val="00A45580"/>
    <w:rsid w:val="00A46C6A"/>
    <w:rsid w:val="00A46DC7"/>
    <w:rsid w:val="00A5149D"/>
    <w:rsid w:val="00A51A63"/>
    <w:rsid w:val="00A522F8"/>
    <w:rsid w:val="00A5237A"/>
    <w:rsid w:val="00A5278A"/>
    <w:rsid w:val="00A5550E"/>
    <w:rsid w:val="00A56BBA"/>
    <w:rsid w:val="00A619EB"/>
    <w:rsid w:val="00A6481B"/>
    <w:rsid w:val="00A6532C"/>
    <w:rsid w:val="00A6663E"/>
    <w:rsid w:val="00A668AC"/>
    <w:rsid w:val="00A66F3E"/>
    <w:rsid w:val="00A704C7"/>
    <w:rsid w:val="00A71D19"/>
    <w:rsid w:val="00A72286"/>
    <w:rsid w:val="00A72AD5"/>
    <w:rsid w:val="00A72EF3"/>
    <w:rsid w:val="00A73F54"/>
    <w:rsid w:val="00A761E0"/>
    <w:rsid w:val="00A77FD9"/>
    <w:rsid w:val="00A80280"/>
    <w:rsid w:val="00A80E8B"/>
    <w:rsid w:val="00A820E1"/>
    <w:rsid w:val="00A869CF"/>
    <w:rsid w:val="00A86D3D"/>
    <w:rsid w:val="00A87482"/>
    <w:rsid w:val="00A874BE"/>
    <w:rsid w:val="00A87CCA"/>
    <w:rsid w:val="00A909E7"/>
    <w:rsid w:val="00A9186C"/>
    <w:rsid w:val="00A94DDA"/>
    <w:rsid w:val="00A9555C"/>
    <w:rsid w:val="00A956DE"/>
    <w:rsid w:val="00A95F9D"/>
    <w:rsid w:val="00A966AB"/>
    <w:rsid w:val="00A96760"/>
    <w:rsid w:val="00A97458"/>
    <w:rsid w:val="00A9780B"/>
    <w:rsid w:val="00AA0A9A"/>
    <w:rsid w:val="00AA15D9"/>
    <w:rsid w:val="00AA197C"/>
    <w:rsid w:val="00AA3219"/>
    <w:rsid w:val="00AA4B89"/>
    <w:rsid w:val="00AA5FD8"/>
    <w:rsid w:val="00AA643D"/>
    <w:rsid w:val="00AB0186"/>
    <w:rsid w:val="00AB0936"/>
    <w:rsid w:val="00AB118A"/>
    <w:rsid w:val="00AB12AF"/>
    <w:rsid w:val="00AB2948"/>
    <w:rsid w:val="00AB311D"/>
    <w:rsid w:val="00AB39FA"/>
    <w:rsid w:val="00AB3A4B"/>
    <w:rsid w:val="00AB3AFA"/>
    <w:rsid w:val="00AB605B"/>
    <w:rsid w:val="00AB706C"/>
    <w:rsid w:val="00AC0665"/>
    <w:rsid w:val="00AC121F"/>
    <w:rsid w:val="00AC181B"/>
    <w:rsid w:val="00AC2BEB"/>
    <w:rsid w:val="00AC3996"/>
    <w:rsid w:val="00AC3B60"/>
    <w:rsid w:val="00AC3E18"/>
    <w:rsid w:val="00AC3EB5"/>
    <w:rsid w:val="00AC6CD9"/>
    <w:rsid w:val="00AC6D32"/>
    <w:rsid w:val="00AD024E"/>
    <w:rsid w:val="00AD0F6C"/>
    <w:rsid w:val="00AD11EA"/>
    <w:rsid w:val="00AD5062"/>
    <w:rsid w:val="00AD5CB7"/>
    <w:rsid w:val="00AD5E0B"/>
    <w:rsid w:val="00AD6933"/>
    <w:rsid w:val="00AD6B7B"/>
    <w:rsid w:val="00AD7BF9"/>
    <w:rsid w:val="00AE0511"/>
    <w:rsid w:val="00AE0A05"/>
    <w:rsid w:val="00AE1BFB"/>
    <w:rsid w:val="00AE211A"/>
    <w:rsid w:val="00AE3179"/>
    <w:rsid w:val="00AE37A0"/>
    <w:rsid w:val="00AE39E6"/>
    <w:rsid w:val="00AE79B2"/>
    <w:rsid w:val="00AF0837"/>
    <w:rsid w:val="00AF0A8A"/>
    <w:rsid w:val="00AF16C1"/>
    <w:rsid w:val="00AF2B35"/>
    <w:rsid w:val="00AF37E5"/>
    <w:rsid w:val="00AF40A2"/>
    <w:rsid w:val="00AF5D6A"/>
    <w:rsid w:val="00AF6157"/>
    <w:rsid w:val="00AF6772"/>
    <w:rsid w:val="00AF7CCC"/>
    <w:rsid w:val="00B0463B"/>
    <w:rsid w:val="00B068CD"/>
    <w:rsid w:val="00B07132"/>
    <w:rsid w:val="00B075E0"/>
    <w:rsid w:val="00B079A8"/>
    <w:rsid w:val="00B10F12"/>
    <w:rsid w:val="00B11E87"/>
    <w:rsid w:val="00B1327F"/>
    <w:rsid w:val="00B13FFB"/>
    <w:rsid w:val="00B14A6D"/>
    <w:rsid w:val="00B14FE9"/>
    <w:rsid w:val="00B15262"/>
    <w:rsid w:val="00B15A19"/>
    <w:rsid w:val="00B2229D"/>
    <w:rsid w:val="00B2235E"/>
    <w:rsid w:val="00B26DAB"/>
    <w:rsid w:val="00B270A5"/>
    <w:rsid w:val="00B32AEC"/>
    <w:rsid w:val="00B32F3A"/>
    <w:rsid w:val="00B332FC"/>
    <w:rsid w:val="00B3386C"/>
    <w:rsid w:val="00B34B45"/>
    <w:rsid w:val="00B3677A"/>
    <w:rsid w:val="00B40E27"/>
    <w:rsid w:val="00B43A1A"/>
    <w:rsid w:val="00B45860"/>
    <w:rsid w:val="00B46932"/>
    <w:rsid w:val="00B5212D"/>
    <w:rsid w:val="00B52513"/>
    <w:rsid w:val="00B532E9"/>
    <w:rsid w:val="00B55028"/>
    <w:rsid w:val="00B55767"/>
    <w:rsid w:val="00B564AE"/>
    <w:rsid w:val="00B60D70"/>
    <w:rsid w:val="00B61242"/>
    <w:rsid w:val="00B615C1"/>
    <w:rsid w:val="00B62612"/>
    <w:rsid w:val="00B627B9"/>
    <w:rsid w:val="00B63988"/>
    <w:rsid w:val="00B6608C"/>
    <w:rsid w:val="00B679EB"/>
    <w:rsid w:val="00B67F1C"/>
    <w:rsid w:val="00B715CA"/>
    <w:rsid w:val="00B71901"/>
    <w:rsid w:val="00B73B51"/>
    <w:rsid w:val="00B74AEB"/>
    <w:rsid w:val="00B767B8"/>
    <w:rsid w:val="00B81A40"/>
    <w:rsid w:val="00B82A50"/>
    <w:rsid w:val="00B8307C"/>
    <w:rsid w:val="00B83666"/>
    <w:rsid w:val="00B83F55"/>
    <w:rsid w:val="00B84A6C"/>
    <w:rsid w:val="00B84BC1"/>
    <w:rsid w:val="00B84DE8"/>
    <w:rsid w:val="00B911DD"/>
    <w:rsid w:val="00B9199C"/>
    <w:rsid w:val="00B925CA"/>
    <w:rsid w:val="00B92D88"/>
    <w:rsid w:val="00B940BD"/>
    <w:rsid w:val="00B95993"/>
    <w:rsid w:val="00B969D3"/>
    <w:rsid w:val="00B96F0B"/>
    <w:rsid w:val="00B9783E"/>
    <w:rsid w:val="00BA0179"/>
    <w:rsid w:val="00BA051B"/>
    <w:rsid w:val="00BA1B5E"/>
    <w:rsid w:val="00BA1C04"/>
    <w:rsid w:val="00BA205A"/>
    <w:rsid w:val="00BA241E"/>
    <w:rsid w:val="00BA40B7"/>
    <w:rsid w:val="00BA4332"/>
    <w:rsid w:val="00BA4CA0"/>
    <w:rsid w:val="00BA51EA"/>
    <w:rsid w:val="00BA589F"/>
    <w:rsid w:val="00BA6320"/>
    <w:rsid w:val="00BB047B"/>
    <w:rsid w:val="00BB5E8F"/>
    <w:rsid w:val="00BB6398"/>
    <w:rsid w:val="00BB674B"/>
    <w:rsid w:val="00BB78BA"/>
    <w:rsid w:val="00BC0325"/>
    <w:rsid w:val="00BC0E86"/>
    <w:rsid w:val="00BC1A01"/>
    <w:rsid w:val="00BC1C5A"/>
    <w:rsid w:val="00BC43C3"/>
    <w:rsid w:val="00BC6303"/>
    <w:rsid w:val="00BC6EDB"/>
    <w:rsid w:val="00BC7053"/>
    <w:rsid w:val="00BD0372"/>
    <w:rsid w:val="00BD0991"/>
    <w:rsid w:val="00BD246E"/>
    <w:rsid w:val="00BD3248"/>
    <w:rsid w:val="00BD5C98"/>
    <w:rsid w:val="00BD6348"/>
    <w:rsid w:val="00BD718E"/>
    <w:rsid w:val="00BE1170"/>
    <w:rsid w:val="00BE12C3"/>
    <w:rsid w:val="00BE2291"/>
    <w:rsid w:val="00BE3148"/>
    <w:rsid w:val="00BE33E3"/>
    <w:rsid w:val="00BE718E"/>
    <w:rsid w:val="00BF1FE4"/>
    <w:rsid w:val="00BF27D3"/>
    <w:rsid w:val="00BF31C5"/>
    <w:rsid w:val="00BF4768"/>
    <w:rsid w:val="00BF5228"/>
    <w:rsid w:val="00BF6116"/>
    <w:rsid w:val="00BF6573"/>
    <w:rsid w:val="00C0143A"/>
    <w:rsid w:val="00C03BC8"/>
    <w:rsid w:val="00C117B8"/>
    <w:rsid w:val="00C11836"/>
    <w:rsid w:val="00C122BB"/>
    <w:rsid w:val="00C139CA"/>
    <w:rsid w:val="00C13C10"/>
    <w:rsid w:val="00C1651D"/>
    <w:rsid w:val="00C1665E"/>
    <w:rsid w:val="00C16EDB"/>
    <w:rsid w:val="00C16F18"/>
    <w:rsid w:val="00C17B55"/>
    <w:rsid w:val="00C2185E"/>
    <w:rsid w:val="00C22A4B"/>
    <w:rsid w:val="00C230B1"/>
    <w:rsid w:val="00C23AC6"/>
    <w:rsid w:val="00C260D6"/>
    <w:rsid w:val="00C2679A"/>
    <w:rsid w:val="00C26822"/>
    <w:rsid w:val="00C27BE1"/>
    <w:rsid w:val="00C30964"/>
    <w:rsid w:val="00C31B11"/>
    <w:rsid w:val="00C32C86"/>
    <w:rsid w:val="00C379D3"/>
    <w:rsid w:val="00C37FCC"/>
    <w:rsid w:val="00C4068C"/>
    <w:rsid w:val="00C4229A"/>
    <w:rsid w:val="00C423F1"/>
    <w:rsid w:val="00C42E1A"/>
    <w:rsid w:val="00C432AA"/>
    <w:rsid w:val="00C433C5"/>
    <w:rsid w:val="00C43474"/>
    <w:rsid w:val="00C47472"/>
    <w:rsid w:val="00C50C3F"/>
    <w:rsid w:val="00C51429"/>
    <w:rsid w:val="00C52070"/>
    <w:rsid w:val="00C520D1"/>
    <w:rsid w:val="00C53425"/>
    <w:rsid w:val="00C53FB9"/>
    <w:rsid w:val="00C5420E"/>
    <w:rsid w:val="00C54419"/>
    <w:rsid w:val="00C54E9A"/>
    <w:rsid w:val="00C55662"/>
    <w:rsid w:val="00C56E60"/>
    <w:rsid w:val="00C5734D"/>
    <w:rsid w:val="00C5793C"/>
    <w:rsid w:val="00C60768"/>
    <w:rsid w:val="00C60E9E"/>
    <w:rsid w:val="00C61FC6"/>
    <w:rsid w:val="00C621B6"/>
    <w:rsid w:val="00C64148"/>
    <w:rsid w:val="00C64325"/>
    <w:rsid w:val="00C64B56"/>
    <w:rsid w:val="00C6585D"/>
    <w:rsid w:val="00C7174D"/>
    <w:rsid w:val="00C7315F"/>
    <w:rsid w:val="00C74DB8"/>
    <w:rsid w:val="00C75BFF"/>
    <w:rsid w:val="00C76B6A"/>
    <w:rsid w:val="00C77B24"/>
    <w:rsid w:val="00C80AF0"/>
    <w:rsid w:val="00C80F3E"/>
    <w:rsid w:val="00C8101E"/>
    <w:rsid w:val="00C819DF"/>
    <w:rsid w:val="00C836F1"/>
    <w:rsid w:val="00C909DF"/>
    <w:rsid w:val="00C90B3E"/>
    <w:rsid w:val="00C93791"/>
    <w:rsid w:val="00C9452B"/>
    <w:rsid w:val="00C95574"/>
    <w:rsid w:val="00C9635A"/>
    <w:rsid w:val="00CA1C61"/>
    <w:rsid w:val="00CA3397"/>
    <w:rsid w:val="00CA33E1"/>
    <w:rsid w:val="00CA47DA"/>
    <w:rsid w:val="00CA5046"/>
    <w:rsid w:val="00CB00AD"/>
    <w:rsid w:val="00CB2256"/>
    <w:rsid w:val="00CB415C"/>
    <w:rsid w:val="00CB5130"/>
    <w:rsid w:val="00CB545F"/>
    <w:rsid w:val="00CB5D2B"/>
    <w:rsid w:val="00CB6615"/>
    <w:rsid w:val="00CB6735"/>
    <w:rsid w:val="00CB6896"/>
    <w:rsid w:val="00CB6BEB"/>
    <w:rsid w:val="00CB7101"/>
    <w:rsid w:val="00CC1E8F"/>
    <w:rsid w:val="00CC465C"/>
    <w:rsid w:val="00CC4C17"/>
    <w:rsid w:val="00CC5030"/>
    <w:rsid w:val="00CD1F43"/>
    <w:rsid w:val="00CD244F"/>
    <w:rsid w:val="00CD3545"/>
    <w:rsid w:val="00CD5DBC"/>
    <w:rsid w:val="00CD7AB5"/>
    <w:rsid w:val="00CE06D8"/>
    <w:rsid w:val="00CE0F24"/>
    <w:rsid w:val="00CE126D"/>
    <w:rsid w:val="00CE1371"/>
    <w:rsid w:val="00CE205B"/>
    <w:rsid w:val="00CE39CE"/>
    <w:rsid w:val="00CE614E"/>
    <w:rsid w:val="00CE722C"/>
    <w:rsid w:val="00CE7855"/>
    <w:rsid w:val="00CE7C57"/>
    <w:rsid w:val="00CF0A14"/>
    <w:rsid w:val="00CF304D"/>
    <w:rsid w:val="00CF5BED"/>
    <w:rsid w:val="00CF735E"/>
    <w:rsid w:val="00CF77FD"/>
    <w:rsid w:val="00CF7FD1"/>
    <w:rsid w:val="00D011F4"/>
    <w:rsid w:val="00D02581"/>
    <w:rsid w:val="00D027B8"/>
    <w:rsid w:val="00D03378"/>
    <w:rsid w:val="00D03920"/>
    <w:rsid w:val="00D0487E"/>
    <w:rsid w:val="00D052F9"/>
    <w:rsid w:val="00D06197"/>
    <w:rsid w:val="00D06280"/>
    <w:rsid w:val="00D07109"/>
    <w:rsid w:val="00D07ACC"/>
    <w:rsid w:val="00D11AC9"/>
    <w:rsid w:val="00D13C7C"/>
    <w:rsid w:val="00D173C3"/>
    <w:rsid w:val="00D20E77"/>
    <w:rsid w:val="00D2330A"/>
    <w:rsid w:val="00D23330"/>
    <w:rsid w:val="00D24256"/>
    <w:rsid w:val="00D26CF0"/>
    <w:rsid w:val="00D273AC"/>
    <w:rsid w:val="00D27ECD"/>
    <w:rsid w:val="00D304C6"/>
    <w:rsid w:val="00D32C43"/>
    <w:rsid w:val="00D3330D"/>
    <w:rsid w:val="00D341CD"/>
    <w:rsid w:val="00D34D10"/>
    <w:rsid w:val="00D3518B"/>
    <w:rsid w:val="00D354EA"/>
    <w:rsid w:val="00D36053"/>
    <w:rsid w:val="00D3612A"/>
    <w:rsid w:val="00D3624A"/>
    <w:rsid w:val="00D36C2A"/>
    <w:rsid w:val="00D37703"/>
    <w:rsid w:val="00D3786F"/>
    <w:rsid w:val="00D37F25"/>
    <w:rsid w:val="00D40411"/>
    <w:rsid w:val="00D417E6"/>
    <w:rsid w:val="00D420A3"/>
    <w:rsid w:val="00D453F6"/>
    <w:rsid w:val="00D504B5"/>
    <w:rsid w:val="00D504B7"/>
    <w:rsid w:val="00D50A97"/>
    <w:rsid w:val="00D5186C"/>
    <w:rsid w:val="00D5461E"/>
    <w:rsid w:val="00D55C30"/>
    <w:rsid w:val="00D56A9F"/>
    <w:rsid w:val="00D60D8D"/>
    <w:rsid w:val="00D62EFA"/>
    <w:rsid w:val="00D6305E"/>
    <w:rsid w:val="00D63D5E"/>
    <w:rsid w:val="00D67268"/>
    <w:rsid w:val="00D677B6"/>
    <w:rsid w:val="00D67DB1"/>
    <w:rsid w:val="00D702BA"/>
    <w:rsid w:val="00D71203"/>
    <w:rsid w:val="00D73C98"/>
    <w:rsid w:val="00D746FA"/>
    <w:rsid w:val="00D74D84"/>
    <w:rsid w:val="00D75012"/>
    <w:rsid w:val="00D761E8"/>
    <w:rsid w:val="00D801B4"/>
    <w:rsid w:val="00D81899"/>
    <w:rsid w:val="00D81A40"/>
    <w:rsid w:val="00D81BE4"/>
    <w:rsid w:val="00D81CD1"/>
    <w:rsid w:val="00D84827"/>
    <w:rsid w:val="00D85305"/>
    <w:rsid w:val="00D87242"/>
    <w:rsid w:val="00D87690"/>
    <w:rsid w:val="00D9030C"/>
    <w:rsid w:val="00D90827"/>
    <w:rsid w:val="00D919B6"/>
    <w:rsid w:val="00D91D5B"/>
    <w:rsid w:val="00D93021"/>
    <w:rsid w:val="00D9468F"/>
    <w:rsid w:val="00D95D7B"/>
    <w:rsid w:val="00D96578"/>
    <w:rsid w:val="00D96B1A"/>
    <w:rsid w:val="00D97449"/>
    <w:rsid w:val="00D97C59"/>
    <w:rsid w:val="00DA11DD"/>
    <w:rsid w:val="00DA13D3"/>
    <w:rsid w:val="00DA1C24"/>
    <w:rsid w:val="00DA3655"/>
    <w:rsid w:val="00DA3C23"/>
    <w:rsid w:val="00DA4690"/>
    <w:rsid w:val="00DA4EBA"/>
    <w:rsid w:val="00DA597B"/>
    <w:rsid w:val="00DA5A2A"/>
    <w:rsid w:val="00DA6307"/>
    <w:rsid w:val="00DA75B0"/>
    <w:rsid w:val="00DA7876"/>
    <w:rsid w:val="00DB4EF3"/>
    <w:rsid w:val="00DC0120"/>
    <w:rsid w:val="00DC0948"/>
    <w:rsid w:val="00DC0F1F"/>
    <w:rsid w:val="00DC14FD"/>
    <w:rsid w:val="00DC401A"/>
    <w:rsid w:val="00DC4787"/>
    <w:rsid w:val="00DC5770"/>
    <w:rsid w:val="00DC625C"/>
    <w:rsid w:val="00DD0331"/>
    <w:rsid w:val="00DD0980"/>
    <w:rsid w:val="00DD1A6C"/>
    <w:rsid w:val="00DD1C90"/>
    <w:rsid w:val="00DD2D57"/>
    <w:rsid w:val="00DD4107"/>
    <w:rsid w:val="00DD44B1"/>
    <w:rsid w:val="00DD4514"/>
    <w:rsid w:val="00DD6EE9"/>
    <w:rsid w:val="00DE12E7"/>
    <w:rsid w:val="00DE199C"/>
    <w:rsid w:val="00DE26A7"/>
    <w:rsid w:val="00DE31BF"/>
    <w:rsid w:val="00DE3629"/>
    <w:rsid w:val="00DE3A3D"/>
    <w:rsid w:val="00DE4264"/>
    <w:rsid w:val="00DE643F"/>
    <w:rsid w:val="00DE677F"/>
    <w:rsid w:val="00DE6D73"/>
    <w:rsid w:val="00DE76B6"/>
    <w:rsid w:val="00DF0443"/>
    <w:rsid w:val="00DF0A6F"/>
    <w:rsid w:val="00DF0EE7"/>
    <w:rsid w:val="00DF215A"/>
    <w:rsid w:val="00DF41A4"/>
    <w:rsid w:val="00DF5792"/>
    <w:rsid w:val="00DF7356"/>
    <w:rsid w:val="00DF7DD7"/>
    <w:rsid w:val="00E004E7"/>
    <w:rsid w:val="00E01481"/>
    <w:rsid w:val="00E04712"/>
    <w:rsid w:val="00E0641E"/>
    <w:rsid w:val="00E064DE"/>
    <w:rsid w:val="00E1201D"/>
    <w:rsid w:val="00E13C8F"/>
    <w:rsid w:val="00E15CDE"/>
    <w:rsid w:val="00E15EF1"/>
    <w:rsid w:val="00E170C1"/>
    <w:rsid w:val="00E177CF"/>
    <w:rsid w:val="00E20598"/>
    <w:rsid w:val="00E2160A"/>
    <w:rsid w:val="00E2178F"/>
    <w:rsid w:val="00E218FF"/>
    <w:rsid w:val="00E229A5"/>
    <w:rsid w:val="00E23C7A"/>
    <w:rsid w:val="00E24E43"/>
    <w:rsid w:val="00E2509B"/>
    <w:rsid w:val="00E269F7"/>
    <w:rsid w:val="00E26F8B"/>
    <w:rsid w:val="00E27BDD"/>
    <w:rsid w:val="00E30B7A"/>
    <w:rsid w:val="00E3167E"/>
    <w:rsid w:val="00E31B43"/>
    <w:rsid w:val="00E32FBA"/>
    <w:rsid w:val="00E35543"/>
    <w:rsid w:val="00E35B16"/>
    <w:rsid w:val="00E366A9"/>
    <w:rsid w:val="00E36BB4"/>
    <w:rsid w:val="00E36ECC"/>
    <w:rsid w:val="00E37207"/>
    <w:rsid w:val="00E3724E"/>
    <w:rsid w:val="00E3740C"/>
    <w:rsid w:val="00E3793D"/>
    <w:rsid w:val="00E4210B"/>
    <w:rsid w:val="00E424CB"/>
    <w:rsid w:val="00E43307"/>
    <w:rsid w:val="00E4334A"/>
    <w:rsid w:val="00E43AC6"/>
    <w:rsid w:val="00E44244"/>
    <w:rsid w:val="00E44340"/>
    <w:rsid w:val="00E444B5"/>
    <w:rsid w:val="00E44968"/>
    <w:rsid w:val="00E44DBD"/>
    <w:rsid w:val="00E456B8"/>
    <w:rsid w:val="00E45E75"/>
    <w:rsid w:val="00E4622C"/>
    <w:rsid w:val="00E46571"/>
    <w:rsid w:val="00E46B0A"/>
    <w:rsid w:val="00E50125"/>
    <w:rsid w:val="00E51321"/>
    <w:rsid w:val="00E51FFB"/>
    <w:rsid w:val="00E53020"/>
    <w:rsid w:val="00E5439F"/>
    <w:rsid w:val="00E56A88"/>
    <w:rsid w:val="00E56C39"/>
    <w:rsid w:val="00E57183"/>
    <w:rsid w:val="00E60076"/>
    <w:rsid w:val="00E60B48"/>
    <w:rsid w:val="00E62499"/>
    <w:rsid w:val="00E63855"/>
    <w:rsid w:val="00E65571"/>
    <w:rsid w:val="00E669BD"/>
    <w:rsid w:val="00E676EF"/>
    <w:rsid w:val="00E70B0A"/>
    <w:rsid w:val="00E712AF"/>
    <w:rsid w:val="00E715B6"/>
    <w:rsid w:val="00E72FC9"/>
    <w:rsid w:val="00E732CA"/>
    <w:rsid w:val="00E76763"/>
    <w:rsid w:val="00E76D0A"/>
    <w:rsid w:val="00E8073A"/>
    <w:rsid w:val="00E80FD4"/>
    <w:rsid w:val="00E84DE0"/>
    <w:rsid w:val="00E85310"/>
    <w:rsid w:val="00E858F8"/>
    <w:rsid w:val="00E8604A"/>
    <w:rsid w:val="00E86BDD"/>
    <w:rsid w:val="00E91F16"/>
    <w:rsid w:val="00E930AE"/>
    <w:rsid w:val="00E9373D"/>
    <w:rsid w:val="00E95993"/>
    <w:rsid w:val="00E97B90"/>
    <w:rsid w:val="00EA0A53"/>
    <w:rsid w:val="00EA0D61"/>
    <w:rsid w:val="00EA1F2E"/>
    <w:rsid w:val="00EA3209"/>
    <w:rsid w:val="00EA33AE"/>
    <w:rsid w:val="00EA4073"/>
    <w:rsid w:val="00EA43E9"/>
    <w:rsid w:val="00EA4F55"/>
    <w:rsid w:val="00EA504E"/>
    <w:rsid w:val="00EA58C4"/>
    <w:rsid w:val="00EA5CEB"/>
    <w:rsid w:val="00EA78E2"/>
    <w:rsid w:val="00EA7FD7"/>
    <w:rsid w:val="00EB03BB"/>
    <w:rsid w:val="00EB1AD7"/>
    <w:rsid w:val="00EB1C36"/>
    <w:rsid w:val="00EB1E12"/>
    <w:rsid w:val="00EB2D7C"/>
    <w:rsid w:val="00EB2F66"/>
    <w:rsid w:val="00EB3609"/>
    <w:rsid w:val="00EB3E65"/>
    <w:rsid w:val="00EB4C2D"/>
    <w:rsid w:val="00EB5287"/>
    <w:rsid w:val="00EB634E"/>
    <w:rsid w:val="00EB7610"/>
    <w:rsid w:val="00EB7CB5"/>
    <w:rsid w:val="00EC0B18"/>
    <w:rsid w:val="00EC0E34"/>
    <w:rsid w:val="00EC2B05"/>
    <w:rsid w:val="00EC4368"/>
    <w:rsid w:val="00EC4EA3"/>
    <w:rsid w:val="00EC77E7"/>
    <w:rsid w:val="00ED068E"/>
    <w:rsid w:val="00ED0EEE"/>
    <w:rsid w:val="00ED1309"/>
    <w:rsid w:val="00ED388B"/>
    <w:rsid w:val="00ED4569"/>
    <w:rsid w:val="00ED5842"/>
    <w:rsid w:val="00ED5E14"/>
    <w:rsid w:val="00ED6EA1"/>
    <w:rsid w:val="00ED7F95"/>
    <w:rsid w:val="00EE0E0A"/>
    <w:rsid w:val="00EE125E"/>
    <w:rsid w:val="00EE2EB2"/>
    <w:rsid w:val="00EE37A8"/>
    <w:rsid w:val="00EE406C"/>
    <w:rsid w:val="00EE5117"/>
    <w:rsid w:val="00EE766D"/>
    <w:rsid w:val="00EF5F8A"/>
    <w:rsid w:val="00EF60D7"/>
    <w:rsid w:val="00EF7C35"/>
    <w:rsid w:val="00EF7C7B"/>
    <w:rsid w:val="00F00292"/>
    <w:rsid w:val="00F0156E"/>
    <w:rsid w:val="00F01F46"/>
    <w:rsid w:val="00F024B1"/>
    <w:rsid w:val="00F02AD7"/>
    <w:rsid w:val="00F03E67"/>
    <w:rsid w:val="00F04B85"/>
    <w:rsid w:val="00F05869"/>
    <w:rsid w:val="00F07534"/>
    <w:rsid w:val="00F11547"/>
    <w:rsid w:val="00F11E92"/>
    <w:rsid w:val="00F12A9C"/>
    <w:rsid w:val="00F12FFB"/>
    <w:rsid w:val="00F17553"/>
    <w:rsid w:val="00F17DBA"/>
    <w:rsid w:val="00F204A4"/>
    <w:rsid w:val="00F2112C"/>
    <w:rsid w:val="00F21793"/>
    <w:rsid w:val="00F22E8C"/>
    <w:rsid w:val="00F232B7"/>
    <w:rsid w:val="00F23FC1"/>
    <w:rsid w:val="00F259A1"/>
    <w:rsid w:val="00F26A9F"/>
    <w:rsid w:val="00F26E68"/>
    <w:rsid w:val="00F27BF8"/>
    <w:rsid w:val="00F31580"/>
    <w:rsid w:val="00F320F9"/>
    <w:rsid w:val="00F32836"/>
    <w:rsid w:val="00F32D1E"/>
    <w:rsid w:val="00F33119"/>
    <w:rsid w:val="00F33993"/>
    <w:rsid w:val="00F35254"/>
    <w:rsid w:val="00F357A3"/>
    <w:rsid w:val="00F35A18"/>
    <w:rsid w:val="00F36FE3"/>
    <w:rsid w:val="00F40A12"/>
    <w:rsid w:val="00F4183F"/>
    <w:rsid w:val="00F428C4"/>
    <w:rsid w:val="00F433CD"/>
    <w:rsid w:val="00F43580"/>
    <w:rsid w:val="00F43B0B"/>
    <w:rsid w:val="00F43FAD"/>
    <w:rsid w:val="00F451DD"/>
    <w:rsid w:val="00F51DF3"/>
    <w:rsid w:val="00F5204A"/>
    <w:rsid w:val="00F52E96"/>
    <w:rsid w:val="00F54464"/>
    <w:rsid w:val="00F54A7D"/>
    <w:rsid w:val="00F60135"/>
    <w:rsid w:val="00F60777"/>
    <w:rsid w:val="00F60D4A"/>
    <w:rsid w:val="00F6137D"/>
    <w:rsid w:val="00F62E2F"/>
    <w:rsid w:val="00F63E03"/>
    <w:rsid w:val="00F642ED"/>
    <w:rsid w:val="00F64F8C"/>
    <w:rsid w:val="00F6629E"/>
    <w:rsid w:val="00F66CB6"/>
    <w:rsid w:val="00F67F0B"/>
    <w:rsid w:val="00F71B2C"/>
    <w:rsid w:val="00F729CF"/>
    <w:rsid w:val="00F73620"/>
    <w:rsid w:val="00F73C47"/>
    <w:rsid w:val="00F81229"/>
    <w:rsid w:val="00F8124C"/>
    <w:rsid w:val="00F81F2C"/>
    <w:rsid w:val="00F82527"/>
    <w:rsid w:val="00F8278B"/>
    <w:rsid w:val="00F84465"/>
    <w:rsid w:val="00F84DF3"/>
    <w:rsid w:val="00F84E13"/>
    <w:rsid w:val="00F8718E"/>
    <w:rsid w:val="00F8753B"/>
    <w:rsid w:val="00F90E63"/>
    <w:rsid w:val="00F91769"/>
    <w:rsid w:val="00F928CF"/>
    <w:rsid w:val="00F93955"/>
    <w:rsid w:val="00F948BB"/>
    <w:rsid w:val="00F95987"/>
    <w:rsid w:val="00F95C3C"/>
    <w:rsid w:val="00FA0DA7"/>
    <w:rsid w:val="00FA1347"/>
    <w:rsid w:val="00FA16D0"/>
    <w:rsid w:val="00FA26F0"/>
    <w:rsid w:val="00FA2F83"/>
    <w:rsid w:val="00FA334F"/>
    <w:rsid w:val="00FA3D16"/>
    <w:rsid w:val="00FA66A6"/>
    <w:rsid w:val="00FA69F6"/>
    <w:rsid w:val="00FA6EE7"/>
    <w:rsid w:val="00FA7FA7"/>
    <w:rsid w:val="00FB05E4"/>
    <w:rsid w:val="00FB14CC"/>
    <w:rsid w:val="00FB47DD"/>
    <w:rsid w:val="00FB6056"/>
    <w:rsid w:val="00FB73D3"/>
    <w:rsid w:val="00FB7BE2"/>
    <w:rsid w:val="00FB7BF2"/>
    <w:rsid w:val="00FC0712"/>
    <w:rsid w:val="00FC117C"/>
    <w:rsid w:val="00FC1202"/>
    <w:rsid w:val="00FC1278"/>
    <w:rsid w:val="00FC4F80"/>
    <w:rsid w:val="00FC5070"/>
    <w:rsid w:val="00FC5B4F"/>
    <w:rsid w:val="00FC6662"/>
    <w:rsid w:val="00FC6BF2"/>
    <w:rsid w:val="00FC6F14"/>
    <w:rsid w:val="00FC76B1"/>
    <w:rsid w:val="00FD103C"/>
    <w:rsid w:val="00FD1B36"/>
    <w:rsid w:val="00FD1E62"/>
    <w:rsid w:val="00FD2F4C"/>
    <w:rsid w:val="00FD3027"/>
    <w:rsid w:val="00FD31C7"/>
    <w:rsid w:val="00FD3692"/>
    <w:rsid w:val="00FD4756"/>
    <w:rsid w:val="00FD4B2F"/>
    <w:rsid w:val="00FD67A2"/>
    <w:rsid w:val="00FD6EBD"/>
    <w:rsid w:val="00FE0B93"/>
    <w:rsid w:val="00FE17D4"/>
    <w:rsid w:val="00FE40EB"/>
    <w:rsid w:val="00FE429A"/>
    <w:rsid w:val="00FE6CF1"/>
    <w:rsid w:val="00FF177C"/>
    <w:rsid w:val="00FF22AA"/>
    <w:rsid w:val="00FF24C3"/>
    <w:rsid w:val="00FF26C8"/>
    <w:rsid w:val="00FF2997"/>
    <w:rsid w:val="00FF338A"/>
    <w:rsid w:val="00FF3CE3"/>
    <w:rsid w:val="00FF49D9"/>
    <w:rsid w:val="00FF4B72"/>
    <w:rsid w:val="00FF5C47"/>
    <w:rsid w:val="00FF5E4C"/>
    <w:rsid w:val="04DC1AE3"/>
    <w:rsid w:val="0BD95E8E"/>
    <w:rsid w:val="0EC2F1DE"/>
    <w:rsid w:val="136FFF97"/>
    <w:rsid w:val="13D745D2"/>
    <w:rsid w:val="167C3A05"/>
    <w:rsid w:val="21A07206"/>
    <w:rsid w:val="249C1E36"/>
    <w:rsid w:val="35FACEFA"/>
    <w:rsid w:val="38A8F80C"/>
    <w:rsid w:val="3BC6FFA3"/>
    <w:rsid w:val="3D5E013F"/>
    <w:rsid w:val="494117A2"/>
    <w:rsid w:val="564A7352"/>
    <w:rsid w:val="5CE6156F"/>
    <w:rsid w:val="5EC2852C"/>
    <w:rsid w:val="5F0C5694"/>
    <w:rsid w:val="604B0F73"/>
    <w:rsid w:val="648C4531"/>
    <w:rsid w:val="64B2CBBA"/>
    <w:rsid w:val="70BE161D"/>
    <w:rsid w:val="76CBD8D0"/>
    <w:rsid w:val="775F8FAC"/>
    <w:rsid w:val="7C22DC32"/>
    <w:rsid w:val="7DA3E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uiPriority="22"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paragraph" w:customStyle="1" w:styleId="Default">
    <w:name w:val="Default"/>
    <w:rsid w:val="00603EC3"/>
    <w:pPr>
      <w:autoSpaceDE w:val="0"/>
      <w:autoSpaceDN w:val="0"/>
      <w:adjustRightInd w:val="0"/>
    </w:pPr>
    <w:rPr>
      <w:color w:val="000000"/>
      <w:sz w:val="24"/>
      <w:szCs w:val="24"/>
    </w:rPr>
  </w:style>
  <w:style w:type="character" w:styleId="Strong">
    <w:name w:val="Strong"/>
    <w:basedOn w:val="DefaultParagraphFont"/>
    <w:uiPriority w:val="22"/>
    <w:qFormat/>
    <w:locked/>
    <w:rsid w:val="000E6806"/>
    <w:rPr>
      <w:b/>
      <w:bCs/>
    </w:rPr>
  </w:style>
  <w:style w:type="paragraph" w:customStyle="1" w:styleId="pf0">
    <w:name w:val="pf0"/>
    <w:basedOn w:val="Normal"/>
    <w:rsid w:val="00B74AEB"/>
    <w:pPr>
      <w:spacing w:before="100" w:beforeAutospacing="1" w:after="100" w:afterAutospacing="1"/>
    </w:pPr>
    <w:rPr>
      <w:lang w:eastAsia="en-GB"/>
    </w:rPr>
  </w:style>
  <w:style w:type="character" w:customStyle="1" w:styleId="cf01">
    <w:name w:val="cf01"/>
    <w:basedOn w:val="DefaultParagraphFont"/>
    <w:rsid w:val="00B74A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45807">
      <w:bodyDiv w:val="1"/>
      <w:marLeft w:val="0"/>
      <w:marRight w:val="0"/>
      <w:marTop w:val="0"/>
      <w:marBottom w:val="0"/>
      <w:divBdr>
        <w:top w:val="none" w:sz="0" w:space="0" w:color="auto"/>
        <w:left w:val="none" w:sz="0" w:space="0" w:color="auto"/>
        <w:bottom w:val="none" w:sz="0" w:space="0" w:color="auto"/>
        <w:right w:val="none" w:sz="0" w:space="0" w:color="auto"/>
      </w:divBdr>
    </w:div>
    <w:div w:id="213005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3928</Words>
  <Characters>20976</Characters>
  <Application>Microsoft Office Word</Application>
  <DocSecurity>0</DocSecurity>
  <Lines>511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24625</CharactersWithSpaces>
  <SharedDoc>false</SharedDoc>
  <HLinks>
    <vt:vector size="6" baseType="variant">
      <vt:variant>
        <vt:i4>4194324</vt:i4>
      </vt:variant>
      <vt:variant>
        <vt:i4>0</vt:i4>
      </vt:variant>
      <vt:variant>
        <vt:i4>0</vt:i4>
      </vt:variant>
      <vt:variant>
        <vt:i4>5</vt:i4>
      </vt:variant>
      <vt:variant>
        <vt:lpwstr>https://www.nice.org.uk/terms-and-conditions</vt:lpwstr>
      </vt:variant>
      <vt:variant>
        <vt:lpwstr>notice-of-rights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2026-05-14T10:27:00Z</dcterms:created>
  <dcterms:modified xsi:type="dcterms:W3CDTF">2026-05-14T10:28:00Z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2026-05-14T10:28:33Z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b5fa24b3-64b7-421b-ab14-19ce6b1a4907</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