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1.xml" ContentType="application/vnd.openxmlformats-officedocument.drawingml.chartshapes+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255C" w14:textId="77777777" w:rsidR="000B5873" w:rsidRPr="00565BF9" w:rsidRDefault="000B5873" w:rsidP="000B5873">
      <w:pPr>
        <w:pStyle w:val="Heading1"/>
        <w:jc w:val="center"/>
        <w:rPr>
          <w:sz w:val="44"/>
          <w:szCs w:val="44"/>
        </w:rPr>
      </w:pPr>
      <w:bookmarkStart w:id="0" w:name="_Toc210195400"/>
      <w:bookmarkStart w:id="1" w:name="_Toc216093729"/>
      <w:bookmarkStart w:id="2" w:name="_Toc177990550"/>
      <w:bookmarkStart w:id="3" w:name="_Toc177994673"/>
      <w:bookmarkStart w:id="4" w:name="_Toc177995078"/>
      <w:bookmarkStart w:id="5" w:name="_Toc210195401"/>
      <w:r w:rsidRPr="00565BF9">
        <w:rPr>
          <w:sz w:val="44"/>
          <w:szCs w:val="44"/>
        </w:rPr>
        <w:t>EXPLORATORY PROJECT REPORT</w:t>
      </w:r>
      <w:bookmarkEnd w:id="0"/>
      <w:bookmarkEnd w:id="1"/>
    </w:p>
    <w:p w14:paraId="0646274C" w14:textId="77777777" w:rsidR="000B5873" w:rsidRPr="007A07ED" w:rsidRDefault="000B5873" w:rsidP="000B5873">
      <w:pPr>
        <w:pStyle w:val="Title1"/>
        <w:rPr>
          <w:lang w:eastAsia="en-GB"/>
        </w:rPr>
      </w:pPr>
      <w:bookmarkStart w:id="6" w:name="_Toc216093730"/>
      <w:r w:rsidRPr="007A07ED">
        <w:rPr>
          <w:lang w:eastAsia="en-GB"/>
        </w:rPr>
        <w:t>Individualised therapies and platform technologies: Exploring methodological challenges for NICE</w:t>
      </w:r>
      <w:bookmarkEnd w:id="6"/>
    </w:p>
    <w:p w14:paraId="4C5E3F2A" w14:textId="7414AB09" w:rsidR="000B5873" w:rsidRPr="007A07ED" w:rsidRDefault="000B5873" w:rsidP="000B5873">
      <w:pPr>
        <w:pStyle w:val="Title1"/>
        <w:rPr>
          <w:lang w:eastAsia="en-GB"/>
        </w:rPr>
      </w:pPr>
      <w:bookmarkStart w:id="7" w:name="_Toc216093731"/>
      <w:r w:rsidRPr="007A07ED">
        <w:rPr>
          <w:lang w:eastAsia="en-GB"/>
        </w:rPr>
        <w:t>Appendix A – Pipeline scan report</w:t>
      </w:r>
      <w:bookmarkEnd w:id="7"/>
    </w:p>
    <w:p w14:paraId="56A9FCB5" w14:textId="77777777" w:rsidR="000B5873" w:rsidRPr="007A07ED" w:rsidRDefault="000B5873" w:rsidP="000B5873">
      <w:pPr>
        <w:pStyle w:val="Title1"/>
        <w:rPr>
          <w:sz w:val="32"/>
        </w:rPr>
      </w:pPr>
      <w:bookmarkStart w:id="8" w:name="_Toc177990551"/>
      <w:bookmarkStart w:id="9" w:name="_Toc177994674"/>
      <w:bookmarkStart w:id="10" w:name="_Toc177995079"/>
      <w:bookmarkStart w:id="11" w:name="_Toc216093732"/>
      <w:r w:rsidRPr="007A07ED">
        <w:rPr>
          <w:sz w:val="32"/>
        </w:rPr>
        <w:t>HTA Innovation Laboratory</w:t>
      </w:r>
      <w:bookmarkEnd w:id="8"/>
      <w:bookmarkEnd w:id="9"/>
      <w:bookmarkEnd w:id="10"/>
      <w:bookmarkEnd w:id="11"/>
    </w:p>
    <w:bookmarkEnd w:id="2"/>
    <w:bookmarkEnd w:id="3"/>
    <w:bookmarkEnd w:id="4"/>
    <w:bookmarkEnd w:id="5"/>
    <w:p w14:paraId="3D63C4DE" w14:textId="7A652DA2" w:rsidR="007400D7" w:rsidRPr="007A07ED" w:rsidRDefault="007400D7" w:rsidP="006A14A8">
      <w:pPr>
        <w:pStyle w:val="Paragraph"/>
        <w:rPr>
          <w:lang w:eastAsia="en-GB"/>
        </w:rPr>
      </w:pPr>
    </w:p>
    <w:p w14:paraId="6A7A15C9" w14:textId="77777777" w:rsidR="007400D7" w:rsidRPr="007A07ED" w:rsidRDefault="007400D7" w:rsidP="006A14A8">
      <w:pPr>
        <w:pStyle w:val="Paragraph"/>
        <w:rPr>
          <w:lang w:eastAsia="en-GB"/>
        </w:rPr>
      </w:pPr>
    </w:p>
    <w:p w14:paraId="4636A212" w14:textId="5231123E" w:rsidR="007400D7" w:rsidRPr="007A07ED" w:rsidRDefault="00AF7F01" w:rsidP="006A14A8">
      <w:pPr>
        <w:pStyle w:val="Paragraph"/>
        <w:rPr>
          <w:lang w:eastAsia="en-GB"/>
        </w:rPr>
      </w:pPr>
      <w:r w:rsidRPr="007A07ED">
        <w:rPr>
          <w:lang w:eastAsia="en-GB"/>
        </w:rPr>
        <w:t xml:space="preserve">March </w:t>
      </w:r>
      <w:r w:rsidR="002B494C" w:rsidRPr="007A07ED">
        <w:rPr>
          <w:lang w:eastAsia="en-GB"/>
        </w:rPr>
        <w:t>2025</w:t>
      </w:r>
    </w:p>
    <w:p w14:paraId="33E33590" w14:textId="77777777" w:rsidR="007400D7" w:rsidRPr="007A07ED" w:rsidRDefault="007400D7" w:rsidP="006A14A8">
      <w:pPr>
        <w:pStyle w:val="Paragraph"/>
        <w:rPr>
          <w:lang w:eastAsia="en-GB"/>
        </w:rPr>
      </w:pPr>
    </w:p>
    <w:p w14:paraId="155ACBCA" w14:textId="77777777" w:rsidR="007400D7" w:rsidRPr="007A07ED" w:rsidRDefault="007400D7" w:rsidP="006A14A8">
      <w:pPr>
        <w:pStyle w:val="Paragraph"/>
        <w:rPr>
          <w:lang w:eastAsia="en-GB"/>
        </w:rPr>
      </w:pPr>
    </w:p>
    <w:p w14:paraId="1BA865C3" w14:textId="77777777" w:rsidR="007400D7" w:rsidRPr="007A07ED" w:rsidRDefault="007400D7" w:rsidP="006A14A8">
      <w:pPr>
        <w:pStyle w:val="Paragraph"/>
        <w:rPr>
          <w:lang w:eastAsia="en-GB"/>
        </w:rPr>
      </w:pPr>
    </w:p>
    <w:p w14:paraId="7A19F203" w14:textId="77777777" w:rsidR="007400D7" w:rsidRPr="007A07ED" w:rsidRDefault="007400D7" w:rsidP="006A14A8">
      <w:pPr>
        <w:pStyle w:val="Paragraph"/>
        <w:rPr>
          <w:lang w:eastAsia="en-GB"/>
        </w:rPr>
      </w:pPr>
    </w:p>
    <w:p w14:paraId="44721E41" w14:textId="77777777" w:rsidR="007400D7" w:rsidRPr="007A07ED" w:rsidRDefault="007400D7" w:rsidP="007400D7">
      <w:pPr>
        <w:pStyle w:val="Heading1"/>
      </w:pPr>
      <w:bookmarkStart w:id="12" w:name="_Toc146884454"/>
      <w:bookmarkStart w:id="13" w:name="_Toc146976372"/>
      <w:bookmarkStart w:id="14" w:name="_Toc177990552"/>
      <w:bookmarkStart w:id="15" w:name="_Toc177994675"/>
      <w:bookmarkStart w:id="16" w:name="_Toc177995080"/>
      <w:bookmarkStart w:id="17" w:name="_Toc216093733"/>
      <w:r w:rsidRPr="007A07ED">
        <w:t>Disclaimer</w:t>
      </w:r>
      <w:bookmarkEnd w:id="12"/>
      <w:bookmarkEnd w:id="13"/>
      <w:bookmarkEnd w:id="14"/>
      <w:bookmarkEnd w:id="15"/>
      <w:bookmarkEnd w:id="16"/>
      <w:bookmarkEnd w:id="17"/>
      <w:r w:rsidRPr="007A07ED">
        <w:t xml:space="preserve"> </w:t>
      </w:r>
    </w:p>
    <w:p w14:paraId="68FF8B17" w14:textId="77777777" w:rsidR="007400D7" w:rsidRPr="007A07ED" w:rsidRDefault="007400D7" w:rsidP="007400D7">
      <w:pPr>
        <w:pStyle w:val="NICEnormalsinglespacing"/>
        <w:rPr>
          <w:rFonts w:eastAsia="Calibri"/>
        </w:rPr>
      </w:pPr>
      <w:bookmarkStart w:id="18" w:name="_Hlk146880619"/>
      <w:r w:rsidRPr="007A07ED">
        <w:t>Readers should be aware that issues and considerations outlined in HTA Lab reports cannot be taken as indicative or suggestive of any future position and will not be regarded as relevant to any future decision that may be taken by NICE.</w:t>
      </w:r>
    </w:p>
    <w:p w14:paraId="01D0DB1A" w14:textId="2E87DC48" w:rsidR="007400D7" w:rsidRPr="007A07ED" w:rsidRDefault="007400D7" w:rsidP="007400D7">
      <w:pPr>
        <w:pStyle w:val="Paragraph"/>
        <w:spacing w:line="240" w:lineRule="auto"/>
      </w:pPr>
      <w:r w:rsidRPr="007A07ED">
        <w:t>The contents of HTA Lab reports are based on scientific knowledge that is publicly available and engagement with stakeholders at the time of writing the reports and cannot account for future changes and developments in scientific knowledge or any referenced material from external sources.</w:t>
      </w:r>
      <w:bookmarkEnd w:id="18"/>
    </w:p>
    <w:p w14:paraId="0C82D6BB" w14:textId="77777777" w:rsidR="006D4C33" w:rsidRPr="007A07ED" w:rsidRDefault="006D4C33" w:rsidP="007400D7">
      <w:pPr>
        <w:pStyle w:val="Paragraph"/>
        <w:spacing w:line="240" w:lineRule="auto"/>
        <w:rPr>
          <w:lang w:eastAsia="en-GB"/>
        </w:rPr>
        <w:sectPr w:rsidR="006D4C33" w:rsidRPr="007A07ED" w:rsidSect="008F6FB7">
          <w:headerReference w:type="default" r:id="rId8"/>
          <w:footerReference w:type="default" r:id="rId9"/>
          <w:headerReference w:type="first" r:id="rId10"/>
          <w:footerReference w:type="first" r:id="rId11"/>
          <w:pgSz w:w="11906" w:h="16838"/>
          <w:pgMar w:top="1440" w:right="1800" w:bottom="1440" w:left="1800" w:header="708" w:footer="708" w:gutter="0"/>
          <w:cols w:space="708"/>
          <w:titlePg/>
          <w:docGrid w:linePitch="360"/>
        </w:sectPr>
      </w:pPr>
    </w:p>
    <w:p w14:paraId="7004E4D5" w14:textId="24B06451" w:rsidR="007400D7" w:rsidRPr="007A07ED" w:rsidRDefault="007400D7" w:rsidP="00373E7F">
      <w:pPr>
        <w:pStyle w:val="Heading1"/>
      </w:pPr>
      <w:bookmarkStart w:id="19" w:name="_Toc177990553"/>
      <w:bookmarkStart w:id="20" w:name="_Toc177994676"/>
      <w:bookmarkStart w:id="21" w:name="_Toc177995081"/>
      <w:bookmarkStart w:id="22" w:name="_Toc216093734"/>
      <w:r w:rsidRPr="007A07ED">
        <w:t>Contents</w:t>
      </w:r>
      <w:bookmarkEnd w:id="19"/>
      <w:bookmarkEnd w:id="20"/>
      <w:bookmarkEnd w:id="21"/>
      <w:bookmarkEnd w:id="22"/>
    </w:p>
    <w:sdt>
      <w:sdtPr>
        <w:rPr>
          <w:rFonts w:ascii="Times New Roman" w:hAnsi="Times New Roman"/>
        </w:rPr>
        <w:id w:val="-1128930595"/>
        <w:docPartObj>
          <w:docPartGallery w:val="Table of Contents"/>
          <w:docPartUnique/>
        </w:docPartObj>
      </w:sdtPr>
      <w:sdtContent>
        <w:p w14:paraId="46A419CA" w14:textId="1D1989E0" w:rsidR="00265A16" w:rsidRDefault="00F93F21">
          <w:pPr>
            <w:pStyle w:val="TOC1"/>
            <w:tabs>
              <w:tab w:val="right" w:leader="dot" w:pos="8296"/>
            </w:tabs>
            <w:rPr>
              <w:rFonts w:asciiTheme="minorHAnsi" w:eastAsiaTheme="minorEastAsia" w:hAnsiTheme="minorHAnsi" w:cstheme="minorBidi"/>
              <w:noProof/>
              <w:kern w:val="2"/>
              <w14:ligatures w14:val="standardContextual"/>
            </w:rPr>
          </w:pPr>
          <w:r w:rsidRPr="007A07ED">
            <w:fldChar w:fldCharType="begin"/>
          </w:r>
          <w:r w:rsidRPr="007A07ED">
            <w:instrText xml:space="preserve"> TOC \o "1-3" \h \z \u </w:instrText>
          </w:r>
          <w:r w:rsidRPr="007A07ED">
            <w:fldChar w:fldCharType="separate"/>
          </w:r>
          <w:hyperlink w:anchor="_Toc216093729" w:history="1">
            <w:r w:rsidR="00265A16" w:rsidRPr="00252300">
              <w:rPr>
                <w:rStyle w:val="Hyperlink"/>
                <w:noProof/>
              </w:rPr>
              <w:t>EXPLORATORY PROJECT REPORT</w:t>
            </w:r>
            <w:r w:rsidR="00265A16">
              <w:rPr>
                <w:noProof/>
                <w:webHidden/>
              </w:rPr>
              <w:tab/>
            </w:r>
            <w:r w:rsidR="00265A16">
              <w:rPr>
                <w:noProof/>
                <w:webHidden/>
              </w:rPr>
              <w:fldChar w:fldCharType="begin"/>
            </w:r>
            <w:r w:rsidR="00265A16">
              <w:rPr>
                <w:noProof/>
                <w:webHidden/>
              </w:rPr>
              <w:instrText xml:space="preserve"> PAGEREF _Toc216093729 \h </w:instrText>
            </w:r>
            <w:r w:rsidR="00265A16">
              <w:rPr>
                <w:noProof/>
                <w:webHidden/>
              </w:rPr>
            </w:r>
            <w:r w:rsidR="00265A16">
              <w:rPr>
                <w:noProof/>
                <w:webHidden/>
              </w:rPr>
              <w:fldChar w:fldCharType="separate"/>
            </w:r>
            <w:r w:rsidR="00265A16">
              <w:rPr>
                <w:noProof/>
                <w:webHidden/>
              </w:rPr>
              <w:t>1</w:t>
            </w:r>
            <w:r w:rsidR="00265A16">
              <w:rPr>
                <w:noProof/>
                <w:webHidden/>
              </w:rPr>
              <w:fldChar w:fldCharType="end"/>
            </w:r>
          </w:hyperlink>
        </w:p>
        <w:p w14:paraId="207E2709" w14:textId="444B5619" w:rsidR="00265A16" w:rsidRDefault="00265A16">
          <w:pPr>
            <w:pStyle w:val="TOC1"/>
            <w:tabs>
              <w:tab w:val="right" w:leader="dot" w:pos="8296"/>
            </w:tabs>
            <w:rPr>
              <w:rFonts w:asciiTheme="minorHAnsi" w:eastAsiaTheme="minorEastAsia" w:hAnsiTheme="minorHAnsi" w:cstheme="minorBidi"/>
              <w:noProof/>
              <w:kern w:val="2"/>
              <w14:ligatures w14:val="standardContextual"/>
            </w:rPr>
          </w:pPr>
          <w:hyperlink w:anchor="_Toc216093730" w:history="1">
            <w:r w:rsidRPr="00252300">
              <w:rPr>
                <w:rStyle w:val="Hyperlink"/>
                <w:noProof/>
              </w:rPr>
              <w:t>Individualised therapies and platform technologies: Exploring methodological challenges for NICE</w:t>
            </w:r>
            <w:r>
              <w:rPr>
                <w:noProof/>
                <w:webHidden/>
              </w:rPr>
              <w:tab/>
            </w:r>
            <w:r>
              <w:rPr>
                <w:noProof/>
                <w:webHidden/>
              </w:rPr>
              <w:fldChar w:fldCharType="begin"/>
            </w:r>
            <w:r>
              <w:rPr>
                <w:noProof/>
                <w:webHidden/>
              </w:rPr>
              <w:instrText xml:space="preserve"> PAGEREF _Toc216093730 \h </w:instrText>
            </w:r>
            <w:r>
              <w:rPr>
                <w:noProof/>
                <w:webHidden/>
              </w:rPr>
            </w:r>
            <w:r>
              <w:rPr>
                <w:noProof/>
                <w:webHidden/>
              </w:rPr>
              <w:fldChar w:fldCharType="separate"/>
            </w:r>
            <w:r>
              <w:rPr>
                <w:noProof/>
                <w:webHidden/>
              </w:rPr>
              <w:t>1</w:t>
            </w:r>
            <w:r>
              <w:rPr>
                <w:noProof/>
                <w:webHidden/>
              </w:rPr>
              <w:fldChar w:fldCharType="end"/>
            </w:r>
          </w:hyperlink>
        </w:p>
        <w:p w14:paraId="22AC5724" w14:textId="4FA81F2E" w:rsidR="00265A16" w:rsidRDefault="00265A16">
          <w:pPr>
            <w:pStyle w:val="TOC1"/>
            <w:tabs>
              <w:tab w:val="right" w:leader="dot" w:pos="8296"/>
            </w:tabs>
            <w:rPr>
              <w:rFonts w:asciiTheme="minorHAnsi" w:eastAsiaTheme="minorEastAsia" w:hAnsiTheme="minorHAnsi" w:cstheme="minorBidi"/>
              <w:noProof/>
              <w:kern w:val="2"/>
              <w14:ligatures w14:val="standardContextual"/>
            </w:rPr>
          </w:pPr>
          <w:hyperlink w:anchor="_Toc216093731" w:history="1">
            <w:r w:rsidRPr="00252300">
              <w:rPr>
                <w:rStyle w:val="Hyperlink"/>
                <w:noProof/>
              </w:rPr>
              <w:t>Appendix A – Pipeline scan report</w:t>
            </w:r>
            <w:r>
              <w:rPr>
                <w:noProof/>
                <w:webHidden/>
              </w:rPr>
              <w:tab/>
            </w:r>
            <w:r>
              <w:rPr>
                <w:noProof/>
                <w:webHidden/>
              </w:rPr>
              <w:fldChar w:fldCharType="begin"/>
            </w:r>
            <w:r>
              <w:rPr>
                <w:noProof/>
                <w:webHidden/>
              </w:rPr>
              <w:instrText xml:space="preserve"> PAGEREF _Toc216093731 \h </w:instrText>
            </w:r>
            <w:r>
              <w:rPr>
                <w:noProof/>
                <w:webHidden/>
              </w:rPr>
            </w:r>
            <w:r>
              <w:rPr>
                <w:noProof/>
                <w:webHidden/>
              </w:rPr>
              <w:fldChar w:fldCharType="separate"/>
            </w:r>
            <w:r>
              <w:rPr>
                <w:noProof/>
                <w:webHidden/>
              </w:rPr>
              <w:t>1</w:t>
            </w:r>
            <w:r>
              <w:rPr>
                <w:noProof/>
                <w:webHidden/>
              </w:rPr>
              <w:fldChar w:fldCharType="end"/>
            </w:r>
          </w:hyperlink>
        </w:p>
        <w:p w14:paraId="4897D5DF" w14:textId="2B624484" w:rsidR="00265A16" w:rsidRDefault="00265A16">
          <w:pPr>
            <w:pStyle w:val="TOC1"/>
            <w:tabs>
              <w:tab w:val="right" w:leader="dot" w:pos="8296"/>
            </w:tabs>
            <w:rPr>
              <w:rFonts w:asciiTheme="minorHAnsi" w:eastAsiaTheme="minorEastAsia" w:hAnsiTheme="minorHAnsi" w:cstheme="minorBidi"/>
              <w:noProof/>
              <w:kern w:val="2"/>
              <w14:ligatures w14:val="standardContextual"/>
            </w:rPr>
          </w:pPr>
          <w:hyperlink w:anchor="_Toc216093732" w:history="1">
            <w:r w:rsidRPr="00252300">
              <w:rPr>
                <w:rStyle w:val="Hyperlink"/>
                <w:noProof/>
              </w:rPr>
              <w:t>HTA Innovation Laboratory</w:t>
            </w:r>
            <w:r>
              <w:rPr>
                <w:noProof/>
                <w:webHidden/>
              </w:rPr>
              <w:tab/>
            </w:r>
            <w:r>
              <w:rPr>
                <w:noProof/>
                <w:webHidden/>
              </w:rPr>
              <w:fldChar w:fldCharType="begin"/>
            </w:r>
            <w:r>
              <w:rPr>
                <w:noProof/>
                <w:webHidden/>
              </w:rPr>
              <w:instrText xml:space="preserve"> PAGEREF _Toc216093732 \h </w:instrText>
            </w:r>
            <w:r>
              <w:rPr>
                <w:noProof/>
                <w:webHidden/>
              </w:rPr>
            </w:r>
            <w:r>
              <w:rPr>
                <w:noProof/>
                <w:webHidden/>
              </w:rPr>
              <w:fldChar w:fldCharType="separate"/>
            </w:r>
            <w:r>
              <w:rPr>
                <w:noProof/>
                <w:webHidden/>
              </w:rPr>
              <w:t>1</w:t>
            </w:r>
            <w:r>
              <w:rPr>
                <w:noProof/>
                <w:webHidden/>
              </w:rPr>
              <w:fldChar w:fldCharType="end"/>
            </w:r>
          </w:hyperlink>
        </w:p>
        <w:p w14:paraId="03F4A508" w14:textId="23A0BCF1" w:rsidR="00265A16" w:rsidRDefault="00265A16">
          <w:pPr>
            <w:pStyle w:val="TOC1"/>
            <w:tabs>
              <w:tab w:val="right" w:leader="dot" w:pos="8296"/>
            </w:tabs>
            <w:rPr>
              <w:rFonts w:asciiTheme="minorHAnsi" w:eastAsiaTheme="minorEastAsia" w:hAnsiTheme="minorHAnsi" w:cstheme="minorBidi"/>
              <w:noProof/>
              <w:kern w:val="2"/>
              <w14:ligatures w14:val="standardContextual"/>
            </w:rPr>
          </w:pPr>
          <w:hyperlink w:anchor="_Toc216093733" w:history="1">
            <w:r w:rsidRPr="00252300">
              <w:rPr>
                <w:rStyle w:val="Hyperlink"/>
                <w:noProof/>
              </w:rPr>
              <w:t>Disclaimer</w:t>
            </w:r>
            <w:r>
              <w:rPr>
                <w:noProof/>
                <w:webHidden/>
              </w:rPr>
              <w:tab/>
            </w:r>
            <w:r>
              <w:rPr>
                <w:noProof/>
                <w:webHidden/>
              </w:rPr>
              <w:fldChar w:fldCharType="begin"/>
            </w:r>
            <w:r>
              <w:rPr>
                <w:noProof/>
                <w:webHidden/>
              </w:rPr>
              <w:instrText xml:space="preserve"> PAGEREF _Toc216093733 \h </w:instrText>
            </w:r>
            <w:r>
              <w:rPr>
                <w:noProof/>
                <w:webHidden/>
              </w:rPr>
            </w:r>
            <w:r>
              <w:rPr>
                <w:noProof/>
                <w:webHidden/>
              </w:rPr>
              <w:fldChar w:fldCharType="separate"/>
            </w:r>
            <w:r>
              <w:rPr>
                <w:noProof/>
                <w:webHidden/>
              </w:rPr>
              <w:t>1</w:t>
            </w:r>
            <w:r>
              <w:rPr>
                <w:noProof/>
                <w:webHidden/>
              </w:rPr>
              <w:fldChar w:fldCharType="end"/>
            </w:r>
          </w:hyperlink>
        </w:p>
        <w:p w14:paraId="5B6BCF4A" w14:textId="24C95075" w:rsidR="00265A16" w:rsidRDefault="00265A16">
          <w:pPr>
            <w:pStyle w:val="TOC1"/>
            <w:tabs>
              <w:tab w:val="right" w:leader="dot" w:pos="8296"/>
            </w:tabs>
            <w:rPr>
              <w:rFonts w:asciiTheme="minorHAnsi" w:eastAsiaTheme="minorEastAsia" w:hAnsiTheme="minorHAnsi" w:cstheme="minorBidi"/>
              <w:noProof/>
              <w:kern w:val="2"/>
              <w14:ligatures w14:val="standardContextual"/>
            </w:rPr>
          </w:pPr>
          <w:hyperlink w:anchor="_Toc216093734" w:history="1">
            <w:r w:rsidRPr="00252300">
              <w:rPr>
                <w:rStyle w:val="Hyperlink"/>
                <w:noProof/>
              </w:rPr>
              <w:t>Contents</w:t>
            </w:r>
            <w:r>
              <w:rPr>
                <w:noProof/>
                <w:webHidden/>
              </w:rPr>
              <w:tab/>
            </w:r>
            <w:r>
              <w:rPr>
                <w:noProof/>
                <w:webHidden/>
              </w:rPr>
              <w:fldChar w:fldCharType="begin"/>
            </w:r>
            <w:r>
              <w:rPr>
                <w:noProof/>
                <w:webHidden/>
              </w:rPr>
              <w:instrText xml:space="preserve"> PAGEREF _Toc216093734 \h </w:instrText>
            </w:r>
            <w:r>
              <w:rPr>
                <w:noProof/>
                <w:webHidden/>
              </w:rPr>
            </w:r>
            <w:r>
              <w:rPr>
                <w:noProof/>
                <w:webHidden/>
              </w:rPr>
              <w:fldChar w:fldCharType="separate"/>
            </w:r>
            <w:r>
              <w:rPr>
                <w:noProof/>
                <w:webHidden/>
              </w:rPr>
              <w:t>2</w:t>
            </w:r>
            <w:r>
              <w:rPr>
                <w:noProof/>
                <w:webHidden/>
              </w:rPr>
              <w:fldChar w:fldCharType="end"/>
            </w:r>
          </w:hyperlink>
        </w:p>
        <w:p w14:paraId="51FC2A3D" w14:textId="2488686D" w:rsidR="00265A16" w:rsidRDefault="00265A1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6093735" w:history="1">
            <w:r w:rsidRPr="00252300">
              <w:rPr>
                <w:rStyle w:val="Hyperlink"/>
                <w:noProof/>
              </w:rPr>
              <w:t>1</w:t>
            </w:r>
            <w:r>
              <w:rPr>
                <w:rFonts w:asciiTheme="minorHAnsi" w:eastAsiaTheme="minorEastAsia" w:hAnsiTheme="minorHAnsi" w:cstheme="minorBidi"/>
                <w:noProof/>
                <w:kern w:val="2"/>
                <w14:ligatures w14:val="standardContextual"/>
              </w:rPr>
              <w:tab/>
            </w:r>
            <w:r w:rsidRPr="00252300">
              <w:rPr>
                <w:rStyle w:val="Hyperlink"/>
                <w:noProof/>
              </w:rPr>
              <w:t>Background</w:t>
            </w:r>
            <w:r>
              <w:rPr>
                <w:noProof/>
                <w:webHidden/>
              </w:rPr>
              <w:tab/>
            </w:r>
            <w:r>
              <w:rPr>
                <w:noProof/>
                <w:webHidden/>
              </w:rPr>
              <w:fldChar w:fldCharType="begin"/>
            </w:r>
            <w:r>
              <w:rPr>
                <w:noProof/>
                <w:webHidden/>
              </w:rPr>
              <w:instrText xml:space="preserve"> PAGEREF _Toc216093735 \h </w:instrText>
            </w:r>
            <w:r>
              <w:rPr>
                <w:noProof/>
                <w:webHidden/>
              </w:rPr>
            </w:r>
            <w:r>
              <w:rPr>
                <w:noProof/>
                <w:webHidden/>
              </w:rPr>
              <w:fldChar w:fldCharType="separate"/>
            </w:r>
            <w:r>
              <w:rPr>
                <w:noProof/>
                <w:webHidden/>
              </w:rPr>
              <w:t>4</w:t>
            </w:r>
            <w:r>
              <w:rPr>
                <w:noProof/>
                <w:webHidden/>
              </w:rPr>
              <w:fldChar w:fldCharType="end"/>
            </w:r>
          </w:hyperlink>
        </w:p>
        <w:p w14:paraId="51ED56A0" w14:textId="4290F805" w:rsidR="00265A16" w:rsidRDefault="00265A1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6093736" w:history="1">
            <w:r w:rsidRPr="00252300">
              <w:rPr>
                <w:rStyle w:val="Hyperlink"/>
                <w:noProof/>
              </w:rPr>
              <w:t>2</w:t>
            </w:r>
            <w:r>
              <w:rPr>
                <w:rFonts w:asciiTheme="minorHAnsi" w:eastAsiaTheme="minorEastAsia" w:hAnsiTheme="minorHAnsi" w:cstheme="minorBidi"/>
                <w:noProof/>
                <w:kern w:val="2"/>
                <w14:ligatures w14:val="standardContextual"/>
              </w:rPr>
              <w:tab/>
            </w:r>
            <w:r w:rsidRPr="00252300">
              <w:rPr>
                <w:rStyle w:val="Hyperlink"/>
                <w:noProof/>
              </w:rPr>
              <w:t>Current NHS practice and implementation</w:t>
            </w:r>
            <w:r>
              <w:rPr>
                <w:noProof/>
                <w:webHidden/>
              </w:rPr>
              <w:tab/>
            </w:r>
            <w:r>
              <w:rPr>
                <w:noProof/>
                <w:webHidden/>
              </w:rPr>
              <w:fldChar w:fldCharType="begin"/>
            </w:r>
            <w:r>
              <w:rPr>
                <w:noProof/>
                <w:webHidden/>
              </w:rPr>
              <w:instrText xml:space="preserve"> PAGEREF _Toc216093736 \h </w:instrText>
            </w:r>
            <w:r>
              <w:rPr>
                <w:noProof/>
                <w:webHidden/>
              </w:rPr>
            </w:r>
            <w:r>
              <w:rPr>
                <w:noProof/>
                <w:webHidden/>
              </w:rPr>
              <w:fldChar w:fldCharType="separate"/>
            </w:r>
            <w:r>
              <w:rPr>
                <w:noProof/>
                <w:webHidden/>
              </w:rPr>
              <w:t>6</w:t>
            </w:r>
            <w:r>
              <w:rPr>
                <w:noProof/>
                <w:webHidden/>
              </w:rPr>
              <w:fldChar w:fldCharType="end"/>
            </w:r>
          </w:hyperlink>
        </w:p>
        <w:p w14:paraId="19212A9E" w14:textId="456F9A72" w:rsidR="00265A16" w:rsidRDefault="00265A1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6093737" w:history="1">
            <w:r w:rsidRPr="00252300">
              <w:rPr>
                <w:rStyle w:val="Hyperlink"/>
                <w:noProof/>
              </w:rPr>
              <w:t>3</w:t>
            </w:r>
            <w:r>
              <w:rPr>
                <w:rFonts w:asciiTheme="minorHAnsi" w:eastAsiaTheme="minorEastAsia" w:hAnsiTheme="minorHAnsi" w:cstheme="minorBidi"/>
                <w:noProof/>
                <w:kern w:val="2"/>
                <w14:ligatures w14:val="standardContextual"/>
              </w:rPr>
              <w:tab/>
            </w:r>
            <w:r w:rsidRPr="00252300">
              <w:rPr>
                <w:rStyle w:val="Hyperlink"/>
                <w:noProof/>
              </w:rPr>
              <w:t>Methods and objectives</w:t>
            </w:r>
            <w:r>
              <w:rPr>
                <w:noProof/>
                <w:webHidden/>
              </w:rPr>
              <w:tab/>
            </w:r>
            <w:r>
              <w:rPr>
                <w:noProof/>
                <w:webHidden/>
              </w:rPr>
              <w:fldChar w:fldCharType="begin"/>
            </w:r>
            <w:r>
              <w:rPr>
                <w:noProof/>
                <w:webHidden/>
              </w:rPr>
              <w:instrText xml:space="preserve"> PAGEREF _Toc216093737 \h </w:instrText>
            </w:r>
            <w:r>
              <w:rPr>
                <w:noProof/>
                <w:webHidden/>
              </w:rPr>
            </w:r>
            <w:r>
              <w:rPr>
                <w:noProof/>
                <w:webHidden/>
              </w:rPr>
              <w:fldChar w:fldCharType="separate"/>
            </w:r>
            <w:r>
              <w:rPr>
                <w:noProof/>
                <w:webHidden/>
              </w:rPr>
              <w:t>6</w:t>
            </w:r>
            <w:r>
              <w:rPr>
                <w:noProof/>
                <w:webHidden/>
              </w:rPr>
              <w:fldChar w:fldCharType="end"/>
            </w:r>
          </w:hyperlink>
        </w:p>
        <w:p w14:paraId="286CB7DB" w14:textId="371B3CC4" w:rsidR="00265A16" w:rsidRDefault="00265A16">
          <w:pPr>
            <w:pStyle w:val="TOC2"/>
            <w:tabs>
              <w:tab w:val="right" w:leader="dot" w:pos="8296"/>
            </w:tabs>
            <w:rPr>
              <w:rFonts w:asciiTheme="minorHAnsi" w:eastAsiaTheme="minorEastAsia" w:hAnsiTheme="minorHAnsi" w:cstheme="minorBidi"/>
              <w:noProof/>
              <w:kern w:val="2"/>
              <w14:ligatures w14:val="standardContextual"/>
            </w:rPr>
          </w:pPr>
          <w:hyperlink w:anchor="_Toc216093738" w:history="1">
            <w:r w:rsidRPr="00252300">
              <w:rPr>
                <w:rStyle w:val="Hyperlink"/>
                <w:noProof/>
              </w:rPr>
              <w:t>Objectives</w:t>
            </w:r>
            <w:r>
              <w:rPr>
                <w:noProof/>
                <w:webHidden/>
              </w:rPr>
              <w:tab/>
            </w:r>
            <w:r>
              <w:rPr>
                <w:noProof/>
                <w:webHidden/>
              </w:rPr>
              <w:fldChar w:fldCharType="begin"/>
            </w:r>
            <w:r>
              <w:rPr>
                <w:noProof/>
                <w:webHidden/>
              </w:rPr>
              <w:instrText xml:space="preserve"> PAGEREF _Toc216093738 \h </w:instrText>
            </w:r>
            <w:r>
              <w:rPr>
                <w:noProof/>
                <w:webHidden/>
              </w:rPr>
            </w:r>
            <w:r>
              <w:rPr>
                <w:noProof/>
                <w:webHidden/>
              </w:rPr>
              <w:fldChar w:fldCharType="separate"/>
            </w:r>
            <w:r>
              <w:rPr>
                <w:noProof/>
                <w:webHidden/>
              </w:rPr>
              <w:t>6</w:t>
            </w:r>
            <w:r>
              <w:rPr>
                <w:noProof/>
                <w:webHidden/>
              </w:rPr>
              <w:fldChar w:fldCharType="end"/>
            </w:r>
          </w:hyperlink>
        </w:p>
        <w:p w14:paraId="6DD618D5" w14:textId="62190233" w:rsidR="00265A16" w:rsidRDefault="00265A16">
          <w:pPr>
            <w:pStyle w:val="TOC2"/>
            <w:tabs>
              <w:tab w:val="right" w:leader="dot" w:pos="8296"/>
            </w:tabs>
            <w:rPr>
              <w:rFonts w:asciiTheme="minorHAnsi" w:eastAsiaTheme="minorEastAsia" w:hAnsiTheme="minorHAnsi" w:cstheme="minorBidi"/>
              <w:noProof/>
              <w:kern w:val="2"/>
              <w14:ligatures w14:val="standardContextual"/>
            </w:rPr>
          </w:pPr>
          <w:hyperlink w:anchor="_Toc216093739" w:history="1">
            <w:r w:rsidRPr="00252300">
              <w:rPr>
                <w:rStyle w:val="Hyperlink"/>
                <w:noProof/>
              </w:rPr>
              <w:t>Data source and collection</w:t>
            </w:r>
            <w:r>
              <w:rPr>
                <w:noProof/>
                <w:webHidden/>
              </w:rPr>
              <w:tab/>
            </w:r>
            <w:r>
              <w:rPr>
                <w:noProof/>
                <w:webHidden/>
              </w:rPr>
              <w:fldChar w:fldCharType="begin"/>
            </w:r>
            <w:r>
              <w:rPr>
                <w:noProof/>
                <w:webHidden/>
              </w:rPr>
              <w:instrText xml:space="preserve"> PAGEREF _Toc216093739 \h </w:instrText>
            </w:r>
            <w:r>
              <w:rPr>
                <w:noProof/>
                <w:webHidden/>
              </w:rPr>
            </w:r>
            <w:r>
              <w:rPr>
                <w:noProof/>
                <w:webHidden/>
              </w:rPr>
              <w:fldChar w:fldCharType="separate"/>
            </w:r>
            <w:r>
              <w:rPr>
                <w:noProof/>
                <w:webHidden/>
              </w:rPr>
              <w:t>7</w:t>
            </w:r>
            <w:r>
              <w:rPr>
                <w:noProof/>
                <w:webHidden/>
              </w:rPr>
              <w:fldChar w:fldCharType="end"/>
            </w:r>
          </w:hyperlink>
        </w:p>
        <w:p w14:paraId="4983A022" w14:textId="79E996F3" w:rsidR="00265A16" w:rsidRDefault="00265A16">
          <w:pPr>
            <w:pStyle w:val="TOC2"/>
            <w:tabs>
              <w:tab w:val="right" w:leader="dot" w:pos="8296"/>
            </w:tabs>
            <w:rPr>
              <w:rFonts w:asciiTheme="minorHAnsi" w:eastAsiaTheme="minorEastAsia" w:hAnsiTheme="minorHAnsi" w:cstheme="minorBidi"/>
              <w:noProof/>
              <w:kern w:val="2"/>
              <w14:ligatures w14:val="standardContextual"/>
            </w:rPr>
          </w:pPr>
          <w:hyperlink w:anchor="_Toc216093740" w:history="1">
            <w:r w:rsidRPr="00252300">
              <w:rPr>
                <w:rStyle w:val="Hyperlink"/>
                <w:noProof/>
              </w:rPr>
              <w:t>Scope and inclusion and exclusion criteria</w:t>
            </w:r>
            <w:r>
              <w:rPr>
                <w:noProof/>
                <w:webHidden/>
              </w:rPr>
              <w:tab/>
            </w:r>
            <w:r>
              <w:rPr>
                <w:noProof/>
                <w:webHidden/>
              </w:rPr>
              <w:fldChar w:fldCharType="begin"/>
            </w:r>
            <w:r>
              <w:rPr>
                <w:noProof/>
                <w:webHidden/>
              </w:rPr>
              <w:instrText xml:space="preserve"> PAGEREF _Toc216093740 \h </w:instrText>
            </w:r>
            <w:r>
              <w:rPr>
                <w:noProof/>
                <w:webHidden/>
              </w:rPr>
            </w:r>
            <w:r>
              <w:rPr>
                <w:noProof/>
                <w:webHidden/>
              </w:rPr>
              <w:fldChar w:fldCharType="separate"/>
            </w:r>
            <w:r>
              <w:rPr>
                <w:noProof/>
                <w:webHidden/>
              </w:rPr>
              <w:t>7</w:t>
            </w:r>
            <w:r>
              <w:rPr>
                <w:noProof/>
                <w:webHidden/>
              </w:rPr>
              <w:fldChar w:fldCharType="end"/>
            </w:r>
          </w:hyperlink>
        </w:p>
        <w:p w14:paraId="59A322D3" w14:textId="68388553" w:rsidR="00265A16" w:rsidRDefault="00265A16">
          <w:pPr>
            <w:pStyle w:val="TOC3"/>
            <w:rPr>
              <w:rFonts w:asciiTheme="minorHAnsi" w:eastAsiaTheme="minorEastAsia" w:hAnsiTheme="minorHAnsi" w:cstheme="minorBidi"/>
              <w:kern w:val="2"/>
              <w14:ligatures w14:val="standardContextual"/>
            </w:rPr>
          </w:pPr>
          <w:hyperlink w:anchor="_Toc216093741" w:history="1">
            <w:r w:rsidRPr="00252300">
              <w:rPr>
                <w:rStyle w:val="Hyperlink"/>
              </w:rPr>
              <w:t>Inclusion criteria</w:t>
            </w:r>
            <w:r>
              <w:rPr>
                <w:webHidden/>
              </w:rPr>
              <w:tab/>
            </w:r>
            <w:r>
              <w:rPr>
                <w:webHidden/>
              </w:rPr>
              <w:fldChar w:fldCharType="begin"/>
            </w:r>
            <w:r>
              <w:rPr>
                <w:webHidden/>
              </w:rPr>
              <w:instrText xml:space="preserve"> PAGEREF _Toc216093741 \h </w:instrText>
            </w:r>
            <w:r>
              <w:rPr>
                <w:webHidden/>
              </w:rPr>
            </w:r>
            <w:r>
              <w:rPr>
                <w:webHidden/>
              </w:rPr>
              <w:fldChar w:fldCharType="separate"/>
            </w:r>
            <w:r>
              <w:rPr>
                <w:webHidden/>
              </w:rPr>
              <w:t>7</w:t>
            </w:r>
            <w:r>
              <w:rPr>
                <w:webHidden/>
              </w:rPr>
              <w:fldChar w:fldCharType="end"/>
            </w:r>
          </w:hyperlink>
        </w:p>
        <w:p w14:paraId="627BD6C3" w14:textId="0130CCC4" w:rsidR="00265A16" w:rsidRDefault="00265A16">
          <w:pPr>
            <w:pStyle w:val="TOC3"/>
            <w:rPr>
              <w:rFonts w:asciiTheme="minorHAnsi" w:eastAsiaTheme="minorEastAsia" w:hAnsiTheme="minorHAnsi" w:cstheme="minorBidi"/>
              <w:kern w:val="2"/>
              <w14:ligatures w14:val="standardContextual"/>
            </w:rPr>
          </w:pPr>
          <w:hyperlink w:anchor="_Toc216093742" w:history="1">
            <w:r w:rsidRPr="00252300">
              <w:rPr>
                <w:rStyle w:val="Hyperlink"/>
              </w:rPr>
              <w:t>Exclusion criteria</w:t>
            </w:r>
            <w:r>
              <w:rPr>
                <w:webHidden/>
              </w:rPr>
              <w:tab/>
            </w:r>
            <w:r>
              <w:rPr>
                <w:webHidden/>
              </w:rPr>
              <w:fldChar w:fldCharType="begin"/>
            </w:r>
            <w:r>
              <w:rPr>
                <w:webHidden/>
              </w:rPr>
              <w:instrText xml:space="preserve"> PAGEREF _Toc216093742 \h </w:instrText>
            </w:r>
            <w:r>
              <w:rPr>
                <w:webHidden/>
              </w:rPr>
            </w:r>
            <w:r>
              <w:rPr>
                <w:webHidden/>
              </w:rPr>
              <w:fldChar w:fldCharType="separate"/>
            </w:r>
            <w:r>
              <w:rPr>
                <w:webHidden/>
              </w:rPr>
              <w:t>8</w:t>
            </w:r>
            <w:r>
              <w:rPr>
                <w:webHidden/>
              </w:rPr>
              <w:fldChar w:fldCharType="end"/>
            </w:r>
          </w:hyperlink>
        </w:p>
        <w:p w14:paraId="43EAD613" w14:textId="5ECEA000" w:rsidR="00265A16" w:rsidRDefault="00265A1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6093743" w:history="1">
            <w:r w:rsidRPr="00252300">
              <w:rPr>
                <w:rStyle w:val="Hyperlink"/>
                <w:noProof/>
              </w:rPr>
              <w:t>4</w:t>
            </w:r>
            <w:r>
              <w:rPr>
                <w:rFonts w:asciiTheme="minorHAnsi" w:eastAsiaTheme="minorEastAsia" w:hAnsiTheme="minorHAnsi" w:cstheme="minorBidi"/>
                <w:noProof/>
                <w:kern w:val="2"/>
                <w14:ligatures w14:val="standardContextual"/>
              </w:rPr>
              <w:tab/>
            </w:r>
            <w:r w:rsidRPr="00252300">
              <w:rPr>
                <w:rStyle w:val="Hyperlink"/>
                <w:noProof/>
              </w:rPr>
              <w:t>Current treatments</w:t>
            </w:r>
            <w:r>
              <w:rPr>
                <w:noProof/>
                <w:webHidden/>
              </w:rPr>
              <w:tab/>
            </w:r>
            <w:r>
              <w:rPr>
                <w:noProof/>
                <w:webHidden/>
              </w:rPr>
              <w:fldChar w:fldCharType="begin"/>
            </w:r>
            <w:r>
              <w:rPr>
                <w:noProof/>
                <w:webHidden/>
              </w:rPr>
              <w:instrText xml:space="preserve"> PAGEREF _Toc216093743 \h </w:instrText>
            </w:r>
            <w:r>
              <w:rPr>
                <w:noProof/>
                <w:webHidden/>
              </w:rPr>
            </w:r>
            <w:r>
              <w:rPr>
                <w:noProof/>
                <w:webHidden/>
              </w:rPr>
              <w:fldChar w:fldCharType="separate"/>
            </w:r>
            <w:r>
              <w:rPr>
                <w:noProof/>
                <w:webHidden/>
              </w:rPr>
              <w:t>8</w:t>
            </w:r>
            <w:r>
              <w:rPr>
                <w:noProof/>
                <w:webHidden/>
              </w:rPr>
              <w:fldChar w:fldCharType="end"/>
            </w:r>
          </w:hyperlink>
        </w:p>
        <w:p w14:paraId="23236B93" w14:textId="3415F705" w:rsidR="00265A16" w:rsidRDefault="00265A16">
          <w:pPr>
            <w:pStyle w:val="TOC2"/>
            <w:tabs>
              <w:tab w:val="right" w:leader="dot" w:pos="8296"/>
            </w:tabs>
            <w:rPr>
              <w:rFonts w:asciiTheme="minorHAnsi" w:eastAsiaTheme="minorEastAsia" w:hAnsiTheme="minorHAnsi" w:cstheme="minorBidi"/>
              <w:noProof/>
              <w:kern w:val="2"/>
              <w14:ligatures w14:val="standardContextual"/>
            </w:rPr>
          </w:pPr>
          <w:hyperlink w:anchor="_Toc216093744" w:history="1">
            <w:r w:rsidRPr="00252300">
              <w:rPr>
                <w:rStyle w:val="Hyperlink"/>
                <w:noProof/>
              </w:rPr>
              <w:t>Overview of emerging individualised therapies</w:t>
            </w:r>
            <w:r>
              <w:rPr>
                <w:noProof/>
                <w:webHidden/>
              </w:rPr>
              <w:tab/>
            </w:r>
            <w:r>
              <w:rPr>
                <w:noProof/>
                <w:webHidden/>
              </w:rPr>
              <w:fldChar w:fldCharType="begin"/>
            </w:r>
            <w:r>
              <w:rPr>
                <w:noProof/>
                <w:webHidden/>
              </w:rPr>
              <w:instrText xml:space="preserve"> PAGEREF _Toc216093744 \h </w:instrText>
            </w:r>
            <w:r>
              <w:rPr>
                <w:noProof/>
                <w:webHidden/>
              </w:rPr>
            </w:r>
            <w:r>
              <w:rPr>
                <w:noProof/>
                <w:webHidden/>
              </w:rPr>
              <w:fldChar w:fldCharType="separate"/>
            </w:r>
            <w:r>
              <w:rPr>
                <w:noProof/>
                <w:webHidden/>
              </w:rPr>
              <w:t>8</w:t>
            </w:r>
            <w:r>
              <w:rPr>
                <w:noProof/>
                <w:webHidden/>
              </w:rPr>
              <w:fldChar w:fldCharType="end"/>
            </w:r>
          </w:hyperlink>
        </w:p>
        <w:p w14:paraId="20E2A39F" w14:textId="56C5E0F7" w:rsidR="00265A16" w:rsidRDefault="00265A16">
          <w:pPr>
            <w:pStyle w:val="TOC3"/>
            <w:rPr>
              <w:rFonts w:asciiTheme="minorHAnsi" w:eastAsiaTheme="minorEastAsia" w:hAnsiTheme="minorHAnsi" w:cstheme="minorBidi"/>
              <w:kern w:val="2"/>
              <w14:ligatures w14:val="standardContextual"/>
            </w:rPr>
          </w:pPr>
          <w:hyperlink w:anchor="_Toc216093745" w:history="1">
            <w:r w:rsidRPr="00252300">
              <w:rPr>
                <w:rStyle w:val="Hyperlink"/>
              </w:rPr>
              <w:t>Messenger Ribonucleic Acid (mRNA)-Based Therapies</w:t>
            </w:r>
            <w:r>
              <w:rPr>
                <w:webHidden/>
              </w:rPr>
              <w:tab/>
            </w:r>
            <w:r>
              <w:rPr>
                <w:webHidden/>
              </w:rPr>
              <w:fldChar w:fldCharType="begin"/>
            </w:r>
            <w:r>
              <w:rPr>
                <w:webHidden/>
              </w:rPr>
              <w:instrText xml:space="preserve"> PAGEREF _Toc216093745 \h </w:instrText>
            </w:r>
            <w:r>
              <w:rPr>
                <w:webHidden/>
              </w:rPr>
            </w:r>
            <w:r>
              <w:rPr>
                <w:webHidden/>
              </w:rPr>
              <w:fldChar w:fldCharType="separate"/>
            </w:r>
            <w:r>
              <w:rPr>
                <w:webHidden/>
              </w:rPr>
              <w:t>9</w:t>
            </w:r>
            <w:r>
              <w:rPr>
                <w:webHidden/>
              </w:rPr>
              <w:fldChar w:fldCharType="end"/>
            </w:r>
          </w:hyperlink>
        </w:p>
        <w:p w14:paraId="31ABCD99" w14:textId="3B82D36F" w:rsidR="00265A16" w:rsidRDefault="00265A16">
          <w:pPr>
            <w:pStyle w:val="TOC2"/>
            <w:tabs>
              <w:tab w:val="right" w:leader="dot" w:pos="8296"/>
            </w:tabs>
            <w:rPr>
              <w:rFonts w:asciiTheme="minorHAnsi" w:eastAsiaTheme="minorEastAsia" w:hAnsiTheme="minorHAnsi" w:cstheme="minorBidi"/>
              <w:noProof/>
              <w:kern w:val="2"/>
              <w14:ligatures w14:val="standardContextual"/>
            </w:rPr>
          </w:pPr>
          <w:hyperlink w:anchor="_Toc216093746" w:history="1">
            <w:r w:rsidRPr="00252300">
              <w:rPr>
                <w:rStyle w:val="Hyperlink"/>
                <w:noProof/>
              </w:rPr>
              <w:t>Pipeline trends</w:t>
            </w:r>
            <w:r>
              <w:rPr>
                <w:noProof/>
                <w:webHidden/>
              </w:rPr>
              <w:tab/>
            </w:r>
            <w:r>
              <w:rPr>
                <w:noProof/>
                <w:webHidden/>
              </w:rPr>
              <w:fldChar w:fldCharType="begin"/>
            </w:r>
            <w:r>
              <w:rPr>
                <w:noProof/>
                <w:webHidden/>
              </w:rPr>
              <w:instrText xml:space="preserve"> PAGEREF _Toc216093746 \h </w:instrText>
            </w:r>
            <w:r>
              <w:rPr>
                <w:noProof/>
                <w:webHidden/>
              </w:rPr>
            </w:r>
            <w:r>
              <w:rPr>
                <w:noProof/>
                <w:webHidden/>
              </w:rPr>
              <w:fldChar w:fldCharType="separate"/>
            </w:r>
            <w:r>
              <w:rPr>
                <w:noProof/>
                <w:webHidden/>
              </w:rPr>
              <w:t>10</w:t>
            </w:r>
            <w:r>
              <w:rPr>
                <w:noProof/>
                <w:webHidden/>
              </w:rPr>
              <w:fldChar w:fldCharType="end"/>
            </w:r>
          </w:hyperlink>
        </w:p>
        <w:p w14:paraId="26FB4152" w14:textId="12569AD1" w:rsidR="00265A16" w:rsidRDefault="00265A16">
          <w:pPr>
            <w:pStyle w:val="TOC3"/>
            <w:rPr>
              <w:rFonts w:asciiTheme="minorHAnsi" w:eastAsiaTheme="minorEastAsia" w:hAnsiTheme="minorHAnsi" w:cstheme="minorBidi"/>
              <w:kern w:val="2"/>
              <w14:ligatures w14:val="standardContextual"/>
            </w:rPr>
          </w:pPr>
          <w:hyperlink w:anchor="_Toc216093747" w:history="1">
            <w:r w:rsidRPr="00252300">
              <w:rPr>
                <w:rStyle w:val="Hyperlink"/>
              </w:rPr>
              <w:t>Trial completion dates</w:t>
            </w:r>
            <w:r>
              <w:rPr>
                <w:webHidden/>
              </w:rPr>
              <w:tab/>
            </w:r>
            <w:r>
              <w:rPr>
                <w:webHidden/>
              </w:rPr>
              <w:fldChar w:fldCharType="begin"/>
            </w:r>
            <w:r>
              <w:rPr>
                <w:webHidden/>
              </w:rPr>
              <w:instrText xml:space="preserve"> PAGEREF _Toc216093747 \h </w:instrText>
            </w:r>
            <w:r>
              <w:rPr>
                <w:webHidden/>
              </w:rPr>
            </w:r>
            <w:r>
              <w:rPr>
                <w:webHidden/>
              </w:rPr>
              <w:fldChar w:fldCharType="separate"/>
            </w:r>
            <w:r>
              <w:rPr>
                <w:webHidden/>
              </w:rPr>
              <w:t>11</w:t>
            </w:r>
            <w:r>
              <w:rPr>
                <w:webHidden/>
              </w:rPr>
              <w:fldChar w:fldCharType="end"/>
            </w:r>
          </w:hyperlink>
        </w:p>
        <w:p w14:paraId="1005BF5C" w14:textId="422C5230" w:rsidR="00265A16" w:rsidRDefault="00265A16">
          <w:pPr>
            <w:pStyle w:val="TOC2"/>
            <w:tabs>
              <w:tab w:val="right" w:leader="dot" w:pos="8296"/>
            </w:tabs>
            <w:rPr>
              <w:rFonts w:asciiTheme="minorHAnsi" w:eastAsiaTheme="minorEastAsia" w:hAnsiTheme="minorHAnsi" w:cstheme="minorBidi"/>
              <w:noProof/>
              <w:kern w:val="2"/>
              <w14:ligatures w14:val="standardContextual"/>
            </w:rPr>
          </w:pPr>
          <w:hyperlink w:anchor="_Toc216093748" w:history="1">
            <w:r w:rsidRPr="00252300">
              <w:rPr>
                <w:rStyle w:val="Hyperlink"/>
                <w:noProof/>
              </w:rPr>
              <w:t>Published evidence</w:t>
            </w:r>
            <w:r>
              <w:rPr>
                <w:noProof/>
                <w:webHidden/>
              </w:rPr>
              <w:tab/>
            </w:r>
            <w:r>
              <w:rPr>
                <w:noProof/>
                <w:webHidden/>
              </w:rPr>
              <w:fldChar w:fldCharType="begin"/>
            </w:r>
            <w:r>
              <w:rPr>
                <w:noProof/>
                <w:webHidden/>
              </w:rPr>
              <w:instrText xml:space="preserve"> PAGEREF _Toc216093748 \h </w:instrText>
            </w:r>
            <w:r>
              <w:rPr>
                <w:noProof/>
                <w:webHidden/>
              </w:rPr>
            </w:r>
            <w:r>
              <w:rPr>
                <w:noProof/>
                <w:webHidden/>
              </w:rPr>
              <w:fldChar w:fldCharType="separate"/>
            </w:r>
            <w:r>
              <w:rPr>
                <w:noProof/>
                <w:webHidden/>
              </w:rPr>
              <w:t>13</w:t>
            </w:r>
            <w:r>
              <w:rPr>
                <w:noProof/>
                <w:webHidden/>
              </w:rPr>
              <w:fldChar w:fldCharType="end"/>
            </w:r>
          </w:hyperlink>
        </w:p>
        <w:p w14:paraId="478AD45C" w14:textId="47660A4F" w:rsidR="00265A16" w:rsidRDefault="00265A16">
          <w:pPr>
            <w:pStyle w:val="TOC3"/>
            <w:rPr>
              <w:rFonts w:asciiTheme="minorHAnsi" w:eastAsiaTheme="minorEastAsia" w:hAnsiTheme="minorHAnsi" w:cstheme="minorBidi"/>
              <w:kern w:val="2"/>
              <w14:ligatures w14:val="standardContextual"/>
            </w:rPr>
          </w:pPr>
          <w:hyperlink w:anchor="_Toc216093749" w:history="1">
            <w:r w:rsidRPr="00252300">
              <w:rPr>
                <w:rStyle w:val="Hyperlink"/>
              </w:rPr>
              <w:t>Disease area</w:t>
            </w:r>
            <w:r>
              <w:rPr>
                <w:webHidden/>
              </w:rPr>
              <w:tab/>
            </w:r>
            <w:r>
              <w:rPr>
                <w:webHidden/>
              </w:rPr>
              <w:fldChar w:fldCharType="begin"/>
            </w:r>
            <w:r>
              <w:rPr>
                <w:webHidden/>
              </w:rPr>
              <w:instrText xml:space="preserve"> PAGEREF _Toc216093749 \h </w:instrText>
            </w:r>
            <w:r>
              <w:rPr>
                <w:webHidden/>
              </w:rPr>
            </w:r>
            <w:r>
              <w:rPr>
                <w:webHidden/>
              </w:rPr>
              <w:fldChar w:fldCharType="separate"/>
            </w:r>
            <w:r>
              <w:rPr>
                <w:webHidden/>
              </w:rPr>
              <w:t>13</w:t>
            </w:r>
            <w:r>
              <w:rPr>
                <w:webHidden/>
              </w:rPr>
              <w:fldChar w:fldCharType="end"/>
            </w:r>
          </w:hyperlink>
        </w:p>
        <w:p w14:paraId="3401A025" w14:textId="7718510B" w:rsidR="00265A16" w:rsidRDefault="00265A16">
          <w:pPr>
            <w:pStyle w:val="TOC3"/>
            <w:rPr>
              <w:rFonts w:asciiTheme="minorHAnsi" w:eastAsiaTheme="minorEastAsia" w:hAnsiTheme="minorHAnsi" w:cstheme="minorBidi"/>
              <w:kern w:val="2"/>
              <w14:ligatures w14:val="standardContextual"/>
            </w:rPr>
          </w:pPr>
          <w:hyperlink w:anchor="_Toc216093750" w:history="1">
            <w:r w:rsidRPr="00252300">
              <w:rPr>
                <w:rStyle w:val="Hyperlink"/>
              </w:rPr>
              <w:t>Types of endpoints</w:t>
            </w:r>
            <w:r>
              <w:rPr>
                <w:webHidden/>
              </w:rPr>
              <w:tab/>
            </w:r>
            <w:r>
              <w:rPr>
                <w:webHidden/>
              </w:rPr>
              <w:fldChar w:fldCharType="begin"/>
            </w:r>
            <w:r>
              <w:rPr>
                <w:webHidden/>
              </w:rPr>
              <w:instrText xml:space="preserve"> PAGEREF _Toc216093750 \h </w:instrText>
            </w:r>
            <w:r>
              <w:rPr>
                <w:webHidden/>
              </w:rPr>
            </w:r>
            <w:r>
              <w:rPr>
                <w:webHidden/>
              </w:rPr>
              <w:fldChar w:fldCharType="separate"/>
            </w:r>
            <w:r>
              <w:rPr>
                <w:webHidden/>
              </w:rPr>
              <w:t>14</w:t>
            </w:r>
            <w:r>
              <w:rPr>
                <w:webHidden/>
              </w:rPr>
              <w:fldChar w:fldCharType="end"/>
            </w:r>
          </w:hyperlink>
        </w:p>
        <w:p w14:paraId="3D69734C" w14:textId="00F51D05" w:rsidR="00265A16" w:rsidRDefault="00265A16">
          <w:pPr>
            <w:pStyle w:val="TOC3"/>
            <w:rPr>
              <w:rFonts w:asciiTheme="minorHAnsi" w:eastAsiaTheme="minorEastAsia" w:hAnsiTheme="minorHAnsi" w:cstheme="minorBidi"/>
              <w:kern w:val="2"/>
              <w14:ligatures w14:val="standardContextual"/>
            </w:rPr>
          </w:pPr>
          <w:hyperlink w:anchor="_Toc216093751" w:history="1">
            <w:r w:rsidRPr="00252300">
              <w:rPr>
                <w:rStyle w:val="Hyperlink"/>
              </w:rPr>
              <w:t>Trial design and rigour</w:t>
            </w:r>
            <w:r>
              <w:rPr>
                <w:webHidden/>
              </w:rPr>
              <w:tab/>
            </w:r>
            <w:r>
              <w:rPr>
                <w:webHidden/>
              </w:rPr>
              <w:fldChar w:fldCharType="begin"/>
            </w:r>
            <w:r>
              <w:rPr>
                <w:webHidden/>
              </w:rPr>
              <w:instrText xml:space="preserve"> PAGEREF _Toc216093751 \h </w:instrText>
            </w:r>
            <w:r>
              <w:rPr>
                <w:webHidden/>
              </w:rPr>
            </w:r>
            <w:r>
              <w:rPr>
                <w:webHidden/>
              </w:rPr>
              <w:fldChar w:fldCharType="separate"/>
            </w:r>
            <w:r>
              <w:rPr>
                <w:webHidden/>
              </w:rPr>
              <w:t>17</w:t>
            </w:r>
            <w:r>
              <w:rPr>
                <w:webHidden/>
              </w:rPr>
              <w:fldChar w:fldCharType="end"/>
            </w:r>
          </w:hyperlink>
        </w:p>
        <w:p w14:paraId="11790BDF" w14:textId="47AA5DC4" w:rsidR="00265A16" w:rsidRDefault="00265A1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6093752" w:history="1">
            <w:r w:rsidRPr="00252300">
              <w:rPr>
                <w:rStyle w:val="Hyperlink"/>
                <w:noProof/>
              </w:rPr>
              <w:t>5</w:t>
            </w:r>
            <w:r>
              <w:rPr>
                <w:rFonts w:asciiTheme="minorHAnsi" w:eastAsiaTheme="minorEastAsia" w:hAnsiTheme="minorHAnsi" w:cstheme="minorBidi"/>
                <w:noProof/>
                <w:kern w:val="2"/>
                <w14:ligatures w14:val="standardContextual"/>
              </w:rPr>
              <w:tab/>
            </w:r>
            <w:r w:rsidRPr="00252300">
              <w:rPr>
                <w:rStyle w:val="Hyperlink"/>
                <w:noProof/>
              </w:rPr>
              <w:t>Methodological considerations for HTA</w:t>
            </w:r>
            <w:r>
              <w:rPr>
                <w:noProof/>
                <w:webHidden/>
              </w:rPr>
              <w:tab/>
            </w:r>
            <w:r>
              <w:rPr>
                <w:noProof/>
                <w:webHidden/>
              </w:rPr>
              <w:fldChar w:fldCharType="begin"/>
            </w:r>
            <w:r>
              <w:rPr>
                <w:noProof/>
                <w:webHidden/>
              </w:rPr>
              <w:instrText xml:space="preserve"> PAGEREF _Toc216093752 \h </w:instrText>
            </w:r>
            <w:r>
              <w:rPr>
                <w:noProof/>
                <w:webHidden/>
              </w:rPr>
            </w:r>
            <w:r>
              <w:rPr>
                <w:noProof/>
                <w:webHidden/>
              </w:rPr>
              <w:fldChar w:fldCharType="separate"/>
            </w:r>
            <w:r>
              <w:rPr>
                <w:noProof/>
                <w:webHidden/>
              </w:rPr>
              <w:t>19</w:t>
            </w:r>
            <w:r>
              <w:rPr>
                <w:noProof/>
                <w:webHidden/>
              </w:rPr>
              <w:fldChar w:fldCharType="end"/>
            </w:r>
          </w:hyperlink>
        </w:p>
        <w:p w14:paraId="6BC914A5" w14:textId="2A44A8D2" w:rsidR="00265A16" w:rsidRDefault="00265A16">
          <w:pPr>
            <w:pStyle w:val="TOC2"/>
            <w:tabs>
              <w:tab w:val="right" w:leader="dot" w:pos="8296"/>
            </w:tabs>
            <w:rPr>
              <w:rFonts w:asciiTheme="minorHAnsi" w:eastAsiaTheme="minorEastAsia" w:hAnsiTheme="minorHAnsi" w:cstheme="minorBidi"/>
              <w:noProof/>
              <w:kern w:val="2"/>
              <w14:ligatures w14:val="standardContextual"/>
            </w:rPr>
          </w:pPr>
          <w:hyperlink w:anchor="_Toc216093753" w:history="1">
            <w:r w:rsidRPr="00252300">
              <w:rPr>
                <w:rStyle w:val="Hyperlink"/>
                <w:noProof/>
              </w:rPr>
              <w:t>Clinical evidence challenges</w:t>
            </w:r>
            <w:r>
              <w:rPr>
                <w:noProof/>
                <w:webHidden/>
              </w:rPr>
              <w:tab/>
            </w:r>
            <w:r>
              <w:rPr>
                <w:noProof/>
                <w:webHidden/>
              </w:rPr>
              <w:fldChar w:fldCharType="begin"/>
            </w:r>
            <w:r>
              <w:rPr>
                <w:noProof/>
                <w:webHidden/>
              </w:rPr>
              <w:instrText xml:space="preserve"> PAGEREF _Toc216093753 \h </w:instrText>
            </w:r>
            <w:r>
              <w:rPr>
                <w:noProof/>
                <w:webHidden/>
              </w:rPr>
            </w:r>
            <w:r>
              <w:rPr>
                <w:noProof/>
                <w:webHidden/>
              </w:rPr>
              <w:fldChar w:fldCharType="separate"/>
            </w:r>
            <w:r>
              <w:rPr>
                <w:noProof/>
                <w:webHidden/>
              </w:rPr>
              <w:t>19</w:t>
            </w:r>
            <w:r>
              <w:rPr>
                <w:noProof/>
                <w:webHidden/>
              </w:rPr>
              <w:fldChar w:fldCharType="end"/>
            </w:r>
          </w:hyperlink>
        </w:p>
        <w:p w14:paraId="1C29E558" w14:textId="41C9A964" w:rsidR="00265A16" w:rsidRDefault="00265A16">
          <w:pPr>
            <w:pStyle w:val="TOC2"/>
            <w:tabs>
              <w:tab w:val="right" w:leader="dot" w:pos="8296"/>
            </w:tabs>
            <w:rPr>
              <w:rFonts w:asciiTheme="minorHAnsi" w:eastAsiaTheme="minorEastAsia" w:hAnsiTheme="minorHAnsi" w:cstheme="minorBidi"/>
              <w:noProof/>
              <w:kern w:val="2"/>
              <w14:ligatures w14:val="standardContextual"/>
            </w:rPr>
          </w:pPr>
          <w:hyperlink w:anchor="_Toc216093754" w:history="1">
            <w:r w:rsidRPr="00252300">
              <w:rPr>
                <w:rStyle w:val="Hyperlink"/>
                <w:noProof/>
              </w:rPr>
              <w:t>Economic modelling considerations</w:t>
            </w:r>
            <w:r>
              <w:rPr>
                <w:noProof/>
                <w:webHidden/>
              </w:rPr>
              <w:tab/>
            </w:r>
            <w:r>
              <w:rPr>
                <w:noProof/>
                <w:webHidden/>
              </w:rPr>
              <w:fldChar w:fldCharType="begin"/>
            </w:r>
            <w:r>
              <w:rPr>
                <w:noProof/>
                <w:webHidden/>
              </w:rPr>
              <w:instrText xml:space="preserve"> PAGEREF _Toc216093754 \h </w:instrText>
            </w:r>
            <w:r>
              <w:rPr>
                <w:noProof/>
                <w:webHidden/>
              </w:rPr>
            </w:r>
            <w:r>
              <w:rPr>
                <w:noProof/>
                <w:webHidden/>
              </w:rPr>
              <w:fldChar w:fldCharType="separate"/>
            </w:r>
            <w:r>
              <w:rPr>
                <w:noProof/>
                <w:webHidden/>
              </w:rPr>
              <w:t>19</w:t>
            </w:r>
            <w:r>
              <w:rPr>
                <w:noProof/>
                <w:webHidden/>
              </w:rPr>
              <w:fldChar w:fldCharType="end"/>
            </w:r>
          </w:hyperlink>
        </w:p>
        <w:p w14:paraId="0E502DEC" w14:textId="35CF7524" w:rsidR="00265A16" w:rsidRDefault="00265A1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6093755" w:history="1">
            <w:r w:rsidRPr="00252300">
              <w:rPr>
                <w:rStyle w:val="Hyperlink"/>
                <w:noProof/>
              </w:rPr>
              <w:t>6</w:t>
            </w:r>
            <w:r>
              <w:rPr>
                <w:rFonts w:asciiTheme="minorHAnsi" w:eastAsiaTheme="minorEastAsia" w:hAnsiTheme="minorHAnsi" w:cstheme="minorBidi"/>
                <w:noProof/>
                <w:kern w:val="2"/>
                <w14:ligatures w14:val="standardContextual"/>
              </w:rPr>
              <w:tab/>
            </w:r>
            <w:r w:rsidRPr="00252300">
              <w:rPr>
                <w:rStyle w:val="Hyperlink"/>
                <w:noProof/>
              </w:rPr>
              <w:t>Conclusion</w:t>
            </w:r>
            <w:r>
              <w:rPr>
                <w:noProof/>
                <w:webHidden/>
              </w:rPr>
              <w:tab/>
            </w:r>
            <w:r>
              <w:rPr>
                <w:noProof/>
                <w:webHidden/>
              </w:rPr>
              <w:fldChar w:fldCharType="begin"/>
            </w:r>
            <w:r>
              <w:rPr>
                <w:noProof/>
                <w:webHidden/>
              </w:rPr>
              <w:instrText xml:space="preserve"> PAGEREF _Toc216093755 \h </w:instrText>
            </w:r>
            <w:r>
              <w:rPr>
                <w:noProof/>
                <w:webHidden/>
              </w:rPr>
            </w:r>
            <w:r>
              <w:rPr>
                <w:noProof/>
                <w:webHidden/>
              </w:rPr>
              <w:fldChar w:fldCharType="separate"/>
            </w:r>
            <w:r>
              <w:rPr>
                <w:noProof/>
                <w:webHidden/>
              </w:rPr>
              <w:t>21</w:t>
            </w:r>
            <w:r>
              <w:rPr>
                <w:noProof/>
                <w:webHidden/>
              </w:rPr>
              <w:fldChar w:fldCharType="end"/>
            </w:r>
          </w:hyperlink>
        </w:p>
        <w:p w14:paraId="34FE7F1E" w14:textId="568E16FA" w:rsidR="00265A16" w:rsidRDefault="00265A16">
          <w:pPr>
            <w:pStyle w:val="TOC2"/>
            <w:tabs>
              <w:tab w:val="right" w:leader="dot" w:pos="8296"/>
            </w:tabs>
            <w:rPr>
              <w:rFonts w:asciiTheme="minorHAnsi" w:eastAsiaTheme="minorEastAsia" w:hAnsiTheme="minorHAnsi" w:cstheme="minorBidi"/>
              <w:noProof/>
              <w:kern w:val="2"/>
              <w14:ligatures w14:val="standardContextual"/>
            </w:rPr>
          </w:pPr>
          <w:hyperlink w:anchor="_Toc216093756" w:history="1">
            <w:r w:rsidRPr="00252300">
              <w:rPr>
                <w:rStyle w:val="Hyperlink"/>
                <w:noProof/>
              </w:rPr>
              <w:t>Key findings</w:t>
            </w:r>
            <w:r>
              <w:rPr>
                <w:noProof/>
                <w:webHidden/>
              </w:rPr>
              <w:tab/>
            </w:r>
            <w:r>
              <w:rPr>
                <w:noProof/>
                <w:webHidden/>
              </w:rPr>
              <w:fldChar w:fldCharType="begin"/>
            </w:r>
            <w:r>
              <w:rPr>
                <w:noProof/>
                <w:webHidden/>
              </w:rPr>
              <w:instrText xml:space="preserve"> PAGEREF _Toc216093756 \h </w:instrText>
            </w:r>
            <w:r>
              <w:rPr>
                <w:noProof/>
                <w:webHidden/>
              </w:rPr>
            </w:r>
            <w:r>
              <w:rPr>
                <w:noProof/>
                <w:webHidden/>
              </w:rPr>
              <w:fldChar w:fldCharType="separate"/>
            </w:r>
            <w:r>
              <w:rPr>
                <w:noProof/>
                <w:webHidden/>
              </w:rPr>
              <w:t>21</w:t>
            </w:r>
            <w:r>
              <w:rPr>
                <w:noProof/>
                <w:webHidden/>
              </w:rPr>
              <w:fldChar w:fldCharType="end"/>
            </w:r>
          </w:hyperlink>
        </w:p>
        <w:p w14:paraId="225F6736" w14:textId="3DE04F9D" w:rsidR="00265A16" w:rsidRDefault="00265A16">
          <w:pPr>
            <w:pStyle w:val="TOC2"/>
            <w:tabs>
              <w:tab w:val="right" w:leader="dot" w:pos="8296"/>
            </w:tabs>
            <w:rPr>
              <w:rFonts w:asciiTheme="minorHAnsi" w:eastAsiaTheme="minorEastAsia" w:hAnsiTheme="minorHAnsi" w:cstheme="minorBidi"/>
              <w:noProof/>
              <w:kern w:val="2"/>
              <w14:ligatures w14:val="standardContextual"/>
            </w:rPr>
          </w:pPr>
          <w:hyperlink w:anchor="_Toc216093757" w:history="1">
            <w:r w:rsidRPr="00252300">
              <w:rPr>
                <w:rStyle w:val="Hyperlink"/>
                <w:noProof/>
              </w:rPr>
              <w:t>Limitations</w:t>
            </w:r>
            <w:r>
              <w:rPr>
                <w:noProof/>
                <w:webHidden/>
              </w:rPr>
              <w:tab/>
            </w:r>
            <w:r>
              <w:rPr>
                <w:noProof/>
                <w:webHidden/>
              </w:rPr>
              <w:fldChar w:fldCharType="begin"/>
            </w:r>
            <w:r>
              <w:rPr>
                <w:noProof/>
                <w:webHidden/>
              </w:rPr>
              <w:instrText xml:space="preserve"> PAGEREF _Toc216093757 \h </w:instrText>
            </w:r>
            <w:r>
              <w:rPr>
                <w:noProof/>
                <w:webHidden/>
              </w:rPr>
            </w:r>
            <w:r>
              <w:rPr>
                <w:noProof/>
                <w:webHidden/>
              </w:rPr>
              <w:fldChar w:fldCharType="separate"/>
            </w:r>
            <w:r>
              <w:rPr>
                <w:noProof/>
                <w:webHidden/>
              </w:rPr>
              <w:t>21</w:t>
            </w:r>
            <w:r>
              <w:rPr>
                <w:noProof/>
                <w:webHidden/>
              </w:rPr>
              <w:fldChar w:fldCharType="end"/>
            </w:r>
          </w:hyperlink>
        </w:p>
        <w:p w14:paraId="410736C4" w14:textId="7D7B1107" w:rsidR="00265A16" w:rsidRDefault="00265A1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6093758" w:history="1">
            <w:r w:rsidRPr="00252300">
              <w:rPr>
                <w:rStyle w:val="Hyperlink"/>
                <w:noProof/>
              </w:rPr>
              <w:t>7</w:t>
            </w:r>
            <w:r>
              <w:rPr>
                <w:rFonts w:asciiTheme="minorHAnsi" w:eastAsiaTheme="minorEastAsia" w:hAnsiTheme="minorHAnsi" w:cstheme="minorBidi"/>
                <w:noProof/>
                <w:kern w:val="2"/>
                <w14:ligatures w14:val="standardContextual"/>
              </w:rPr>
              <w:tab/>
            </w:r>
            <w:r w:rsidRPr="00252300">
              <w:rPr>
                <w:rStyle w:val="Hyperlink"/>
                <w:noProof/>
              </w:rPr>
              <w:t>Project team</w:t>
            </w:r>
            <w:r>
              <w:rPr>
                <w:noProof/>
                <w:webHidden/>
              </w:rPr>
              <w:tab/>
            </w:r>
            <w:r>
              <w:rPr>
                <w:noProof/>
                <w:webHidden/>
              </w:rPr>
              <w:fldChar w:fldCharType="begin"/>
            </w:r>
            <w:r>
              <w:rPr>
                <w:noProof/>
                <w:webHidden/>
              </w:rPr>
              <w:instrText xml:space="preserve"> PAGEREF _Toc216093758 \h </w:instrText>
            </w:r>
            <w:r>
              <w:rPr>
                <w:noProof/>
                <w:webHidden/>
              </w:rPr>
            </w:r>
            <w:r>
              <w:rPr>
                <w:noProof/>
                <w:webHidden/>
              </w:rPr>
              <w:fldChar w:fldCharType="separate"/>
            </w:r>
            <w:r>
              <w:rPr>
                <w:noProof/>
                <w:webHidden/>
              </w:rPr>
              <w:t>23</w:t>
            </w:r>
            <w:r>
              <w:rPr>
                <w:noProof/>
                <w:webHidden/>
              </w:rPr>
              <w:fldChar w:fldCharType="end"/>
            </w:r>
          </w:hyperlink>
        </w:p>
        <w:p w14:paraId="4CCCE73A" w14:textId="1402B41B" w:rsidR="00265A16" w:rsidRDefault="00265A1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6093759" w:history="1">
            <w:r w:rsidRPr="00252300">
              <w:rPr>
                <w:rStyle w:val="Hyperlink"/>
                <w:noProof/>
              </w:rPr>
              <w:t>8</w:t>
            </w:r>
            <w:r>
              <w:rPr>
                <w:rFonts w:asciiTheme="minorHAnsi" w:eastAsiaTheme="minorEastAsia" w:hAnsiTheme="minorHAnsi" w:cstheme="minorBidi"/>
                <w:noProof/>
                <w:kern w:val="2"/>
                <w14:ligatures w14:val="standardContextual"/>
              </w:rPr>
              <w:tab/>
            </w:r>
            <w:r w:rsidRPr="00252300">
              <w:rPr>
                <w:rStyle w:val="Hyperlink"/>
                <w:noProof/>
              </w:rPr>
              <w:t>Acknowledgements</w:t>
            </w:r>
            <w:r>
              <w:rPr>
                <w:noProof/>
                <w:webHidden/>
              </w:rPr>
              <w:tab/>
            </w:r>
            <w:r>
              <w:rPr>
                <w:noProof/>
                <w:webHidden/>
              </w:rPr>
              <w:fldChar w:fldCharType="begin"/>
            </w:r>
            <w:r>
              <w:rPr>
                <w:noProof/>
                <w:webHidden/>
              </w:rPr>
              <w:instrText xml:space="preserve"> PAGEREF _Toc216093759 \h </w:instrText>
            </w:r>
            <w:r>
              <w:rPr>
                <w:noProof/>
                <w:webHidden/>
              </w:rPr>
            </w:r>
            <w:r>
              <w:rPr>
                <w:noProof/>
                <w:webHidden/>
              </w:rPr>
              <w:fldChar w:fldCharType="separate"/>
            </w:r>
            <w:r>
              <w:rPr>
                <w:noProof/>
                <w:webHidden/>
              </w:rPr>
              <w:t>23</w:t>
            </w:r>
            <w:r>
              <w:rPr>
                <w:noProof/>
                <w:webHidden/>
              </w:rPr>
              <w:fldChar w:fldCharType="end"/>
            </w:r>
          </w:hyperlink>
        </w:p>
        <w:p w14:paraId="6BCF76BB" w14:textId="6C3D0831" w:rsidR="00265A16" w:rsidRDefault="00265A16">
          <w:pPr>
            <w:pStyle w:val="TOC1"/>
            <w:tabs>
              <w:tab w:val="left" w:pos="480"/>
              <w:tab w:val="right" w:leader="dot" w:pos="8296"/>
            </w:tabs>
            <w:rPr>
              <w:rFonts w:asciiTheme="minorHAnsi" w:eastAsiaTheme="minorEastAsia" w:hAnsiTheme="minorHAnsi" w:cstheme="minorBidi"/>
              <w:noProof/>
              <w:kern w:val="2"/>
              <w14:ligatures w14:val="standardContextual"/>
            </w:rPr>
          </w:pPr>
          <w:hyperlink w:anchor="_Toc216093760" w:history="1">
            <w:r w:rsidRPr="00252300">
              <w:rPr>
                <w:rStyle w:val="Hyperlink"/>
                <w:noProof/>
              </w:rPr>
              <w:t>9</w:t>
            </w:r>
            <w:r>
              <w:rPr>
                <w:rFonts w:asciiTheme="minorHAnsi" w:eastAsiaTheme="minorEastAsia" w:hAnsiTheme="minorHAnsi" w:cstheme="minorBidi"/>
                <w:noProof/>
                <w:kern w:val="2"/>
                <w14:ligatures w14:val="standardContextual"/>
              </w:rPr>
              <w:tab/>
            </w:r>
            <w:r w:rsidRPr="00252300">
              <w:rPr>
                <w:rStyle w:val="Hyperlink"/>
                <w:noProof/>
              </w:rPr>
              <w:t>References</w:t>
            </w:r>
            <w:r>
              <w:rPr>
                <w:noProof/>
                <w:webHidden/>
              </w:rPr>
              <w:tab/>
            </w:r>
            <w:r>
              <w:rPr>
                <w:noProof/>
                <w:webHidden/>
              </w:rPr>
              <w:fldChar w:fldCharType="begin"/>
            </w:r>
            <w:r>
              <w:rPr>
                <w:noProof/>
                <w:webHidden/>
              </w:rPr>
              <w:instrText xml:space="preserve"> PAGEREF _Toc216093760 \h </w:instrText>
            </w:r>
            <w:r>
              <w:rPr>
                <w:noProof/>
                <w:webHidden/>
              </w:rPr>
            </w:r>
            <w:r>
              <w:rPr>
                <w:noProof/>
                <w:webHidden/>
              </w:rPr>
              <w:fldChar w:fldCharType="separate"/>
            </w:r>
            <w:r>
              <w:rPr>
                <w:noProof/>
                <w:webHidden/>
              </w:rPr>
              <w:t>24</w:t>
            </w:r>
            <w:r>
              <w:rPr>
                <w:noProof/>
                <w:webHidden/>
              </w:rPr>
              <w:fldChar w:fldCharType="end"/>
            </w:r>
          </w:hyperlink>
        </w:p>
        <w:p w14:paraId="4FD5D06F" w14:textId="110ADBE6" w:rsidR="00F93F21" w:rsidRPr="007A07ED" w:rsidRDefault="00F93F21">
          <w:r w:rsidRPr="007A07ED">
            <w:rPr>
              <w:b/>
              <w:bCs/>
              <w:noProof/>
            </w:rPr>
            <w:fldChar w:fldCharType="end"/>
          </w:r>
        </w:p>
      </w:sdtContent>
    </w:sdt>
    <w:p w14:paraId="027CA6BB" w14:textId="77777777" w:rsidR="007400D7" w:rsidRPr="007A07ED" w:rsidRDefault="007400D7" w:rsidP="00F93F21">
      <w:pPr>
        <w:pStyle w:val="NICEnormal"/>
      </w:pPr>
    </w:p>
    <w:p w14:paraId="3F490E6B" w14:textId="77777777" w:rsidR="00F93F21" w:rsidRPr="007A07ED" w:rsidRDefault="00F93F21" w:rsidP="00F93F21">
      <w:pPr>
        <w:pStyle w:val="NICEnormal"/>
      </w:pPr>
    </w:p>
    <w:p w14:paraId="3EF041FA" w14:textId="77777777" w:rsidR="00F93F21" w:rsidRPr="007A07ED" w:rsidRDefault="00F93F21" w:rsidP="006E462F">
      <w:pPr>
        <w:pStyle w:val="Paragraph"/>
        <w:sectPr w:rsidR="00F93F21" w:rsidRPr="007A07ED" w:rsidSect="008F6FB7">
          <w:headerReference w:type="default" r:id="rId12"/>
          <w:pgSz w:w="11906" w:h="16838"/>
          <w:pgMar w:top="1440" w:right="1800" w:bottom="1440" w:left="1800" w:header="708" w:footer="708" w:gutter="0"/>
          <w:cols w:space="708"/>
          <w:titlePg/>
          <w:docGrid w:linePitch="360"/>
        </w:sectPr>
      </w:pPr>
    </w:p>
    <w:p w14:paraId="21767837" w14:textId="779ED0D2" w:rsidR="006A14A8" w:rsidRPr="007A07ED" w:rsidRDefault="00E57AE6" w:rsidP="00F93F21">
      <w:pPr>
        <w:pStyle w:val="Numberedheading1"/>
      </w:pPr>
      <w:bookmarkStart w:id="23" w:name="_Toc216093735"/>
      <w:r w:rsidRPr="007A07ED">
        <w:t>Background</w:t>
      </w:r>
      <w:bookmarkEnd w:id="23"/>
    </w:p>
    <w:p w14:paraId="29E0F20E" w14:textId="6574E5F8" w:rsidR="002129AC" w:rsidRPr="007A07ED" w:rsidRDefault="00D62832" w:rsidP="00E57AE6">
      <w:pPr>
        <w:pStyle w:val="Paragraph"/>
      </w:pPr>
      <w:r w:rsidRPr="007A07ED">
        <w:t xml:space="preserve">Personalised genomic therapy is </w:t>
      </w:r>
      <w:r w:rsidR="00323962">
        <w:t>revolutionising</w:t>
      </w:r>
      <w:r w:rsidRPr="007A07ED">
        <w:t xml:space="preserve"> modern medicine by addressing unmet clinical needs and offering tailored treatments for conditions that were previously difficult or impossible to treat. By </w:t>
      </w:r>
      <w:r w:rsidR="00E50042">
        <w:t>using</w:t>
      </w:r>
      <w:r w:rsidR="00E50042" w:rsidRPr="007A07ED">
        <w:t xml:space="preserve"> </w:t>
      </w:r>
      <w:r w:rsidRPr="007A07ED">
        <w:t xml:space="preserve">individual patient characteristics and genetic profiles, these therapies have the potential to provide highly targeted </w:t>
      </w:r>
      <w:r w:rsidR="00985DD6" w:rsidRPr="007A07ED">
        <w:t>treatment</w:t>
      </w:r>
      <w:r w:rsidR="0053692C">
        <w:t>s</w:t>
      </w:r>
      <w:r w:rsidRPr="007A07ED">
        <w:t xml:space="preserve"> for diseases</w:t>
      </w:r>
      <w:r w:rsidR="000F1398">
        <w:t>,</w:t>
      </w:r>
      <w:r w:rsidRPr="007A07ED">
        <w:t xml:space="preserve"> </w:t>
      </w:r>
      <w:r w:rsidR="0053692C">
        <w:t>including</w:t>
      </w:r>
      <w:r w:rsidRPr="007A07ED">
        <w:t xml:space="preserve"> rare genetic disorders </w:t>
      </w:r>
      <w:r w:rsidR="0053692C">
        <w:t>and</w:t>
      </w:r>
      <w:r w:rsidRPr="007A07ED">
        <w:t xml:space="preserve"> cancer</w:t>
      </w:r>
      <w:r w:rsidR="0053692C">
        <w:t>s</w:t>
      </w:r>
      <w:r w:rsidRPr="007A07ED">
        <w:t xml:space="preserve">. </w:t>
      </w:r>
    </w:p>
    <w:p w14:paraId="38943127" w14:textId="40540522" w:rsidR="00195507" w:rsidRPr="007A07ED" w:rsidRDefault="00D62832" w:rsidP="00E57AE6">
      <w:pPr>
        <w:pStyle w:val="Paragraph"/>
      </w:pPr>
      <w:r w:rsidRPr="007A07ED">
        <w:t xml:space="preserve">A range of innovative ‘platform technologies’ </w:t>
      </w:r>
      <w:r w:rsidR="00DC4AAD" w:rsidRPr="007A07ED">
        <w:t>are</w:t>
      </w:r>
      <w:r w:rsidRPr="007A07ED">
        <w:t xml:space="preserve"> being developed to enable </w:t>
      </w:r>
      <w:r w:rsidR="00964078" w:rsidRPr="007A07ED">
        <w:t xml:space="preserve">the rapid development of </w:t>
      </w:r>
      <w:r w:rsidRPr="007A07ED">
        <w:t>these therapies</w:t>
      </w:r>
      <w:r w:rsidR="00964078" w:rsidRPr="007A07ED">
        <w:t xml:space="preserve"> to treat different indications, including individualised therapies for rare indications</w:t>
      </w:r>
      <w:r w:rsidRPr="007A07ED">
        <w:t xml:space="preserve">. </w:t>
      </w:r>
      <w:r w:rsidR="00964078" w:rsidRPr="007A07ED">
        <w:t>There is</w:t>
      </w:r>
      <w:r w:rsidR="00FF3FDB" w:rsidRPr="007A07ED">
        <w:t xml:space="preserve"> currently</w:t>
      </w:r>
      <w:r w:rsidR="00964078" w:rsidRPr="007A07ED">
        <w:t xml:space="preserve"> no internationally accepted</w:t>
      </w:r>
      <w:r w:rsidR="00FF3FDB" w:rsidRPr="007A07ED">
        <w:t>, common</w:t>
      </w:r>
      <w:r w:rsidR="00964078" w:rsidRPr="007A07ED">
        <w:t xml:space="preserve"> defin</w:t>
      </w:r>
      <w:r w:rsidR="00FF3FDB" w:rsidRPr="007A07ED">
        <w:t>i</w:t>
      </w:r>
      <w:r w:rsidR="00964078" w:rsidRPr="007A07ED">
        <w:t>tion of a platform technology</w:t>
      </w:r>
      <w:r w:rsidR="00195507" w:rsidRPr="007A07ED">
        <w:t>, but 2 prominent definitions are:</w:t>
      </w:r>
    </w:p>
    <w:p w14:paraId="7A4FE41B" w14:textId="3B7FFEEC" w:rsidR="00195507" w:rsidRPr="007A07ED" w:rsidRDefault="00F919CF" w:rsidP="00195507">
      <w:pPr>
        <w:pStyle w:val="Paragraph"/>
        <w:numPr>
          <w:ilvl w:val="0"/>
          <w:numId w:val="36"/>
        </w:numPr>
      </w:pPr>
      <w:r w:rsidRPr="007A07ED">
        <w:t>European Commission</w:t>
      </w:r>
      <w:r w:rsidR="007A2594">
        <w:t xml:space="preserve"> (EC)</w:t>
      </w:r>
      <w:r w:rsidRPr="007A07ED">
        <w:t xml:space="preserve">: ‘When a certain process/method is used to manufacture specific individualised treatments, i.e. adjustments to the medicine are made based on the characteristics of the patient or the causing pathogen’ </w:t>
      </w:r>
      <w:r w:rsidR="00AE6980" w:rsidRPr="007A07ED">
        <w:t>(EC, 2023)</w:t>
      </w:r>
      <w:r w:rsidR="00CF483B">
        <w:t>.</w:t>
      </w:r>
    </w:p>
    <w:p w14:paraId="0525302B" w14:textId="56493593" w:rsidR="00195507" w:rsidRPr="007A07ED" w:rsidRDefault="00553246" w:rsidP="00553246">
      <w:pPr>
        <w:pStyle w:val="Paragraph"/>
        <w:numPr>
          <w:ilvl w:val="0"/>
          <w:numId w:val="36"/>
        </w:numPr>
      </w:pPr>
      <w:r w:rsidRPr="007A07ED">
        <w:t>US Food and Drug Administration (FDA): 'A well-understood and reproducible technology … that FDA determines to be appropriate, where the sponsor demonstrates that the technology (1) is incorporated in or used by a drug or biological product and is essential to the structure or function of such drug or biological product; (2) can be adapted for, incorporated into, or used by, more than one drug or biological product sharing common structural elements; and (3) facilitates the manufacture or development of more than one drug or biological product through a standardi</w:t>
      </w:r>
      <w:r w:rsidR="005E5254">
        <w:t>s</w:t>
      </w:r>
      <w:r w:rsidRPr="007A07ED">
        <w:t>ed production or manufacturing process or processes'</w:t>
      </w:r>
      <w:r w:rsidR="00910B5F" w:rsidRPr="007A07ED">
        <w:t xml:space="preserve"> (</w:t>
      </w:r>
      <w:r w:rsidR="001505B9">
        <w:t>FDA,</w:t>
      </w:r>
      <w:r w:rsidR="00910B5F" w:rsidRPr="007A07ED">
        <w:t xml:space="preserve"> 2024)</w:t>
      </w:r>
      <w:r w:rsidR="00B8559F" w:rsidRPr="007A07ED">
        <w:t>.</w:t>
      </w:r>
    </w:p>
    <w:p w14:paraId="5EA2725B" w14:textId="51993B57" w:rsidR="00993329" w:rsidRPr="007A07ED" w:rsidRDefault="000E1425" w:rsidP="00035E07">
      <w:pPr>
        <w:pStyle w:val="Paragraph"/>
      </w:pPr>
      <w:r w:rsidRPr="007A07ED">
        <w:t xml:space="preserve">Common to both definitions is that medicines for different indications share development </w:t>
      </w:r>
      <w:r w:rsidR="00161CB2" w:rsidRPr="007A07ED">
        <w:t xml:space="preserve">mechanisms. More broadly, the concept of a ‘platform’ may be considered to reflect </w:t>
      </w:r>
      <w:r w:rsidR="00964224" w:rsidRPr="007A07ED">
        <w:t xml:space="preserve">the possibility that the properties of related therapies might be used </w:t>
      </w:r>
      <w:r w:rsidR="008412CC" w:rsidRPr="007A07ED">
        <w:t xml:space="preserve">to confidently and safely predict the properties of a future related therapy. </w:t>
      </w:r>
      <w:r w:rsidR="008F63BE" w:rsidRPr="007A07ED">
        <w:t>There has been a rise in the commercial availability of drug development platforms and</w:t>
      </w:r>
      <w:r w:rsidR="00B431E1">
        <w:t>,</w:t>
      </w:r>
      <w:r w:rsidR="008F63BE" w:rsidRPr="007A07ED">
        <w:t xml:space="preserve"> if this continues, </w:t>
      </w:r>
      <w:r w:rsidR="00F62EFB" w:rsidRPr="007A07ED">
        <w:t>they may enable the rapid development of new medicines for many rare indications.</w:t>
      </w:r>
      <w:r w:rsidR="005C0A0E" w:rsidRPr="007A07ED">
        <w:t xml:space="preserve"> </w:t>
      </w:r>
    </w:p>
    <w:p w14:paraId="03953495" w14:textId="05BEC6EE" w:rsidR="00314F27" w:rsidRPr="007A07ED" w:rsidRDefault="005C0A0E" w:rsidP="00035E07">
      <w:pPr>
        <w:pStyle w:val="Paragraph"/>
      </w:pPr>
      <w:r w:rsidRPr="007A07ED">
        <w:t xml:space="preserve">If this happens, health technology assessment </w:t>
      </w:r>
      <w:r w:rsidR="005F2E60" w:rsidRPr="007A07ED">
        <w:t xml:space="preserve">(HTA) </w:t>
      </w:r>
      <w:r w:rsidRPr="007A07ED">
        <w:t xml:space="preserve">organisations like NICE should be prepared </w:t>
      </w:r>
      <w:r w:rsidR="00CB03D0" w:rsidRPr="007A07ED">
        <w:t>to receive a large number of company submissions for such medicines</w:t>
      </w:r>
      <w:r w:rsidR="000C0519" w:rsidRPr="007A07ED">
        <w:t xml:space="preserve">. </w:t>
      </w:r>
      <w:r w:rsidR="00A75729" w:rsidRPr="007A07ED">
        <w:t xml:space="preserve">Individualised therapies share several characteristics that could present challenges to NICE’s evaluation process, including a non-traditional evidence base, rapid development pathways, small target populations, and potential for service redesign. Recognising these complexities, key system partners such as the Department of Health and Social Care (DHSC), NHS England, the Medicines and Healthcare products Regulatory Agency (MHRA), and Genomics England are engaged in discussions about the regulatory, reimbursement, and implementation challenges these technologies present. The next iteration of the </w:t>
      </w:r>
      <w:hyperlink r:id="rId13" w:history="1">
        <w:r w:rsidR="00A75729" w:rsidRPr="007A07ED">
          <w:rPr>
            <w:rStyle w:val="Hyperlink"/>
          </w:rPr>
          <w:t>England Rare Diseases Action Plan</w:t>
        </w:r>
      </w:hyperlink>
      <w:r w:rsidR="00A75729" w:rsidRPr="007A07ED">
        <w:t xml:space="preserve"> is expected to further explore these issues, reinforcing the need for a coordinated system-wide approach</w:t>
      </w:r>
      <w:r w:rsidR="00CB03D0" w:rsidRPr="007A07ED">
        <w:t>.</w:t>
      </w:r>
    </w:p>
    <w:p w14:paraId="59EDE1D3" w14:textId="6784FBD7" w:rsidR="006325BE" w:rsidRPr="007A07ED" w:rsidRDefault="00CB03D0" w:rsidP="00195507">
      <w:pPr>
        <w:pStyle w:val="Paragraph"/>
      </w:pPr>
      <w:r w:rsidRPr="007A07ED">
        <w:t xml:space="preserve">Based on the scientific literature, we have identified </w:t>
      </w:r>
      <w:r w:rsidR="0014460B" w:rsidRPr="007A07ED">
        <w:t xml:space="preserve">technologies that may meet </w:t>
      </w:r>
      <w:r w:rsidR="0014460B">
        <w:t>1</w:t>
      </w:r>
      <w:r w:rsidR="0014460B" w:rsidRPr="007A07ED">
        <w:t xml:space="preserve"> of more of the above definitions of a ‘platform’. </w:t>
      </w:r>
      <w:r w:rsidR="0014460B">
        <w:t>These include</w:t>
      </w:r>
      <w:r w:rsidR="0014460B" w:rsidRPr="007A07ED">
        <w:t xml:space="preserve"> </w:t>
      </w:r>
      <w:r w:rsidR="00D62832" w:rsidRPr="007A07ED">
        <w:t xml:space="preserve">messenger ribonucleic acid (mRNA)-based therapies, such as small interfering RNAs (siRNA) and antisense oligonucleotides (ASO), </w:t>
      </w:r>
      <w:r w:rsidR="00DE3672" w:rsidRPr="007A07ED">
        <w:t>adeno-associated virus (AAV) therapies, and</w:t>
      </w:r>
      <w:r w:rsidR="00D62832" w:rsidRPr="007A07ED">
        <w:t xml:space="preserve"> advanced </w:t>
      </w:r>
      <w:r w:rsidRPr="007A07ED">
        <w:t>gene-</w:t>
      </w:r>
      <w:r w:rsidR="00D62832" w:rsidRPr="007A07ED">
        <w:t xml:space="preserve">editing platforms </w:t>
      </w:r>
      <w:r w:rsidR="00A92FC8">
        <w:t>such as</w:t>
      </w:r>
      <w:r w:rsidR="00A92FC8" w:rsidRPr="007A07ED">
        <w:t xml:space="preserve"> </w:t>
      </w:r>
      <w:r w:rsidR="00D62832" w:rsidRPr="007A07ED">
        <w:t>the clustered regularly interspaced short-palindromic repeat (CRISPR) system</w:t>
      </w:r>
      <w:r w:rsidR="00A92FC8">
        <w:t>.</w:t>
      </w:r>
      <w:r w:rsidRPr="007A07ED">
        <w:t xml:space="preserve"> </w:t>
      </w:r>
      <w:r w:rsidR="006325BE" w:rsidRPr="007A07ED">
        <w:t xml:space="preserve">These individualised therapies are </w:t>
      </w:r>
      <w:r w:rsidR="00A92FC8">
        <w:t>being</w:t>
      </w:r>
      <w:r w:rsidR="00A92FC8" w:rsidRPr="007A07ED">
        <w:t xml:space="preserve"> </w:t>
      </w:r>
      <w:r w:rsidR="006325BE" w:rsidRPr="007A07ED">
        <w:t>rapidly</w:t>
      </w:r>
      <w:r w:rsidR="00A92FC8">
        <w:t xml:space="preserve"> developed</w:t>
      </w:r>
      <w:r w:rsidR="006325BE" w:rsidRPr="007A07ED">
        <w:t>, with a growing number of late-stage clinical trials across multiple indications.</w:t>
      </w:r>
      <w:r w:rsidR="00D62832" w:rsidRPr="007A07ED">
        <w:t xml:space="preserve"> </w:t>
      </w:r>
    </w:p>
    <w:p w14:paraId="0BF5AB43" w14:textId="5EF15BFA" w:rsidR="006E6625" w:rsidRPr="007A07ED" w:rsidRDefault="00702EB9" w:rsidP="00195507">
      <w:pPr>
        <w:pStyle w:val="Paragraph"/>
      </w:pPr>
      <w:r w:rsidRPr="007A07ED">
        <w:t>This horizon scan summarises the clinical trial pipeline of siRNAs, ASOs and AAVs</w:t>
      </w:r>
      <w:r w:rsidR="00A70135">
        <w:t>. This</w:t>
      </w:r>
      <w:r w:rsidRPr="007A07ED">
        <w:t xml:space="preserve"> </w:t>
      </w:r>
      <w:r w:rsidR="00A70135">
        <w:t>provides</w:t>
      </w:r>
      <w:r w:rsidR="00A70135" w:rsidRPr="007A07ED">
        <w:t xml:space="preserve"> </w:t>
      </w:r>
      <w:r w:rsidRPr="007A07ED">
        <w:t>early insight into the key challenges these therapies present to NICE’s evaluation framework. These include uncertainties in clinical evidence, reliance on surrogate endpoints, challenges in economic modelling and the potential need for system-level adaptation. If the widespread use of platform technologies accelerates the development of treatments for rare diseases, NICE may need to explore bespoke approaches to assessing their value and ensuring timely patient access</w:t>
      </w:r>
      <w:r w:rsidR="00D62832" w:rsidRPr="007A07ED">
        <w:t>.</w:t>
      </w:r>
    </w:p>
    <w:p w14:paraId="3EF158C9" w14:textId="77777777" w:rsidR="00EA4F33" w:rsidRPr="007A07ED" w:rsidRDefault="00EA4F33" w:rsidP="00EA4F33">
      <w:pPr>
        <w:pStyle w:val="Numberedheading1"/>
      </w:pPr>
      <w:bookmarkStart w:id="24" w:name="_Toc216093736"/>
      <w:r w:rsidRPr="007A07ED">
        <w:t>Current NHS practice and implementation</w:t>
      </w:r>
      <w:bookmarkEnd w:id="24"/>
      <w:r w:rsidRPr="007A07ED">
        <w:t xml:space="preserve"> </w:t>
      </w:r>
    </w:p>
    <w:p w14:paraId="4BE7FE32" w14:textId="1A48E0DA" w:rsidR="00EA4F33" w:rsidRPr="007A07ED" w:rsidRDefault="00BF22B9" w:rsidP="00EA4F33">
      <w:pPr>
        <w:pStyle w:val="NICEnormal"/>
      </w:pPr>
      <w:r>
        <w:t>Some</w:t>
      </w:r>
      <w:r w:rsidR="00EA4F33" w:rsidRPr="007A07ED">
        <w:t xml:space="preserve"> individualised, nucleic acid-based therapies are used in NHS practice in England for conditions such as patisiran (an siRNA) and inotersen (an ASO) for treating hereditary transthyretin-mediated amyloidosis, inclisiran (siRNA) for hypercholesterolaemia, and nusinersen (ASO) for spinal muscular atrophy. </w:t>
      </w:r>
      <w:r w:rsidR="00EB065D">
        <w:t>But</w:t>
      </w:r>
      <w:r w:rsidR="00EA4F33" w:rsidRPr="007A07ED">
        <w:t xml:space="preserve"> there is an expectation that the system will be presented with an increasing rate of development of individualised therapies in the coming years, as evidenced by their prominence in the </w:t>
      </w:r>
      <w:hyperlink r:id="rId14" w:history="1">
        <w:r w:rsidR="00EA4F33" w:rsidRPr="007A07ED">
          <w:rPr>
            <w:rStyle w:val="Hyperlink"/>
          </w:rPr>
          <w:t>England Rare Diseases Action Plan 2025</w:t>
        </w:r>
      </w:hyperlink>
      <w:r w:rsidR="00EA4F33" w:rsidRPr="007A07ED">
        <w:t xml:space="preserve">. The </w:t>
      </w:r>
      <w:r w:rsidR="00A72D9A">
        <w:t>availability</w:t>
      </w:r>
      <w:r w:rsidR="00A72D9A" w:rsidRPr="007A07ED">
        <w:t xml:space="preserve"> </w:t>
      </w:r>
      <w:r w:rsidR="00EA4F33" w:rsidRPr="007A07ED">
        <w:t xml:space="preserve">of commercialised drug development platforms may accelerate this even further. The Plan indicates a recognition of the potential value of such therapies to address unmet needs </w:t>
      </w:r>
      <w:r w:rsidR="0043567D">
        <w:t>for</w:t>
      </w:r>
      <w:r w:rsidR="0043567D" w:rsidRPr="007A07ED">
        <w:t xml:space="preserve"> </w:t>
      </w:r>
      <w:r w:rsidR="00EA4F33" w:rsidRPr="007A07ED">
        <w:t xml:space="preserve">rare disease. </w:t>
      </w:r>
      <w:r w:rsidR="00EB065D">
        <w:t>But</w:t>
      </w:r>
      <w:r w:rsidR="00EA4F33" w:rsidRPr="007A07ED">
        <w:t xml:space="preserve"> NICE</w:t>
      </w:r>
      <w:r w:rsidR="00315D87">
        <w:t>’s</w:t>
      </w:r>
      <w:r w:rsidR="00EA4F33" w:rsidRPr="007A07ED">
        <w:t xml:space="preserve"> technology evaluations of the aforementioned therapies highlight the challenges that individualised therapies can pose for HTA</w:t>
      </w:r>
      <w:r w:rsidR="00315D87">
        <w:t>.</w:t>
      </w:r>
      <w:r w:rsidR="00EA4F33" w:rsidRPr="007A07ED">
        <w:t xml:space="preserve"> </w:t>
      </w:r>
      <w:r w:rsidR="00315D87">
        <w:t>The</w:t>
      </w:r>
      <w:r w:rsidR="00EA4F33" w:rsidRPr="007A07ED">
        <w:t xml:space="preserve"> MHRA will </w:t>
      </w:r>
      <w:r w:rsidR="00315D87">
        <w:t xml:space="preserve">also </w:t>
      </w:r>
      <w:r w:rsidR="00EA4F33" w:rsidRPr="007A07ED">
        <w:t xml:space="preserve">face evidential barriers when assessing them for regulatory approval. </w:t>
      </w:r>
      <w:r w:rsidR="008721A3">
        <w:t>Their</w:t>
      </w:r>
      <w:r w:rsidR="008721A3" w:rsidRPr="007A07ED">
        <w:t xml:space="preserve"> </w:t>
      </w:r>
      <w:r w:rsidR="00EA4F33" w:rsidRPr="007A07ED">
        <w:t xml:space="preserve">innovative nature, and frequent need for new genetic testing or treatment delivery services, </w:t>
      </w:r>
      <w:r w:rsidR="008721A3">
        <w:t xml:space="preserve">also </w:t>
      </w:r>
      <w:r w:rsidR="00EA4F33" w:rsidRPr="007A07ED">
        <w:t>present the system with implementation challenges.</w:t>
      </w:r>
    </w:p>
    <w:bookmarkStart w:id="25" w:name="_Toc193719526"/>
    <w:bookmarkStart w:id="26" w:name="_Toc193719527"/>
    <w:bookmarkStart w:id="27" w:name="_Toc193719528"/>
    <w:bookmarkStart w:id="28" w:name="_Toc193719529"/>
    <w:bookmarkStart w:id="29" w:name="_Toc216093737"/>
    <w:bookmarkEnd w:id="25"/>
    <w:bookmarkEnd w:id="26"/>
    <w:bookmarkEnd w:id="27"/>
    <w:bookmarkEnd w:id="28"/>
    <w:p w14:paraId="127EA055" w14:textId="0ECDDF5F" w:rsidR="002B66B6" w:rsidRPr="007A07ED" w:rsidRDefault="00000000" w:rsidP="00F93F21">
      <w:pPr>
        <w:pStyle w:val="Numberedheading1"/>
      </w:pPr>
      <w:sdt>
        <w:sdtPr>
          <w:id w:val="1371190021"/>
          <w:placeholder>
            <w:docPart w:val="FB7A5EF0EE184221BB11A440B2A509AE"/>
          </w:placeholder>
          <w:text/>
        </w:sdtPr>
        <w:sdtContent>
          <w:r w:rsidR="00735BC3" w:rsidRPr="007A07ED">
            <w:t>Methods</w:t>
          </w:r>
          <w:r w:rsidR="00140838" w:rsidRPr="007A07ED">
            <w:t xml:space="preserve"> and objectives</w:t>
          </w:r>
        </w:sdtContent>
      </w:sdt>
      <w:bookmarkEnd w:id="29"/>
    </w:p>
    <w:p w14:paraId="3AD8B340" w14:textId="245AA9EA" w:rsidR="00CE0439" w:rsidRPr="007A07ED" w:rsidRDefault="00CE0439" w:rsidP="00F23581">
      <w:pPr>
        <w:pStyle w:val="Heading2"/>
      </w:pPr>
      <w:bookmarkStart w:id="30" w:name="_Toc216093738"/>
      <w:r w:rsidRPr="007A07ED">
        <w:t>Objectives</w:t>
      </w:r>
      <w:bookmarkEnd w:id="30"/>
    </w:p>
    <w:p w14:paraId="3E525CB2" w14:textId="2C768778" w:rsidR="007A2708" w:rsidRPr="007A07ED" w:rsidRDefault="00CE75C2" w:rsidP="00CE75C2">
      <w:pPr>
        <w:pStyle w:val="Paragraph"/>
      </w:pPr>
      <w:r w:rsidRPr="007A07ED">
        <w:t xml:space="preserve">This horizon scan report </w:t>
      </w:r>
      <w:r w:rsidR="001E5F2F">
        <w:t>explores</w:t>
      </w:r>
      <w:r w:rsidR="001E5F2F" w:rsidRPr="007A07ED">
        <w:t xml:space="preserve"> </w:t>
      </w:r>
      <w:r w:rsidR="005F2E60" w:rsidRPr="007A07ED">
        <w:t xml:space="preserve">the </w:t>
      </w:r>
      <w:r w:rsidR="00224A2B" w:rsidRPr="007A07ED">
        <w:t>individualised therapies</w:t>
      </w:r>
      <w:r w:rsidR="005F2E60" w:rsidRPr="007A07ED">
        <w:t xml:space="preserve"> </w:t>
      </w:r>
      <w:r w:rsidR="0004754C" w:rsidRPr="007A07ED">
        <w:t xml:space="preserve">outlined </w:t>
      </w:r>
      <w:r w:rsidR="005F2E60" w:rsidRPr="007A07ED">
        <w:t>above,</w:t>
      </w:r>
      <w:r w:rsidR="00087604" w:rsidRPr="007A07ED">
        <w:t xml:space="preserve"> </w:t>
      </w:r>
      <w:r w:rsidR="005F2E60" w:rsidRPr="007A07ED">
        <w:t>primarily to identify</w:t>
      </w:r>
      <w:r w:rsidR="00ED7CA5" w:rsidRPr="007A07ED">
        <w:t xml:space="preserve"> potential implications for HTA. </w:t>
      </w:r>
      <w:r w:rsidR="007A2708" w:rsidRPr="007A07ED">
        <w:t>The review will:</w:t>
      </w:r>
    </w:p>
    <w:p w14:paraId="6C757914" w14:textId="1A359C09" w:rsidR="002C5415" w:rsidRPr="007A07ED" w:rsidRDefault="002C5415" w:rsidP="00773933">
      <w:pPr>
        <w:pStyle w:val="Numberedlist"/>
      </w:pPr>
      <w:r w:rsidRPr="007A07ED">
        <w:t>E</w:t>
      </w:r>
      <w:r w:rsidR="007A2708" w:rsidRPr="007A07ED">
        <w:t>xamine</w:t>
      </w:r>
      <w:r w:rsidR="00CE75C2" w:rsidRPr="007A07ED">
        <w:t xml:space="preserve"> current NHS practice</w:t>
      </w:r>
      <w:r w:rsidR="005E7F43" w:rsidRPr="007A07ED">
        <w:t>.</w:t>
      </w:r>
      <w:r w:rsidR="00CE75C2" w:rsidRPr="007A07ED">
        <w:t xml:space="preserve"> </w:t>
      </w:r>
    </w:p>
    <w:p w14:paraId="6581F49E" w14:textId="162CA6BD" w:rsidR="00CE75C2" w:rsidRPr="007A07ED" w:rsidRDefault="002C5415" w:rsidP="0076136B">
      <w:pPr>
        <w:pStyle w:val="Numberedlist"/>
      </w:pPr>
      <w:r w:rsidRPr="007A07ED">
        <w:t xml:space="preserve">Explore </w:t>
      </w:r>
      <w:r w:rsidR="00CE75C2" w:rsidRPr="007A07ED">
        <w:t>the pipeline of new therapies</w:t>
      </w:r>
      <w:r w:rsidR="003A46B4" w:rsidRPr="007A07ED">
        <w:t xml:space="preserve"> and</w:t>
      </w:r>
      <w:r w:rsidR="00CE75C2" w:rsidRPr="007A07ED">
        <w:t xml:space="preserve"> the</w:t>
      </w:r>
      <w:r w:rsidR="003A46B4" w:rsidRPr="007A07ED">
        <w:t>ir</w:t>
      </w:r>
      <w:r w:rsidR="00CE75C2" w:rsidRPr="007A07ED">
        <w:t xml:space="preserve"> expected evidence base</w:t>
      </w:r>
      <w:r w:rsidR="00ED449E" w:rsidRPr="007A07ED">
        <w:t xml:space="preserve"> and implementation considerations</w:t>
      </w:r>
      <w:r w:rsidR="005E7F43" w:rsidRPr="007A07ED">
        <w:t>.</w:t>
      </w:r>
      <w:r w:rsidR="00CE75C2" w:rsidRPr="007A07ED">
        <w:t xml:space="preserve"> </w:t>
      </w:r>
    </w:p>
    <w:p w14:paraId="1558B27D" w14:textId="326A80B7" w:rsidR="00F14A4E" w:rsidRPr="007A07ED" w:rsidRDefault="00841C0A" w:rsidP="00F23581">
      <w:pPr>
        <w:pStyle w:val="Heading2"/>
      </w:pPr>
      <w:bookmarkStart w:id="31" w:name="_Toc216093739"/>
      <w:r w:rsidRPr="007A07ED">
        <w:t>Data source and collection</w:t>
      </w:r>
      <w:bookmarkEnd w:id="31"/>
    </w:p>
    <w:p w14:paraId="6DA4B73C" w14:textId="2CA41442" w:rsidR="009416FF" w:rsidRPr="007A07ED" w:rsidRDefault="002B161E" w:rsidP="009416FF">
      <w:pPr>
        <w:pStyle w:val="Paragraph"/>
      </w:pPr>
      <w:r w:rsidRPr="007A07ED">
        <w:t xml:space="preserve">The horizon scan was </w:t>
      </w:r>
      <w:r w:rsidR="00A53007">
        <w:t>done</w:t>
      </w:r>
      <w:r w:rsidRPr="007A07ED">
        <w:t xml:space="preserve"> using data provided by the Specialist Pharmacy Service (SPS), </w:t>
      </w:r>
      <w:r w:rsidR="00C07D87">
        <w:t>which</w:t>
      </w:r>
      <w:r w:rsidR="00C07D87" w:rsidRPr="007A07ED">
        <w:t xml:space="preserve"> </w:t>
      </w:r>
      <w:r w:rsidRPr="007A07ED">
        <w:t>routinely monitor</w:t>
      </w:r>
      <w:r w:rsidR="00C07D87">
        <w:t>s</w:t>
      </w:r>
      <w:r w:rsidRPr="007A07ED">
        <w:t xml:space="preserve"> medicines in development through established databases and horizon scanning networks. Information was drawn from:</w:t>
      </w:r>
    </w:p>
    <w:p w14:paraId="0EE9AF7E" w14:textId="158DB9F5" w:rsidR="002B161E" w:rsidRPr="007A07ED" w:rsidRDefault="00C07D87" w:rsidP="00C8561A">
      <w:pPr>
        <w:pStyle w:val="Bullets"/>
      </w:pPr>
      <w:r>
        <w:t xml:space="preserve">the </w:t>
      </w:r>
      <w:r w:rsidR="002B161E" w:rsidRPr="007A07ED">
        <w:t>SPS horizon scanning database</w:t>
      </w:r>
      <w:r>
        <w:t>, which</w:t>
      </w:r>
      <w:r w:rsidR="002B161E" w:rsidRPr="007A07ED">
        <w:t xml:space="preserve"> tracks medicines in late-stage clinical development, generally from </w:t>
      </w:r>
      <w:r w:rsidR="00C746FC">
        <w:t>p</w:t>
      </w:r>
      <w:r w:rsidR="002B161E" w:rsidRPr="007A07ED">
        <w:t xml:space="preserve">hase </w:t>
      </w:r>
      <w:r>
        <w:t>3</w:t>
      </w:r>
      <w:r w:rsidRPr="007A07ED">
        <w:t xml:space="preserve"> </w:t>
      </w:r>
      <w:r w:rsidR="002B161E" w:rsidRPr="007A07ED">
        <w:t>onwards</w:t>
      </w:r>
    </w:p>
    <w:p w14:paraId="74DBF414" w14:textId="10A5D723" w:rsidR="002B161E" w:rsidRPr="007A07ED" w:rsidRDefault="002B161E" w:rsidP="00C8561A">
      <w:pPr>
        <w:pStyle w:val="Bullets"/>
      </w:pPr>
      <w:r w:rsidRPr="007A07ED">
        <w:t>UKPharmascan</w:t>
      </w:r>
      <w:r w:rsidR="00C07D87">
        <w:t>,</w:t>
      </w:r>
      <w:r w:rsidRPr="007A07ED">
        <w:t xml:space="preserve"> which includes products in development from either </w:t>
      </w:r>
      <w:r w:rsidR="00205687">
        <w:t>3</w:t>
      </w:r>
      <w:r w:rsidR="00205687" w:rsidRPr="007A07ED">
        <w:t xml:space="preserve"> </w:t>
      </w:r>
      <w:r w:rsidRPr="007A07ED">
        <w:t xml:space="preserve">years before anticipated UK availability or the start of </w:t>
      </w:r>
      <w:r w:rsidR="00C746FC">
        <w:t>p</w:t>
      </w:r>
      <w:r w:rsidRPr="007A07ED">
        <w:t xml:space="preserve">hase </w:t>
      </w:r>
      <w:r w:rsidR="00C746FC">
        <w:t>3</w:t>
      </w:r>
      <w:r w:rsidR="00C746FC" w:rsidRPr="007A07ED">
        <w:t xml:space="preserve"> </w:t>
      </w:r>
      <w:r w:rsidRPr="007A07ED">
        <w:t>clinical trials, whichever is earlier</w:t>
      </w:r>
    </w:p>
    <w:p w14:paraId="76562762" w14:textId="14A3BA80" w:rsidR="002B161E" w:rsidRPr="007A07ED" w:rsidRDefault="00C746FC" w:rsidP="00C8561A">
      <w:pPr>
        <w:pStyle w:val="Bullets"/>
      </w:pPr>
      <w:r>
        <w:t>s</w:t>
      </w:r>
      <w:r w:rsidR="002B161E" w:rsidRPr="007A07ED">
        <w:t>upplementary checks of regulatory pipelines and trial registries (</w:t>
      </w:r>
      <w:r w:rsidR="000C7D3E">
        <w:t>for example,</w:t>
      </w:r>
      <w:r w:rsidR="002B161E" w:rsidRPr="007A07ED">
        <w:t xml:space="preserve"> ClinicalTrials.gov</w:t>
      </w:r>
      <w:r w:rsidR="000C7D3E">
        <w:t xml:space="preserve"> and</w:t>
      </w:r>
      <w:r w:rsidR="002B161E" w:rsidRPr="007A07ED">
        <w:t xml:space="preserve"> </w:t>
      </w:r>
      <w:r>
        <w:t xml:space="preserve">the </w:t>
      </w:r>
      <w:r w:rsidR="002B161E" w:rsidRPr="007A07ED">
        <w:t>EU Clinical Trials Register) to validate trial identifiers and capture additional details (participant numbers, trial design</w:t>
      </w:r>
      <w:r w:rsidR="00D21C35">
        <w:t xml:space="preserve"> and</w:t>
      </w:r>
      <w:r w:rsidR="002B161E" w:rsidRPr="007A07ED">
        <w:t xml:space="preserve"> outcome measures).</w:t>
      </w:r>
      <w:r w:rsidR="00B8048C">
        <w:br/>
      </w:r>
    </w:p>
    <w:p w14:paraId="441C4ADB" w14:textId="0FD1E40B" w:rsidR="002B161E" w:rsidRPr="007A07ED" w:rsidRDefault="00065BA9" w:rsidP="002B161E">
      <w:pPr>
        <w:pStyle w:val="Paragraph"/>
      </w:pPr>
      <w:r w:rsidRPr="007A07ED">
        <w:t>This approach ensured consistency with NICE</w:t>
      </w:r>
      <w:r w:rsidR="00D21C35">
        <w:t>’s methods</w:t>
      </w:r>
      <w:r w:rsidRPr="007A07ED">
        <w:t xml:space="preserve"> for forward-looking technology surveillance, while also enabling alignment with NHS and system partners’ horizon scanning activities.</w:t>
      </w:r>
    </w:p>
    <w:p w14:paraId="6D35B986" w14:textId="0226296E" w:rsidR="00841C0A" w:rsidRPr="007A07ED" w:rsidRDefault="000A1644" w:rsidP="009416FF">
      <w:pPr>
        <w:pStyle w:val="Heading2"/>
      </w:pPr>
      <w:bookmarkStart w:id="32" w:name="_Toc216093740"/>
      <w:r w:rsidRPr="007A07ED">
        <w:t>Scope an</w:t>
      </w:r>
      <w:r w:rsidR="00D872A1" w:rsidRPr="007A07ED">
        <w:t>d</w:t>
      </w:r>
      <w:r w:rsidRPr="007A07ED">
        <w:t xml:space="preserve"> inclusion</w:t>
      </w:r>
      <w:r w:rsidR="002A741A">
        <w:t xml:space="preserve"> and </w:t>
      </w:r>
      <w:r w:rsidRPr="007A07ED">
        <w:t>exclusion criteria</w:t>
      </w:r>
      <w:bookmarkEnd w:id="32"/>
    </w:p>
    <w:p w14:paraId="70467213" w14:textId="5802DF68" w:rsidR="009416FF" w:rsidRPr="007A07ED" w:rsidRDefault="00940C3C" w:rsidP="009416FF">
      <w:pPr>
        <w:pStyle w:val="Paragraph"/>
      </w:pPr>
      <w:r w:rsidRPr="007A07ED">
        <w:t xml:space="preserve">The </w:t>
      </w:r>
      <w:r w:rsidR="002644A0">
        <w:t xml:space="preserve">horizon </w:t>
      </w:r>
      <w:r w:rsidRPr="007A07ED">
        <w:t>scan focused on individualised therapies and nucleic acid-based platform technologies including antisense oligonucleotides (ASOs), small interfering RNAs (siRNAs), adeno-associated virus (AAV) vectors and CRISPR-derived medicines.</w:t>
      </w:r>
    </w:p>
    <w:p w14:paraId="7E482C9D" w14:textId="391AFF09" w:rsidR="00421A27" w:rsidRPr="007A07ED" w:rsidRDefault="00421A27" w:rsidP="00421A27">
      <w:pPr>
        <w:pStyle w:val="Heading3"/>
      </w:pPr>
      <w:bookmarkStart w:id="33" w:name="_Toc216093741"/>
      <w:r w:rsidRPr="007A07ED">
        <w:t>Inclusion criteria</w:t>
      </w:r>
      <w:bookmarkEnd w:id="33"/>
    </w:p>
    <w:p w14:paraId="54A6DD0C" w14:textId="77777777" w:rsidR="00421A27" w:rsidRPr="007A07ED" w:rsidRDefault="00421A27" w:rsidP="00C8561A">
      <w:pPr>
        <w:pStyle w:val="Bullets"/>
      </w:pPr>
      <w:r w:rsidRPr="007A07ED">
        <w:t>Interventional clinical trials of ASOs, siRNAs, AAVs or CRISPR therapies.</w:t>
      </w:r>
    </w:p>
    <w:p w14:paraId="276DE6BE" w14:textId="469AB226" w:rsidR="00421A27" w:rsidRPr="007A07ED" w:rsidRDefault="00421A27" w:rsidP="00C8561A">
      <w:pPr>
        <w:pStyle w:val="Bullets"/>
      </w:pPr>
      <w:r w:rsidRPr="007A07ED">
        <w:t xml:space="preserve">Trials from Phase </w:t>
      </w:r>
      <w:r w:rsidR="00434104">
        <w:t>2</w:t>
      </w:r>
      <w:r w:rsidR="00434104" w:rsidRPr="007A07ED">
        <w:t xml:space="preserve"> </w:t>
      </w:r>
      <w:r w:rsidRPr="007A07ED">
        <w:t>onwards, or earlier if captured within UKPharmascan</w:t>
      </w:r>
      <w:r w:rsidR="00434104">
        <w:t xml:space="preserve"> or </w:t>
      </w:r>
      <w:r w:rsidRPr="007A07ED">
        <w:t>SPS pipelines.</w:t>
      </w:r>
    </w:p>
    <w:p w14:paraId="4D26B373" w14:textId="37B13F03" w:rsidR="00421A27" w:rsidRPr="007A07ED" w:rsidRDefault="00421A27" w:rsidP="00C8561A">
      <w:pPr>
        <w:pStyle w:val="Bullets"/>
      </w:pPr>
      <w:r w:rsidRPr="007A07ED">
        <w:t>Indications across oncology, rare diseases, neurological, cardiovascular, metabolic</w:t>
      </w:r>
      <w:r w:rsidR="00434104">
        <w:t xml:space="preserve"> </w:t>
      </w:r>
      <w:r w:rsidRPr="007A07ED">
        <w:t>and infectious conditions.</w:t>
      </w:r>
    </w:p>
    <w:p w14:paraId="315608B8" w14:textId="25CB27EA" w:rsidR="00421A27" w:rsidRPr="007A07ED" w:rsidRDefault="00421A27" w:rsidP="00421A27">
      <w:pPr>
        <w:pStyle w:val="Bullets"/>
      </w:pPr>
      <w:r w:rsidRPr="007A07ED">
        <w:t>Trials with available information on participant number, design, primary endpoints and sponsor.</w:t>
      </w:r>
    </w:p>
    <w:p w14:paraId="0D4FF706" w14:textId="21F15684" w:rsidR="00421A27" w:rsidRPr="007A07ED" w:rsidRDefault="00421A27" w:rsidP="00421A27">
      <w:pPr>
        <w:pStyle w:val="Heading3"/>
      </w:pPr>
      <w:bookmarkStart w:id="34" w:name="_Toc216093742"/>
      <w:r w:rsidRPr="007A07ED">
        <w:t>Exclusion criteria</w:t>
      </w:r>
      <w:bookmarkEnd w:id="34"/>
    </w:p>
    <w:p w14:paraId="64F97D95" w14:textId="77777777" w:rsidR="00CA0693" w:rsidRPr="007A07ED" w:rsidRDefault="00CA0693" w:rsidP="00C8561A">
      <w:pPr>
        <w:pStyle w:val="Bullets"/>
      </w:pPr>
      <w:r w:rsidRPr="007A07ED">
        <w:t>Non-interventional or observational studies.</w:t>
      </w:r>
    </w:p>
    <w:p w14:paraId="7181F853" w14:textId="77777777" w:rsidR="00CA0693" w:rsidRPr="007A07ED" w:rsidRDefault="00CA0693" w:rsidP="00C8561A">
      <w:pPr>
        <w:pStyle w:val="Bullets"/>
      </w:pPr>
      <w:r w:rsidRPr="007A07ED">
        <w:t>Pre-clinical or animal studies.</w:t>
      </w:r>
    </w:p>
    <w:p w14:paraId="52FF751E" w14:textId="7DC6FCF8" w:rsidR="00CA0693" w:rsidRPr="007A07ED" w:rsidRDefault="00CA0693" w:rsidP="00C8561A">
      <w:pPr>
        <w:pStyle w:val="Bullets"/>
      </w:pPr>
      <w:r w:rsidRPr="007A07ED">
        <w:t>Trials without sufficient public information (</w:t>
      </w:r>
      <w:r w:rsidR="000C7D3E">
        <w:t>for example,</w:t>
      </w:r>
      <w:r w:rsidRPr="007A07ED">
        <w:t xml:space="preserve"> missing trial identifier).</w:t>
      </w:r>
    </w:p>
    <w:p w14:paraId="4AEF6C71" w14:textId="55E3A270" w:rsidR="00CA0693" w:rsidRPr="007A07ED" w:rsidRDefault="00CA0693" w:rsidP="00C8561A">
      <w:pPr>
        <w:pStyle w:val="Bullets"/>
      </w:pPr>
      <w:r w:rsidRPr="007A07ED">
        <w:t xml:space="preserve">Very early-phase trials not included within </w:t>
      </w:r>
      <w:r w:rsidR="00982E11">
        <w:t xml:space="preserve">the </w:t>
      </w:r>
      <w:r w:rsidRPr="007A07ED">
        <w:t>SPS</w:t>
      </w:r>
      <w:r w:rsidR="00982E11">
        <w:t xml:space="preserve"> or </w:t>
      </w:r>
      <w:r w:rsidRPr="007A07ED">
        <w:t>UKPharmascan scope.</w:t>
      </w:r>
    </w:p>
    <w:p w14:paraId="76EBA9F2" w14:textId="18DB95B5" w:rsidR="00373E7F" w:rsidRPr="007A07ED" w:rsidRDefault="00140838" w:rsidP="00F93F21">
      <w:pPr>
        <w:pStyle w:val="Numberedheading1"/>
      </w:pPr>
      <w:bookmarkStart w:id="35" w:name="_Toc216093743"/>
      <w:r w:rsidRPr="007A07ED">
        <w:t>Current treatment</w:t>
      </w:r>
      <w:r w:rsidR="00445324">
        <w:t>s</w:t>
      </w:r>
      <w:bookmarkEnd w:id="35"/>
    </w:p>
    <w:p w14:paraId="1AF64BE3" w14:textId="708D4A3A" w:rsidR="005A31A0" w:rsidRPr="007A07ED" w:rsidRDefault="005964B4" w:rsidP="005964B4">
      <w:pPr>
        <w:pStyle w:val="Heading2"/>
      </w:pPr>
      <w:bookmarkStart w:id="36" w:name="_Toc216093744"/>
      <w:r w:rsidRPr="007A07ED">
        <w:t xml:space="preserve">Overview of emerging </w:t>
      </w:r>
      <w:r w:rsidR="00224A2B" w:rsidRPr="007A07ED">
        <w:t>individualised therapies</w:t>
      </w:r>
      <w:bookmarkEnd w:id="36"/>
    </w:p>
    <w:p w14:paraId="66FC2649" w14:textId="64F2117C" w:rsidR="00C62353" w:rsidRPr="007A07ED" w:rsidRDefault="007E4387" w:rsidP="000616B8">
      <w:pPr>
        <w:pStyle w:val="Paragraph"/>
      </w:pPr>
      <w:r>
        <w:t>Clinical</w:t>
      </w:r>
      <w:r w:rsidR="004C24E6" w:rsidRPr="007A07ED">
        <w:t xml:space="preserve"> trial</w:t>
      </w:r>
      <w:r>
        <w:t>s</w:t>
      </w:r>
      <w:r w:rsidR="004C24E6" w:rsidRPr="007A07ED">
        <w:t xml:space="preserve"> for </w:t>
      </w:r>
      <w:r w:rsidR="00913879" w:rsidRPr="007A07ED">
        <w:t>individualised therapies</w:t>
      </w:r>
      <w:r w:rsidR="004C24E6" w:rsidRPr="007A07ED">
        <w:t xml:space="preserve"> </w:t>
      </w:r>
      <w:r>
        <w:t xml:space="preserve">are increasing </w:t>
      </w:r>
      <w:r w:rsidR="004C24E6" w:rsidRPr="007A07ED">
        <w:t>rapidly, with several promising therapies being investigated across a wide range of disease areas. Trials span various stages of development, reflecting the growing potential of these technologies to address unmet medical needs. As the pipeline continues to mature, it is evident that many new therapies, as well as license extension applications, are likely to feature prominently in NICE’s medicines evaluation work programme in the coming years.</w:t>
      </w:r>
      <w:r w:rsidR="00917987" w:rsidRPr="007A07ED">
        <w:t xml:space="preserve"> </w:t>
      </w:r>
      <w:r w:rsidR="00876011" w:rsidRPr="007A07ED">
        <w:t xml:space="preserve">This may accelerate if the increasing number of commercially available drug development platforms facilitate </w:t>
      </w:r>
      <w:r w:rsidR="004C324A" w:rsidRPr="007A07ED">
        <w:t>rapid development of therapies for new indications.</w:t>
      </w:r>
    </w:p>
    <w:p w14:paraId="576A2656" w14:textId="4CA04A8D" w:rsidR="00917987" w:rsidRPr="007A07ED" w:rsidRDefault="00917987" w:rsidP="000616B8">
      <w:pPr>
        <w:pStyle w:val="Paragraph"/>
      </w:pPr>
      <w:r w:rsidRPr="007A07ED">
        <w:t xml:space="preserve">To better understand </w:t>
      </w:r>
      <w:r w:rsidR="00365F4C">
        <w:t>this</w:t>
      </w:r>
      <w:r w:rsidR="00365F4C" w:rsidRPr="007A07ED">
        <w:t xml:space="preserve"> </w:t>
      </w:r>
      <w:r w:rsidRPr="007A07ED">
        <w:t xml:space="preserve">rapidly evolving </w:t>
      </w:r>
      <w:r w:rsidR="000947E6">
        <w:t>technology</w:t>
      </w:r>
      <w:r w:rsidRPr="007A07ED">
        <w:t xml:space="preserve">, it is essential to explore the specific </w:t>
      </w:r>
      <w:r w:rsidR="00913879" w:rsidRPr="007A07ED">
        <w:t>individualised therapies</w:t>
      </w:r>
      <w:r w:rsidRPr="007A07ED">
        <w:t xml:space="preserve"> driving these advancements. The following section provides a brief overview of the key</w:t>
      </w:r>
      <w:r w:rsidR="00913879" w:rsidRPr="007A07ED">
        <w:t xml:space="preserve"> types of</w:t>
      </w:r>
      <w:r w:rsidRPr="007A07ED">
        <w:t xml:space="preserve"> </w:t>
      </w:r>
      <w:r w:rsidR="00913879" w:rsidRPr="007A07ED">
        <w:t>individualised therapies</w:t>
      </w:r>
      <w:r w:rsidRPr="007A07ED">
        <w:t xml:space="preserve"> included in this analysis, highlighting their mechanisms of action and therapeutic applications across various disease areas.</w:t>
      </w:r>
    </w:p>
    <w:p w14:paraId="04A57279" w14:textId="3FDDA803" w:rsidR="00FB4C70" w:rsidRPr="007A07ED" w:rsidRDefault="00046F04" w:rsidP="00895882">
      <w:pPr>
        <w:pStyle w:val="Heading3"/>
      </w:pPr>
      <w:bookmarkStart w:id="37" w:name="_Toc216093745"/>
      <w:r w:rsidRPr="007A07ED">
        <w:t>Messenger Ribonucleic Acid (mRNA)-Based Therapies</w:t>
      </w:r>
      <w:bookmarkEnd w:id="37"/>
    </w:p>
    <w:p w14:paraId="0B69541C" w14:textId="22BEB763" w:rsidR="00046F04" w:rsidRPr="007A07ED" w:rsidRDefault="00046F04" w:rsidP="00046F04">
      <w:pPr>
        <w:pStyle w:val="Paragraph"/>
      </w:pPr>
      <w:r w:rsidRPr="007A07ED">
        <w:t>mRNA therapies work by delivering synthetic mRNA into cells, instructing them to produce specific proteins that can trigger an immune response, replace a deficient protein or target disease processes.</w:t>
      </w:r>
      <w:r w:rsidR="00727EEC" w:rsidRPr="007A07ED">
        <w:t xml:space="preserve"> Initially successful in vaccine development (</w:t>
      </w:r>
      <w:r w:rsidR="0045652B">
        <w:t>for example</w:t>
      </w:r>
      <w:r w:rsidR="00727EEC" w:rsidRPr="007A07ED">
        <w:t>, COVID-19 vaccines), mRNA therapies are now being explored for a variety of conditions including cancer, infectious diseases and rare genetic disorders.</w:t>
      </w:r>
    </w:p>
    <w:p w14:paraId="2644BA81" w14:textId="057D5505" w:rsidR="00727EEC" w:rsidRPr="007A07ED" w:rsidRDefault="005F6651" w:rsidP="00540179">
      <w:pPr>
        <w:pStyle w:val="Heading4"/>
      </w:pPr>
      <w:r w:rsidRPr="007A07ED">
        <w:t>Small Interfering RNAs (siRNA)</w:t>
      </w:r>
    </w:p>
    <w:p w14:paraId="327758ED" w14:textId="7954990E" w:rsidR="005F6651" w:rsidRPr="007A07ED" w:rsidRDefault="005F6651" w:rsidP="005F6651">
      <w:pPr>
        <w:pStyle w:val="Paragraph"/>
      </w:pPr>
      <w:r w:rsidRPr="007A07ED">
        <w:t xml:space="preserve">siRNAs are short double-stranded RNA molecules that silence specific genes by degrading mRNA before it can be translated into protein. This process is known as RNA interference (RNAi). siRNA therapies are used to </w:t>
      </w:r>
      <w:r w:rsidR="007828AC">
        <w:t>treat</w:t>
      </w:r>
      <w:r w:rsidR="007828AC" w:rsidRPr="007A07ED">
        <w:t xml:space="preserve"> </w:t>
      </w:r>
      <w:r w:rsidRPr="007A07ED">
        <w:t>diseases caused by overexpression of harmful proteins such as hypercholesterolemia (</w:t>
      </w:r>
      <w:r w:rsidR="0045652B">
        <w:t>for example</w:t>
      </w:r>
      <w:r w:rsidRPr="007A07ED">
        <w:t>, inclisiran) and hereditary transthyretin amyloidosis.</w:t>
      </w:r>
    </w:p>
    <w:p w14:paraId="49820394" w14:textId="45F47BF3" w:rsidR="00CB1E15" w:rsidRPr="007A07ED" w:rsidRDefault="00CB1E15" w:rsidP="00540179">
      <w:pPr>
        <w:pStyle w:val="Heading4"/>
      </w:pPr>
      <w:r w:rsidRPr="007A07ED">
        <w:t>Antisense Oligonucleotides (ASOs)</w:t>
      </w:r>
    </w:p>
    <w:p w14:paraId="5A26E5D2" w14:textId="17124FE2" w:rsidR="00CB1E15" w:rsidRPr="007A07ED" w:rsidRDefault="00716DFC" w:rsidP="00CB1E15">
      <w:pPr>
        <w:pStyle w:val="Paragraph"/>
      </w:pPr>
      <w:r w:rsidRPr="007A07ED">
        <w:t>ASOs are single-stranded DNA or RNA molecules designed to bind to specific mRNA targets, modulating gene expression through inhibition, degradation</w:t>
      </w:r>
      <w:r w:rsidR="007828AC">
        <w:t xml:space="preserve"> </w:t>
      </w:r>
      <w:r w:rsidRPr="007A07ED">
        <w:t>or splicing correction. These therapies are being developed for neurological disorders (</w:t>
      </w:r>
      <w:r w:rsidR="0045652B">
        <w:t>for example</w:t>
      </w:r>
      <w:r w:rsidRPr="007A07ED">
        <w:t xml:space="preserve">, </w:t>
      </w:r>
      <w:r w:rsidR="00CE7016" w:rsidRPr="007A07ED">
        <w:t xml:space="preserve">nusinersen </w:t>
      </w:r>
      <w:r w:rsidR="00CE7016">
        <w:t xml:space="preserve">for </w:t>
      </w:r>
      <w:r w:rsidRPr="007A07ED">
        <w:t xml:space="preserve">spinal muscular atrophy), rare genetic diseases and </w:t>
      </w:r>
      <w:r w:rsidR="00CE7016">
        <w:t>cancers</w:t>
      </w:r>
      <w:r w:rsidRPr="007A07ED">
        <w:t>.</w:t>
      </w:r>
    </w:p>
    <w:p w14:paraId="1A62AB1D" w14:textId="6BC94766" w:rsidR="002054EE" w:rsidRPr="007A07ED" w:rsidRDefault="00ED1B8E" w:rsidP="002054EE">
      <w:pPr>
        <w:pStyle w:val="Heading4"/>
      </w:pPr>
      <w:r w:rsidRPr="007A07ED">
        <w:t>Adeno-associated virus vectors (AAVs)</w:t>
      </w:r>
    </w:p>
    <w:p w14:paraId="279FBBA4" w14:textId="12319711" w:rsidR="00ED1B8E" w:rsidRPr="007A07ED" w:rsidRDefault="001B745E" w:rsidP="00ED1B8E">
      <w:pPr>
        <w:pStyle w:val="Paragraph"/>
      </w:pPr>
      <w:r w:rsidRPr="007A07ED">
        <w:t>AAVs are small, non-enveloped viruses from the Parvoviridae family, containing single-stranded DNA. They are non-pathogenic in humans and can infect both dividing and non-dividing cells. In gene therapy, AAVs are engineered as vectors to deliver therapeutic genes to target cells. Their ability to persist in an extrachromosomal state without integrating into the host genome reduces the risk of insertional mutagenesis. AAV-based therapies have been developed for conditions including spinal muscular atrophy (</w:t>
      </w:r>
      <w:r w:rsidR="0045652B">
        <w:t>for example</w:t>
      </w:r>
      <w:r w:rsidRPr="007A07ED">
        <w:t>, onasemnogene abeparvovec) and retinal dystrophies (</w:t>
      </w:r>
      <w:r w:rsidR="0045652B">
        <w:t>for example</w:t>
      </w:r>
      <w:r w:rsidRPr="007A07ED">
        <w:t>, voretigene neparvovec).</w:t>
      </w:r>
    </w:p>
    <w:p w14:paraId="47DFFFDD" w14:textId="2ECD3747" w:rsidR="00716DFC" w:rsidRPr="007A07ED" w:rsidRDefault="00716DFC" w:rsidP="00540179">
      <w:pPr>
        <w:pStyle w:val="Heading4"/>
      </w:pPr>
      <w:r w:rsidRPr="007A07ED">
        <w:t>Gene</w:t>
      </w:r>
      <w:r w:rsidR="009A639D">
        <w:t>-</w:t>
      </w:r>
      <w:r w:rsidR="0045652B">
        <w:t>e</w:t>
      </w:r>
      <w:r w:rsidRPr="007A07ED">
        <w:t xml:space="preserve">diting </w:t>
      </w:r>
      <w:r w:rsidR="0045652B">
        <w:t>p</w:t>
      </w:r>
      <w:r w:rsidRPr="007A07ED">
        <w:t>latforms</w:t>
      </w:r>
    </w:p>
    <w:p w14:paraId="1F3FB132" w14:textId="01B31521" w:rsidR="00A41D73" w:rsidRPr="007A07ED" w:rsidRDefault="00A41D73" w:rsidP="00A41D73">
      <w:pPr>
        <w:pStyle w:val="Paragraph"/>
      </w:pPr>
      <w:r w:rsidRPr="007A07ED">
        <w:t>Gene</w:t>
      </w:r>
      <w:r w:rsidR="009A639D">
        <w:t>-</w:t>
      </w:r>
      <w:r w:rsidRPr="007A07ED">
        <w:t xml:space="preserve">editing technologies </w:t>
      </w:r>
      <w:r w:rsidR="0045652B">
        <w:t>such as</w:t>
      </w:r>
      <w:r w:rsidR="0045652B" w:rsidRPr="007A07ED">
        <w:t xml:space="preserve"> </w:t>
      </w:r>
      <w:r w:rsidRPr="007A07ED">
        <w:t>CRISPR enable precise modifications to DNA sequences within cells either by adding, deleting or correcting genetic material. Gene editing is advancing treatments for conditions such as sickle cell disease, beta-thalassemia and inherited retinal disorders. It also holds potential for curing single-gene diseases entirely.</w:t>
      </w:r>
      <w:r w:rsidR="00D44889" w:rsidRPr="007A07ED">
        <w:t xml:space="preserve"> </w:t>
      </w:r>
    </w:p>
    <w:p w14:paraId="1E380FCE" w14:textId="5F8420A0" w:rsidR="004079BD" w:rsidRPr="007A07ED" w:rsidRDefault="004079BD" w:rsidP="003A5928">
      <w:pPr>
        <w:pStyle w:val="Heading2"/>
      </w:pPr>
      <w:bookmarkStart w:id="38" w:name="_Toc216093746"/>
      <w:r w:rsidRPr="007A07ED">
        <w:t>Pipeline trends</w:t>
      </w:r>
      <w:bookmarkEnd w:id="38"/>
    </w:p>
    <w:p w14:paraId="2B75848E" w14:textId="43D0DF15" w:rsidR="00AD5132" w:rsidRPr="007A07ED" w:rsidRDefault="00C11DF9" w:rsidP="00C8561A">
      <w:pPr>
        <w:pStyle w:val="Paragraph"/>
      </w:pPr>
      <w:r w:rsidRPr="007A07ED">
        <w:t>Th</w:t>
      </w:r>
      <w:r w:rsidR="0015373A">
        <w:t>e</w:t>
      </w:r>
      <w:r w:rsidRPr="007A07ED">
        <w:t xml:space="preserve"> horizon scan identified </w:t>
      </w:r>
      <w:r w:rsidR="00D6006A" w:rsidRPr="007A07ED">
        <w:t>71</w:t>
      </w:r>
      <w:r w:rsidR="00171329" w:rsidRPr="007A07ED">
        <w:t xml:space="preserve"> ASO</w:t>
      </w:r>
      <w:r w:rsidR="00D6006A" w:rsidRPr="007A07ED">
        <w:t xml:space="preserve"> clinical trial</w:t>
      </w:r>
      <w:r w:rsidR="00171329" w:rsidRPr="007A07ED">
        <w:t>s, 55</w:t>
      </w:r>
      <w:r w:rsidR="00AC5EA0" w:rsidRPr="007A07ED">
        <w:t xml:space="preserve"> siRNAs</w:t>
      </w:r>
      <w:r w:rsidR="00D6006A" w:rsidRPr="007A07ED">
        <w:t xml:space="preserve"> clinical trials</w:t>
      </w:r>
      <w:r w:rsidR="00F4412E" w:rsidRPr="007A07ED">
        <w:t>,</w:t>
      </w:r>
      <w:r w:rsidR="00AC5EA0" w:rsidRPr="007A07ED">
        <w:t xml:space="preserve"> </w:t>
      </w:r>
      <w:r w:rsidR="00D02175" w:rsidRPr="007A07ED">
        <w:t>33</w:t>
      </w:r>
      <w:r w:rsidR="00D1716D" w:rsidRPr="007A07ED">
        <w:t xml:space="preserve"> </w:t>
      </w:r>
      <w:r w:rsidR="00D713E6" w:rsidRPr="007A07ED">
        <w:t xml:space="preserve">AAV and 6 </w:t>
      </w:r>
      <w:r w:rsidR="007D2388" w:rsidRPr="007A07ED">
        <w:t>CRISPR-based</w:t>
      </w:r>
      <w:r w:rsidR="00D1716D" w:rsidRPr="007A07ED">
        <w:t xml:space="preserve"> </w:t>
      </w:r>
      <w:r w:rsidR="0058362D" w:rsidRPr="007A07ED">
        <w:t>clinical trials</w:t>
      </w:r>
      <w:r w:rsidR="00734E8E" w:rsidRPr="007A07ED">
        <w:t>.</w:t>
      </w:r>
      <w:r w:rsidR="00DC6387" w:rsidRPr="007A07ED">
        <w:rPr>
          <w:noProof/>
        </w:rPr>
        <w:t xml:space="preserve"> </w:t>
      </w:r>
    </w:p>
    <w:p w14:paraId="6459D539" w14:textId="6D3BD124" w:rsidR="00104E73" w:rsidRPr="007A07ED" w:rsidRDefault="00104E73" w:rsidP="00104E73">
      <w:pPr>
        <w:pStyle w:val="Caption"/>
      </w:pPr>
      <w:r w:rsidRPr="007A07ED">
        <w:t xml:space="preserve">Figure </w:t>
      </w:r>
      <w:r w:rsidRPr="007A07ED">
        <w:fldChar w:fldCharType="begin"/>
      </w:r>
      <w:r w:rsidRPr="007A07ED">
        <w:instrText xml:space="preserve"> SEQ Figure \* ARABIC </w:instrText>
      </w:r>
      <w:r w:rsidRPr="007A07ED">
        <w:fldChar w:fldCharType="separate"/>
      </w:r>
      <w:r w:rsidR="003818FC" w:rsidRPr="007A07ED">
        <w:rPr>
          <w:noProof/>
        </w:rPr>
        <w:t>1</w:t>
      </w:r>
      <w:r w:rsidRPr="007A07ED">
        <w:fldChar w:fldCharType="end"/>
      </w:r>
      <w:r w:rsidRPr="007A07ED">
        <w:t xml:space="preserve">. </w:t>
      </w:r>
      <w:r w:rsidR="00BC3807">
        <w:t>Clinical t</w:t>
      </w:r>
      <w:r w:rsidRPr="007A07ED">
        <w:t>rial counts by platform</w:t>
      </w:r>
      <w:r w:rsidR="00834A1B">
        <w:t xml:space="preserve"> </w:t>
      </w:r>
      <w:r w:rsidR="00834A1B" w:rsidRPr="00834A1B">
        <w:t>technology</w:t>
      </w:r>
    </w:p>
    <w:p w14:paraId="4A8CBD7C" w14:textId="43AC56BD" w:rsidR="00FF155F" w:rsidRPr="007A07ED" w:rsidRDefault="005656FE" w:rsidP="00540179">
      <w:pPr>
        <w:pStyle w:val="Paragraph"/>
        <w:jc w:val="center"/>
      </w:pPr>
      <w:r w:rsidRPr="007A07ED">
        <w:rPr>
          <w:noProof/>
        </w:rPr>
        <w:drawing>
          <wp:inline distT="0" distB="0" distL="0" distR="0" wp14:anchorId="501ED7D2" wp14:editId="181AFAC3">
            <wp:extent cx="4572000" cy="2743200"/>
            <wp:effectExtent l="0" t="0" r="0" b="0"/>
            <wp:docPr id="149023917" name="Chart 1" descr="Bar chart showing the number of clinical trials by platform technology. Antisense oligonucleotides (ASO) have the highest count at 71 trials, followed by small interfering RNAs (siRNA) with 55 trials, adeno-associated virus (AAV) therapies with 33 trials, and CRISPR-based therapies with 7 trials.">
              <a:extLst xmlns:a="http://schemas.openxmlformats.org/drawingml/2006/main">
                <a:ext uri="{FF2B5EF4-FFF2-40B4-BE49-F238E27FC236}">
                  <a16:creationId xmlns:a16="http://schemas.microsoft.com/office/drawing/2014/main" id="{6006AE3D-AA51-6F31-5963-B97AD00F0D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81BE31" w14:textId="78ACB2D6" w:rsidR="005C6812" w:rsidRPr="007A07ED" w:rsidRDefault="00810903" w:rsidP="005C6812">
      <w:pPr>
        <w:pStyle w:val="Paragraph"/>
      </w:pPr>
      <w:r>
        <w:t>C</w:t>
      </w:r>
      <w:r w:rsidR="005C6812" w:rsidRPr="007A07ED">
        <w:t>linical trial</w:t>
      </w:r>
      <w:r>
        <w:t>s</w:t>
      </w:r>
      <w:r w:rsidR="005C6812" w:rsidRPr="007A07ED">
        <w:t xml:space="preserve"> for </w:t>
      </w:r>
      <w:r w:rsidR="00E11C9A" w:rsidRPr="007A07ED">
        <w:t>individualised therapies</w:t>
      </w:r>
      <w:r w:rsidR="005C6812" w:rsidRPr="007A07ED">
        <w:t xml:space="preserve"> </w:t>
      </w:r>
      <w:r>
        <w:t>show</w:t>
      </w:r>
      <w:r w:rsidRPr="007A07ED">
        <w:t xml:space="preserve"> </w:t>
      </w:r>
      <w:r w:rsidR="005C6812" w:rsidRPr="007A07ED">
        <w:t xml:space="preserve">a distinct trend in the adoption and development of specific therapeutic approaches. ASOs emerge as the most prominent technology in the current clinical pipeline, accounting for nearly two-thirds of the total trials </w:t>
      </w:r>
      <w:r w:rsidR="002C31FD" w:rsidRPr="007A07ED">
        <w:t>identified</w:t>
      </w:r>
      <w:r w:rsidR="005C6812" w:rsidRPr="007A07ED">
        <w:t xml:space="preserve">. This dominance reflects a broader industry trend </w:t>
      </w:r>
      <w:r w:rsidR="002C3BBD">
        <w:t>in which</w:t>
      </w:r>
      <w:r w:rsidR="002C3BBD" w:rsidRPr="007A07ED">
        <w:t xml:space="preserve"> </w:t>
      </w:r>
      <w:r w:rsidR="005C6812" w:rsidRPr="007A07ED">
        <w:t>ASOs are increasingly favoured for their versatility in targeting genetic sequences and their relatively straightforward development processes. The concentration of ASO trials is particularly notable in genetic and neurological indications, suggesting that NICE may face a substantial volume of submissions in these therapeutic areas in the near future.</w:t>
      </w:r>
    </w:p>
    <w:p w14:paraId="4518F26A" w14:textId="1455A625" w:rsidR="005C6812" w:rsidRPr="007A07ED" w:rsidRDefault="005C6812" w:rsidP="005C6812">
      <w:pPr>
        <w:pStyle w:val="Paragraph"/>
      </w:pPr>
      <w:r w:rsidRPr="007A07ED">
        <w:t xml:space="preserve">siRNAs also represent a significant proportion of the pipeline. The expanding siRNA </w:t>
      </w:r>
      <w:r w:rsidR="00516E09">
        <w:t>evidence</w:t>
      </w:r>
      <w:r w:rsidR="00516E09" w:rsidRPr="007A07ED">
        <w:t xml:space="preserve"> </w:t>
      </w:r>
      <w:r w:rsidRPr="007A07ED">
        <w:t>underscores the growing interest in RNA interference-based approaches, particularly as advances in delivery technologies improve their clinical applicability. The steady growth of siRNA therapies indicates a potential increase in innovative clinical evidence submissions, necessitating NICE’s preparedness for adapting assessment frameworks to accommodate these novel therapies.</w:t>
      </w:r>
    </w:p>
    <w:p w14:paraId="6EC9F77F" w14:textId="650A95EE" w:rsidR="005C6812" w:rsidRPr="007A07ED" w:rsidRDefault="005C6812" w:rsidP="005C6812">
      <w:pPr>
        <w:pStyle w:val="Paragraph"/>
      </w:pPr>
      <w:r w:rsidRPr="007A07ED">
        <w:t xml:space="preserve">In contrast, AAV therapies constitute the smallest proportion of the </w:t>
      </w:r>
      <w:r w:rsidR="009F31C7" w:rsidRPr="007A07ED">
        <w:t xml:space="preserve">identified </w:t>
      </w:r>
      <w:r w:rsidRPr="007A07ED">
        <w:t xml:space="preserve">technologies. The relatively low representation of AAV trials likely </w:t>
      </w:r>
      <w:r w:rsidR="00A62344">
        <w:t>reflects</w:t>
      </w:r>
      <w:r w:rsidR="00A62344" w:rsidRPr="007A07ED">
        <w:t xml:space="preserve"> </w:t>
      </w:r>
      <w:r w:rsidRPr="007A07ED">
        <w:t xml:space="preserve">the inherent complexities and regulatory hurdles associated with gene therapy developments. These therapies, while fewer in number, often present substantial challenges in clinical and cost-effectiveness evaluations </w:t>
      </w:r>
      <w:r w:rsidR="000C7D3E">
        <w:t>because of</w:t>
      </w:r>
      <w:r w:rsidRPr="007A07ED">
        <w:t xml:space="preserve"> high upfront costs and long-term benefit uncertainties. </w:t>
      </w:r>
      <w:r w:rsidR="00F31715">
        <w:t>So</w:t>
      </w:r>
      <w:r w:rsidRPr="007A07ED">
        <w:t xml:space="preserve">, NICE may need to adopt a targeted strategy to </w:t>
      </w:r>
      <w:r w:rsidR="00F31715">
        <w:t>evaluate</w:t>
      </w:r>
      <w:r w:rsidR="00F31715" w:rsidRPr="007A07ED">
        <w:t xml:space="preserve"> </w:t>
      </w:r>
      <w:r w:rsidRPr="007A07ED">
        <w:t>these high-impact, low-volume treatments efficiently.</w:t>
      </w:r>
    </w:p>
    <w:p w14:paraId="0A1F1C34" w14:textId="54BF8FF4" w:rsidR="00904992" w:rsidRPr="007A07ED" w:rsidRDefault="00785CBA" w:rsidP="00904992">
      <w:pPr>
        <w:pStyle w:val="Heading3"/>
      </w:pPr>
      <w:bookmarkStart w:id="39" w:name="_Toc216093747"/>
      <w:r w:rsidRPr="007A07ED">
        <w:t>Trial</w:t>
      </w:r>
      <w:r w:rsidR="00904992" w:rsidRPr="007A07ED">
        <w:t xml:space="preserve"> completion dates</w:t>
      </w:r>
      <w:bookmarkEnd w:id="39"/>
    </w:p>
    <w:p w14:paraId="010240EB" w14:textId="28C10088" w:rsidR="002C7A24" w:rsidRPr="007A07ED" w:rsidRDefault="002C7A24" w:rsidP="002C7A24">
      <w:pPr>
        <w:pStyle w:val="Paragraph"/>
      </w:pPr>
      <w:r w:rsidRPr="007A07ED">
        <w:t>An assessment of trial completion dates shows a peak in expected completions between 2024 and 2028. This suggests that a large number of therapies will reach regulatory submission within this timeframe, creating a potential surge in HTA workload for NICE.</w:t>
      </w:r>
    </w:p>
    <w:p w14:paraId="60FA86EE" w14:textId="6CD59F9F" w:rsidR="00104E73" w:rsidRPr="007A07ED" w:rsidRDefault="00104E73" w:rsidP="00104E73">
      <w:pPr>
        <w:pStyle w:val="Caption"/>
      </w:pPr>
      <w:r w:rsidRPr="007A07ED">
        <w:t xml:space="preserve">Figure </w:t>
      </w:r>
      <w:r w:rsidRPr="007A07ED">
        <w:fldChar w:fldCharType="begin"/>
      </w:r>
      <w:r w:rsidRPr="007A07ED">
        <w:instrText xml:space="preserve"> SEQ Figure \* ARABIC </w:instrText>
      </w:r>
      <w:r w:rsidRPr="007A07ED">
        <w:fldChar w:fldCharType="separate"/>
      </w:r>
      <w:r w:rsidR="003818FC" w:rsidRPr="007A07ED">
        <w:rPr>
          <w:noProof/>
        </w:rPr>
        <w:t>2</w:t>
      </w:r>
      <w:r w:rsidRPr="007A07ED">
        <w:fldChar w:fldCharType="end"/>
      </w:r>
      <w:r w:rsidRPr="007A07ED">
        <w:t xml:space="preserve">. </w:t>
      </w:r>
      <w:r w:rsidR="00C958C6" w:rsidRPr="00C958C6">
        <w:t>Clinical trial count by expected year of completion</w:t>
      </w:r>
    </w:p>
    <w:p w14:paraId="2A814EDF" w14:textId="31BF04F8" w:rsidR="00FB57BA" w:rsidRPr="007A07ED" w:rsidRDefault="00FB57BA" w:rsidP="002C7A24">
      <w:pPr>
        <w:pStyle w:val="Paragraph"/>
      </w:pPr>
      <w:r w:rsidRPr="007A07ED">
        <w:rPr>
          <w:noProof/>
        </w:rPr>
        <w:drawing>
          <wp:inline distT="0" distB="0" distL="0" distR="0" wp14:anchorId="082E7C95" wp14:editId="3535CBB6">
            <wp:extent cx="5220000" cy="3348841"/>
            <wp:effectExtent l="0" t="0" r="0" b="4445"/>
            <wp:docPr id="1491460276" name="Chart 1" descr="Bar chart showing the number of clinical trials for individualised therapies by expected year of completion. The data spans from 2007 to 2039, with a sharp increase starting around 2022. The peak occurs between 2024 and 2028, where trial completions range from 12 to 31 per year. After 2028, the numbers decline but remain steady into the 2030s">
              <a:extLst xmlns:a="http://schemas.openxmlformats.org/drawingml/2006/main">
                <a:ext uri="{FF2B5EF4-FFF2-40B4-BE49-F238E27FC236}">
                  <a16:creationId xmlns:a16="http://schemas.microsoft.com/office/drawing/2014/main" id="{1CA3F845-DBDE-28B2-898D-AB422EDC0E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208843" w14:textId="6226B5A2" w:rsidR="00534F6E" w:rsidRPr="007A07ED" w:rsidRDefault="00534F6E" w:rsidP="00534F6E">
      <w:pPr>
        <w:pStyle w:val="Heading4"/>
      </w:pPr>
      <w:r w:rsidRPr="007A07ED">
        <w:t>Long</w:t>
      </w:r>
      <w:r w:rsidR="00F9611C">
        <w:t>-term</w:t>
      </w:r>
      <w:r w:rsidRPr="007A07ED">
        <w:t xml:space="preserve"> pipeline</w:t>
      </w:r>
    </w:p>
    <w:p w14:paraId="5CA7084D" w14:textId="7B7ABB00" w:rsidR="00534F6E" w:rsidRPr="007A07ED" w:rsidRDefault="00534F6E" w:rsidP="00534F6E">
      <w:pPr>
        <w:pStyle w:val="Paragraph"/>
      </w:pPr>
      <w:r w:rsidRPr="007A07ED">
        <w:t xml:space="preserve">Beyond this peak, the data indicates that a </w:t>
      </w:r>
      <w:r w:rsidR="008A79C3" w:rsidRPr="007A07ED">
        <w:t>continuous flow of</w:t>
      </w:r>
      <w:r w:rsidRPr="007A07ED">
        <w:t xml:space="preserve"> trials are expected to complete in the 2030s, suggesting that </w:t>
      </w:r>
      <w:r w:rsidR="00E86AC4" w:rsidRPr="007A07ED">
        <w:t>individualised therapy</w:t>
      </w:r>
      <w:r w:rsidRPr="007A07ED">
        <w:t xml:space="preserve"> development will continue over the next </w:t>
      </w:r>
      <w:r w:rsidR="00205687">
        <w:t>2</w:t>
      </w:r>
      <w:r w:rsidR="00205687" w:rsidRPr="007A07ED">
        <w:t xml:space="preserve"> </w:t>
      </w:r>
      <w:r w:rsidRPr="007A07ED">
        <w:t xml:space="preserve">decades. </w:t>
      </w:r>
      <w:r w:rsidR="003D007F" w:rsidRPr="007A07ED">
        <w:t xml:space="preserve">The diversity of technology types and therapeutic areas represented in this timeframe underscores the potential for sustained innovation in the sector. </w:t>
      </w:r>
      <w:r w:rsidR="005E5254">
        <w:t>The</w:t>
      </w:r>
      <w:r w:rsidR="005E5254" w:rsidRPr="007A07ED">
        <w:t xml:space="preserve"> </w:t>
      </w:r>
      <w:r w:rsidRPr="007A07ED">
        <w:t>presence of long-term trials underscores the need for NICE to maintain engagement with regulatory agencies and industry stakeholders to ensure timely preparedness</w:t>
      </w:r>
      <w:r w:rsidR="005E5254">
        <w:t>.</w:t>
      </w:r>
      <w:r w:rsidR="00061B9E" w:rsidRPr="007A07ED">
        <w:t xml:space="preserve"> </w:t>
      </w:r>
      <w:r w:rsidR="005E5254">
        <w:t xml:space="preserve">But </w:t>
      </w:r>
      <w:r w:rsidR="00061B9E" w:rsidRPr="007A07ED">
        <w:t>the challenges associated with late-phase trials, such as the need for robust clinical data and potential market access hurdles, may influence the pace of regulatory submissions and subsequent evaluations by NICE.</w:t>
      </w:r>
    </w:p>
    <w:p w14:paraId="72E25500" w14:textId="2F7ECF15" w:rsidR="001D1E20" w:rsidRPr="007A07ED" w:rsidRDefault="001D1E20" w:rsidP="00534F6E">
      <w:pPr>
        <w:pStyle w:val="Paragraph"/>
      </w:pPr>
      <w:r w:rsidRPr="007A07ED">
        <w:t xml:space="preserve">The UK approval timeline for individualised therapies remains largely uncertain, with approval dates unknown for </w:t>
      </w:r>
      <w:r w:rsidR="00CF483B">
        <w:t>most</w:t>
      </w:r>
      <w:r w:rsidRPr="007A07ED">
        <w:t xml:space="preserve"> treatments. This suggests that many therapies are still in early-phase development or have yet to secure regulatory engagement. </w:t>
      </w:r>
      <w:r w:rsidR="00F56C79">
        <w:t>A</w:t>
      </w:r>
      <w:r w:rsidRPr="007A07ED">
        <w:t xml:space="preserve"> small number of approvals are projected between 2024 and 2031</w:t>
      </w:r>
      <w:r w:rsidR="00F56C79">
        <w:t xml:space="preserve"> but</w:t>
      </w:r>
      <w:r w:rsidRPr="007A07ED">
        <w:t xml:space="preserve"> the data remains incomplete, making it difficult to anticipate when these therapies will reach the market.</w:t>
      </w:r>
    </w:p>
    <w:p w14:paraId="655DDFFB" w14:textId="1CA5C30A" w:rsidR="005964B4" w:rsidRPr="007A07ED" w:rsidRDefault="005964B4" w:rsidP="003A5928">
      <w:pPr>
        <w:pStyle w:val="Heading2"/>
      </w:pPr>
      <w:bookmarkStart w:id="40" w:name="_Toc216093748"/>
      <w:r w:rsidRPr="007A07ED">
        <w:t xml:space="preserve">Published </w:t>
      </w:r>
      <w:r w:rsidR="003A5928" w:rsidRPr="007A07ED">
        <w:t>evidence</w:t>
      </w:r>
      <w:bookmarkEnd w:id="40"/>
    </w:p>
    <w:p w14:paraId="23A6FAD4" w14:textId="56E6511E" w:rsidR="0056541A" w:rsidRPr="007A07ED" w:rsidRDefault="00F24CBE" w:rsidP="00176096">
      <w:pPr>
        <w:pStyle w:val="Heading3"/>
      </w:pPr>
      <w:bookmarkStart w:id="41" w:name="_Toc216093749"/>
      <w:r w:rsidRPr="007A07ED">
        <w:t>Disease area</w:t>
      </w:r>
      <w:bookmarkEnd w:id="41"/>
      <w:r w:rsidRPr="007A07ED">
        <w:t xml:space="preserve"> </w:t>
      </w:r>
    </w:p>
    <w:p w14:paraId="65D27039" w14:textId="5CE71453" w:rsidR="0090420E" w:rsidRPr="007A07ED" w:rsidRDefault="0090420E" w:rsidP="0090420E">
      <w:pPr>
        <w:pStyle w:val="Paragraph"/>
      </w:pPr>
      <w:r w:rsidRPr="007A07ED">
        <w:t>Analysis of trial data indicates that the highest concentration of research is in endocrine</w:t>
      </w:r>
      <w:r w:rsidR="005E7E50">
        <w:t xml:space="preserve"> and </w:t>
      </w:r>
      <w:r w:rsidRPr="007A07ED">
        <w:t>metabolic disorders followed by ophthalmic conditions, cancer, musculoskeletal disorders and central nervous system diseases. These trends suggest where the greatest volume of HTA submissions may arise in the coming years.</w:t>
      </w:r>
    </w:p>
    <w:p w14:paraId="4B4D2BCB" w14:textId="6EA15D78" w:rsidR="00104E73" w:rsidRPr="007A07ED" w:rsidRDefault="00104E73" w:rsidP="00104E73">
      <w:pPr>
        <w:pStyle w:val="Caption"/>
      </w:pPr>
      <w:r w:rsidRPr="007A07ED">
        <w:t xml:space="preserve">Figure </w:t>
      </w:r>
      <w:r w:rsidRPr="007A07ED">
        <w:fldChar w:fldCharType="begin"/>
      </w:r>
      <w:r w:rsidRPr="007A07ED">
        <w:instrText xml:space="preserve"> SEQ Figure \* ARABIC </w:instrText>
      </w:r>
      <w:r w:rsidRPr="007A07ED">
        <w:fldChar w:fldCharType="separate"/>
      </w:r>
      <w:r w:rsidR="003818FC" w:rsidRPr="007A07ED">
        <w:rPr>
          <w:noProof/>
        </w:rPr>
        <w:t>3</w:t>
      </w:r>
      <w:r w:rsidRPr="007A07ED">
        <w:fldChar w:fldCharType="end"/>
      </w:r>
      <w:r w:rsidRPr="007A07ED">
        <w:t xml:space="preserve">. </w:t>
      </w:r>
      <w:r w:rsidR="00BC3807">
        <w:t>Clinical t</w:t>
      </w:r>
      <w:r w:rsidRPr="007A07ED">
        <w:t>rial count by disease area</w:t>
      </w:r>
    </w:p>
    <w:p w14:paraId="73AED0B7" w14:textId="7D071040" w:rsidR="00F71E5E" w:rsidRPr="007A07ED" w:rsidRDefault="00F71E5E" w:rsidP="0090420E">
      <w:pPr>
        <w:pStyle w:val="Paragraph"/>
      </w:pPr>
      <w:r w:rsidRPr="007A07ED">
        <w:rPr>
          <w:noProof/>
        </w:rPr>
        <w:drawing>
          <wp:inline distT="0" distB="0" distL="0" distR="0" wp14:anchorId="130752B3" wp14:editId="3925D40A">
            <wp:extent cx="5220000" cy="3086100"/>
            <wp:effectExtent l="0" t="0" r="0" b="0"/>
            <wp:docPr id="870631155" name="Chart 1" descr="Bar chart showing the number of clinical trials for individualised therapies by disease area. Endocrine and metabolic disorders have the highest count at 45 trials, followed by eye conditions with 27 trials, cancer with 15, musculoskeletal disorders with 14, and blood/immune disorders also with 14. Other areas include central nervous system (13), cardiovascular (13), infectious diseases (12), digestive system (7), and smaller counts for behaviour, urogenital, and skin/wounds (2 each). The data highlights a concentration of trials in endocrine/metabolic and ophthalmic conditions.">
              <a:extLst xmlns:a="http://schemas.openxmlformats.org/drawingml/2006/main">
                <a:ext uri="{FF2B5EF4-FFF2-40B4-BE49-F238E27FC236}">
                  <a16:creationId xmlns:a16="http://schemas.microsoft.com/office/drawing/2014/main" id="{5BF1B0B1-1301-E94E-2A4A-D3BDE19B31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8A42443" w14:textId="010769BD" w:rsidR="00F24CBE" w:rsidRPr="007A07ED" w:rsidRDefault="0090420E" w:rsidP="0090420E">
      <w:pPr>
        <w:pStyle w:val="Paragraph"/>
      </w:pPr>
      <w:r w:rsidRPr="007A07ED">
        <w:t>Endocrine and metabolic disorders, such as inherited metabolic syndromes and rare endocrine conditions, represent the most common targets for siRNA and ASO therapies. Gene therapy approaches are widely studied for ophthalmic disorders, reflecting growing interest in treating inherited retinal diseases.</w:t>
      </w:r>
    </w:p>
    <w:p w14:paraId="14B1BB3C" w14:textId="674F2013" w:rsidR="00036E04" w:rsidRPr="007A07ED" w:rsidRDefault="00036E04" w:rsidP="0090420E">
      <w:pPr>
        <w:pStyle w:val="Paragraph"/>
      </w:pPr>
      <w:r w:rsidRPr="007A07ED">
        <w:t>NICE’s evaluation processes may need to adapt to accommodate the concentration of therapies in these areas. The reliance on surrogate endpoints in metabolic and ophthalmic indications could complicate cost-effectiveness assessments, requiring real-world evidence frameworks to validate clinical impact. Additionally, the infrastructure for delivering gene therapies particularly in ophthalmology will require careful consideration of service delivery and implementation costs.</w:t>
      </w:r>
    </w:p>
    <w:p w14:paraId="2B0F7FBE" w14:textId="1E14EBCE" w:rsidR="009E00CD" w:rsidRPr="007A07ED" w:rsidRDefault="00AD4BE3" w:rsidP="00176096">
      <w:pPr>
        <w:pStyle w:val="Heading3"/>
      </w:pPr>
      <w:bookmarkStart w:id="42" w:name="_Toc216093750"/>
      <w:r w:rsidRPr="007A07ED">
        <w:t xml:space="preserve">Types of </w:t>
      </w:r>
      <w:r w:rsidR="00401D6C" w:rsidRPr="007A07ED">
        <w:t>endpoints</w:t>
      </w:r>
      <w:bookmarkEnd w:id="42"/>
    </w:p>
    <w:p w14:paraId="3A6A053D" w14:textId="5058E684" w:rsidR="00F00D13" w:rsidRPr="007A07ED" w:rsidRDefault="00F00D13" w:rsidP="00F00D13">
      <w:pPr>
        <w:pStyle w:val="Paragraph"/>
      </w:pPr>
      <w:r w:rsidRPr="007A07ED">
        <w:t>An analysis of endpoint trends reveals that clinical trials for siRNA, ASO and AAV therapies predominantly rely on clinical, surrogate and safety endpoints. Clinical endpoints remain the gold standard but surrogate markers are widely used, particularly in earlier-phase trials.</w:t>
      </w:r>
    </w:p>
    <w:p w14:paraId="3D08C632" w14:textId="2F69C833" w:rsidR="002713DD" w:rsidRPr="007A07ED" w:rsidRDefault="002713DD" w:rsidP="002713DD">
      <w:pPr>
        <w:pStyle w:val="Caption"/>
      </w:pPr>
      <w:r w:rsidRPr="007A07ED">
        <w:t xml:space="preserve">Figure </w:t>
      </w:r>
      <w:r w:rsidRPr="007A07ED">
        <w:fldChar w:fldCharType="begin"/>
      </w:r>
      <w:r w:rsidRPr="007A07ED">
        <w:instrText xml:space="preserve"> SEQ Figure \* ARABIC </w:instrText>
      </w:r>
      <w:r w:rsidRPr="007A07ED">
        <w:fldChar w:fldCharType="separate"/>
      </w:r>
      <w:r w:rsidR="003818FC" w:rsidRPr="007A07ED">
        <w:rPr>
          <w:noProof/>
        </w:rPr>
        <w:t>4</w:t>
      </w:r>
      <w:r w:rsidRPr="007A07ED">
        <w:fldChar w:fldCharType="end"/>
      </w:r>
      <w:r w:rsidRPr="007A07ED">
        <w:t xml:space="preserve">. </w:t>
      </w:r>
      <w:r w:rsidR="00C958C6" w:rsidRPr="00C958C6">
        <w:t>Distribution of endpoint types in clinical trials</w:t>
      </w:r>
    </w:p>
    <w:p w14:paraId="206E447B" w14:textId="7F993C23" w:rsidR="00F54AEF" w:rsidRPr="007A07ED" w:rsidRDefault="0050218A" w:rsidP="00540179">
      <w:pPr>
        <w:pStyle w:val="Paragraph"/>
        <w:jc w:val="center"/>
      </w:pPr>
      <w:r w:rsidRPr="007A07ED">
        <w:rPr>
          <w:noProof/>
        </w:rPr>
        <w:drawing>
          <wp:inline distT="0" distB="0" distL="0" distR="0" wp14:anchorId="34A51003" wp14:editId="7F05FF0B">
            <wp:extent cx="5220000" cy="3486785"/>
            <wp:effectExtent l="0" t="0" r="0" b="18415"/>
            <wp:docPr id="777010805" name="Chart 1" descr="Pie chart showing the distribution of endpoint types used in clinical trials for individualised therapies. Clinical endpoints are most common in 49% of trials, followed by surrogate endpoints at 32% and safety endpoints at 10%. Biomarker endpoints appear in 4% of trials, exploratory endpoints 2%, and others such as treatment burden and pharmacokinetic endpoints represent only 1%.">
              <a:extLst xmlns:a="http://schemas.openxmlformats.org/drawingml/2006/main">
                <a:ext uri="{FF2B5EF4-FFF2-40B4-BE49-F238E27FC236}">
                  <a16:creationId xmlns:a16="http://schemas.microsoft.com/office/drawing/2014/main" id="{C9D33458-6430-4914-7A33-8A3722876D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54A0BAE" w14:textId="1342A976" w:rsidR="00A6025E" w:rsidRPr="007A07ED" w:rsidRDefault="00F00D13" w:rsidP="00F00D13">
      <w:pPr>
        <w:pStyle w:val="Paragraph"/>
      </w:pPr>
      <w:r w:rsidRPr="007A07ED">
        <w:t>Clinical endpoints are the most frequently used, followed by surrogate measures. Safety endpoints are also common, particularly in ASO therapies, reflecting concerns about immunogenicity and long-term effects. Other endpoints, such as patient-reported outcomes and treatment burden, are significantly underrepresented in the dataset.</w:t>
      </w:r>
    </w:p>
    <w:p w14:paraId="04566594" w14:textId="4F6EF93B" w:rsidR="00244589" w:rsidRPr="007A07ED" w:rsidRDefault="00244589" w:rsidP="00244589">
      <w:pPr>
        <w:pStyle w:val="Heading4"/>
      </w:pPr>
      <w:r w:rsidRPr="007A07ED">
        <w:t xml:space="preserve">Endpoint </w:t>
      </w:r>
      <w:r w:rsidR="00EA1656">
        <w:t>u</w:t>
      </w:r>
      <w:r w:rsidRPr="007A07ED">
        <w:t xml:space="preserve">se by </w:t>
      </w:r>
      <w:r w:rsidR="00EA1656">
        <w:t>t</w:t>
      </w:r>
      <w:r w:rsidRPr="007A07ED">
        <w:t xml:space="preserve">echnology </w:t>
      </w:r>
      <w:r w:rsidR="00EA1656">
        <w:t>t</w:t>
      </w:r>
      <w:r w:rsidRPr="007A07ED">
        <w:t>ype</w:t>
      </w:r>
    </w:p>
    <w:p w14:paraId="59DA0018" w14:textId="77777777" w:rsidR="00D65596" w:rsidRPr="007A07ED" w:rsidRDefault="00D65596" w:rsidP="00D65596">
      <w:pPr>
        <w:pStyle w:val="Paragraph"/>
      </w:pPr>
      <w:r w:rsidRPr="007A07ED">
        <w:t>Analysis of endpoint types by technology shows that clinical endpoints are most commonly used in ASO trials, while surrogate endpoints dominate in siRNA studies. AAV trials display a more even distribution across both categories.</w:t>
      </w:r>
    </w:p>
    <w:p w14:paraId="61DDCAD7" w14:textId="084B4DB7" w:rsidR="00D65596" w:rsidRPr="007A07ED" w:rsidRDefault="00D65596" w:rsidP="00D65596">
      <w:pPr>
        <w:pStyle w:val="Paragraph"/>
      </w:pPr>
      <w:r w:rsidRPr="007A07ED">
        <w:t xml:space="preserve">These trends may reflect differences in development stage, disease area or regulatory strategy. For </w:t>
      </w:r>
      <w:r w:rsidR="00656BB1">
        <w:t>example</w:t>
      </w:r>
      <w:r w:rsidRPr="007A07ED">
        <w:t xml:space="preserve">, surrogate endpoints in siRNA trials could signal earlier-phase development or conditions </w:t>
      </w:r>
      <w:r w:rsidR="00051DEA">
        <w:t>in which</w:t>
      </w:r>
      <w:r w:rsidR="00051DEA" w:rsidRPr="007A07ED">
        <w:t xml:space="preserve"> </w:t>
      </w:r>
      <w:r w:rsidRPr="007A07ED">
        <w:t>clinical outcomes are harder to measure. Conversely, ASOs may target indications with more established clinical endpoints.</w:t>
      </w:r>
    </w:p>
    <w:p w14:paraId="6DFA99FE" w14:textId="4883D103" w:rsidR="00244589" w:rsidRPr="007A07ED" w:rsidRDefault="00D65596" w:rsidP="00D65596">
      <w:pPr>
        <w:pStyle w:val="Paragraph"/>
      </w:pPr>
      <w:r w:rsidRPr="007A07ED">
        <w:t>While suggestive, these observations should be interpreted cautiously. Further evidence is needed to confirm whether these patterns reflect systematic differences across platform technologies</w:t>
      </w:r>
      <w:r w:rsidR="00E201D5" w:rsidRPr="007A07ED">
        <w:t>.</w:t>
      </w:r>
    </w:p>
    <w:p w14:paraId="35EF2BB8" w14:textId="2BD646BE" w:rsidR="00F00D13" w:rsidRPr="007A07ED" w:rsidRDefault="00F00D13" w:rsidP="00F00D13">
      <w:pPr>
        <w:pStyle w:val="Heading4"/>
      </w:pPr>
      <w:r w:rsidRPr="007A07ED">
        <w:t>Validation</w:t>
      </w:r>
      <w:r w:rsidR="00AD4BE3" w:rsidRPr="007A07ED">
        <w:t xml:space="preserve"> of trial endpoints</w:t>
      </w:r>
    </w:p>
    <w:p w14:paraId="2588FBE8" w14:textId="249CB5FF" w:rsidR="005311E5" w:rsidRPr="007A07ED" w:rsidRDefault="005311E5" w:rsidP="00AD4BE3">
      <w:pPr>
        <w:pStyle w:val="Paragraph"/>
      </w:pPr>
      <w:r w:rsidRPr="007A07ED">
        <w:t>Endpoints were categorised as validated if they had been used in the evaluation of medicines approved by the European Medicines Agency (EMA) for the relevant indication. If an endpoint had been accepted by the FDA but not by the EMA, it was classified as inconclusive. Endpoints not used by either regulator were considered not validated. This approach reflects current regulatory practice in Europe while acknowledging global developments.</w:t>
      </w:r>
    </w:p>
    <w:p w14:paraId="5402C605" w14:textId="3679510C" w:rsidR="000C1B76" w:rsidRPr="007A07ED" w:rsidRDefault="000C1B76" w:rsidP="000C1B76">
      <w:pPr>
        <w:pStyle w:val="Caption"/>
      </w:pPr>
      <w:r w:rsidRPr="007A07ED">
        <w:t xml:space="preserve">Figure </w:t>
      </w:r>
      <w:r w:rsidRPr="007A07ED">
        <w:fldChar w:fldCharType="begin"/>
      </w:r>
      <w:r w:rsidRPr="007A07ED">
        <w:instrText xml:space="preserve"> SEQ Figure \* ARABIC </w:instrText>
      </w:r>
      <w:r w:rsidRPr="007A07ED">
        <w:fldChar w:fldCharType="separate"/>
      </w:r>
      <w:r w:rsidR="003818FC" w:rsidRPr="007A07ED">
        <w:rPr>
          <w:noProof/>
        </w:rPr>
        <w:t>5</w:t>
      </w:r>
      <w:r w:rsidRPr="007A07ED">
        <w:fldChar w:fldCharType="end"/>
      </w:r>
      <w:r w:rsidRPr="007A07ED">
        <w:t xml:space="preserve">. Validation of </w:t>
      </w:r>
      <w:r w:rsidR="00FD037E">
        <w:t xml:space="preserve">clinical </w:t>
      </w:r>
      <w:r w:rsidRPr="007A07ED">
        <w:t>trial endpoints</w:t>
      </w:r>
    </w:p>
    <w:p w14:paraId="540BBEED" w14:textId="641CCBD9" w:rsidR="004A5725" w:rsidRPr="007A07ED" w:rsidRDefault="004A5725" w:rsidP="00AD4BE3">
      <w:pPr>
        <w:pStyle w:val="Paragraph"/>
      </w:pPr>
      <w:r w:rsidRPr="007A07ED">
        <w:rPr>
          <w:noProof/>
        </w:rPr>
        <w:drawing>
          <wp:inline distT="0" distB="0" distL="0" distR="0" wp14:anchorId="3FC51D5F" wp14:editId="036C69FC">
            <wp:extent cx="5220000" cy="2840990"/>
            <wp:effectExtent l="0" t="0" r="0" b="16510"/>
            <wp:docPr id="854386399" name="Chart 1" descr="Bar chart comparing validation status of clinical and surrogate endpoints used in trials for individualised therapies. For surrogate endpoints: 38 validated, 5 inconclusive, and 10 not validated. For clinical endpoints: 50 validated, 18 inconclusive, and 7 not validated.">
              <a:extLst xmlns:a="http://schemas.openxmlformats.org/drawingml/2006/main">
                <a:ext uri="{FF2B5EF4-FFF2-40B4-BE49-F238E27FC236}">
                  <a16:creationId xmlns:a16="http://schemas.microsoft.com/office/drawing/2014/main" id="{C6279D20-4C4F-E93B-052B-6BF5236C69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ED537A8" w14:textId="7A78CD38" w:rsidR="00AD4BE3" w:rsidRPr="007A07ED" w:rsidRDefault="00CF483B" w:rsidP="00AD4BE3">
      <w:pPr>
        <w:pStyle w:val="Paragraph"/>
      </w:pPr>
      <w:r>
        <w:t>Most</w:t>
      </w:r>
      <w:r w:rsidR="004A5725" w:rsidRPr="007A07ED">
        <w:t xml:space="preserve"> clinical and surrogate endpoints used in trials for individualised therapies appear to be validated. </w:t>
      </w:r>
      <w:r w:rsidR="008721A3">
        <w:t>But</w:t>
      </w:r>
      <w:r w:rsidR="004A5725" w:rsidRPr="007A07ED">
        <w:t xml:space="preserve"> surrogate endpoints show a slightly higher proportion of non-validated entries, while clinical endpoints more frequently have an inconclusive validation status. This may reflect inconsistencies in how validation is reported, particularly for clinical measures that are context-dependent. Although the overall validation rates appear similar, the reliance on unvalidated or unclearly validated surrogate endpoints introduces uncertainty in assessing long-term benefit. NICE may need to scrutinise the robustness of such endpoints more closely and consider whether additional post-marketing evidence generation will be necessary to reduce uncertainty at the point of appraisal.</w:t>
      </w:r>
    </w:p>
    <w:p w14:paraId="5B70B748" w14:textId="4B7DB754" w:rsidR="0025097C" w:rsidRPr="007A07ED" w:rsidRDefault="0025097C" w:rsidP="0025097C">
      <w:pPr>
        <w:pStyle w:val="Heading4"/>
      </w:pPr>
      <w:r w:rsidRPr="007A07ED">
        <w:t>Disease rarity</w:t>
      </w:r>
    </w:p>
    <w:p w14:paraId="2C199538" w14:textId="66FD178B" w:rsidR="0025097C" w:rsidRPr="007A07ED" w:rsidRDefault="0025097C" w:rsidP="0025097C">
      <w:pPr>
        <w:pStyle w:val="Paragraph"/>
      </w:pPr>
      <w:r w:rsidRPr="007A07ED">
        <w:t>An analysis of the trial pipeline reveals that individualised therapies and platform technologies are being developed across a spectrum of conditions, with varying degrees of rarity. Notably, over 57% of trials focus on diseases that fall within a rare category</w:t>
      </w:r>
      <w:r w:rsidR="00FA51A9">
        <w:t xml:space="preserve"> </w:t>
      </w:r>
      <w:r w:rsidRPr="007A07ED">
        <w:t>encompassing ultra rare (&lt;1 in 50,000; 27.7%), rare (&lt;1 in 2,000; 21.4%) and very rare (&lt;1 in 10,000; 8.8%) conditions. In contrast, 42.1% of trials target indications that are not classified as rare.</w:t>
      </w:r>
    </w:p>
    <w:p w14:paraId="454E0C45" w14:textId="31F8996A" w:rsidR="00AD2A37" w:rsidRPr="007A07ED" w:rsidRDefault="00AD2A37" w:rsidP="00AD2A37">
      <w:pPr>
        <w:pStyle w:val="Caption"/>
      </w:pPr>
      <w:r w:rsidRPr="007A07ED">
        <w:t xml:space="preserve">Figure </w:t>
      </w:r>
      <w:r w:rsidRPr="007A07ED">
        <w:fldChar w:fldCharType="begin"/>
      </w:r>
      <w:r w:rsidRPr="007A07ED">
        <w:instrText xml:space="preserve"> SEQ Figure \* ARABIC </w:instrText>
      </w:r>
      <w:r w:rsidRPr="007A07ED">
        <w:fldChar w:fldCharType="separate"/>
      </w:r>
      <w:r w:rsidR="003818FC" w:rsidRPr="007A07ED">
        <w:rPr>
          <w:noProof/>
        </w:rPr>
        <w:t>6</w:t>
      </w:r>
      <w:r w:rsidRPr="007A07ED">
        <w:fldChar w:fldCharType="end"/>
      </w:r>
      <w:r w:rsidRPr="007A07ED">
        <w:t xml:space="preserve">. Distribution of </w:t>
      </w:r>
      <w:r w:rsidR="00FD037E">
        <w:t xml:space="preserve">trials by </w:t>
      </w:r>
      <w:r w:rsidRPr="007A07ED">
        <w:t>disease rarity</w:t>
      </w:r>
    </w:p>
    <w:p w14:paraId="6C7E476E" w14:textId="283F5CA2" w:rsidR="0025097C" w:rsidRPr="007A07ED" w:rsidRDefault="00CB08E6" w:rsidP="00540179">
      <w:pPr>
        <w:pStyle w:val="Paragraph"/>
        <w:jc w:val="center"/>
      </w:pPr>
      <w:r w:rsidRPr="007A07ED">
        <w:rPr>
          <w:noProof/>
        </w:rPr>
        <w:drawing>
          <wp:inline distT="0" distB="0" distL="0" distR="0" wp14:anchorId="21D18D11" wp14:editId="2D9879BD">
            <wp:extent cx="5220000" cy="2647950"/>
            <wp:effectExtent l="0" t="0" r="0" b="0"/>
            <wp:docPr id="834305368" name="Chart 1" descr="Bar chart showing the proportion of clinical trials for individualised therapies by disease rarity. About 40% of trials target conditions that are not rare. Ultra-rare diseases (&lt;1 in 50,000) account for approximately 29%, rare diseases (&lt;1 in 2,000) for about 22%, and very rare diseases (&lt;1 in 10,000) for around 8%.">
              <a:extLst xmlns:a="http://schemas.openxmlformats.org/drawingml/2006/main">
                <a:ext uri="{FF2B5EF4-FFF2-40B4-BE49-F238E27FC236}">
                  <a16:creationId xmlns:a16="http://schemas.microsoft.com/office/drawing/2014/main" id="{7E750FD5-FF23-DCA0-1CB5-31E07B8A85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6B0C0F3" w14:textId="6EE43FF2" w:rsidR="00646959" w:rsidRPr="007A07ED" w:rsidRDefault="0025097C" w:rsidP="008B04AA">
      <w:pPr>
        <w:pStyle w:val="Paragraph"/>
      </w:pPr>
      <w:r w:rsidRPr="007A07ED">
        <w:t xml:space="preserve">This distribution suggests a significant proportion of technologies in development are intended for populations </w:t>
      </w:r>
      <w:r w:rsidR="007459CC">
        <w:t>in which</w:t>
      </w:r>
      <w:r w:rsidR="007459CC" w:rsidRPr="007A07ED">
        <w:t xml:space="preserve"> </w:t>
      </w:r>
      <w:r w:rsidRPr="007A07ED">
        <w:t xml:space="preserve">conventional trial design and evidence generation may be more challenging. It reinforces the importance of anticipating methodological limitations such as small sample sizes, use of surrogate endpoints and limited long-term data. These considerations will be central to NICE’s future </w:t>
      </w:r>
      <w:r w:rsidR="00CE242F">
        <w:t>evaluation</w:t>
      </w:r>
      <w:r w:rsidR="00CE242F" w:rsidRPr="007A07ED">
        <w:t xml:space="preserve"> </w:t>
      </w:r>
      <w:r w:rsidRPr="007A07ED">
        <w:t>processes, particularly as the volume of platform-based submissions grows.</w:t>
      </w:r>
    </w:p>
    <w:p w14:paraId="52A2CC0A" w14:textId="4C4F6177" w:rsidR="003F7507" w:rsidRPr="007A07ED" w:rsidRDefault="003F7507" w:rsidP="003F7507">
      <w:pPr>
        <w:pStyle w:val="Heading3"/>
      </w:pPr>
      <w:bookmarkStart w:id="43" w:name="_Toc216093751"/>
      <w:r w:rsidRPr="007A07ED">
        <w:t>Trial design and rigour</w:t>
      </w:r>
      <w:bookmarkEnd w:id="43"/>
    </w:p>
    <w:p w14:paraId="6B6EC271" w14:textId="1204F36D" w:rsidR="00063DD0" w:rsidRPr="007A07ED" w:rsidRDefault="00063DD0" w:rsidP="00063DD0">
      <w:pPr>
        <w:pStyle w:val="Heading4"/>
      </w:pPr>
      <w:r w:rsidRPr="007A07ED">
        <w:t xml:space="preserve">Sample </w:t>
      </w:r>
      <w:r w:rsidR="00604C0B" w:rsidRPr="007A07ED">
        <w:t>size</w:t>
      </w:r>
    </w:p>
    <w:p w14:paraId="7D73A7EC" w14:textId="76F982B0" w:rsidR="00273A1D" w:rsidRPr="007A07ED" w:rsidRDefault="002049BA" w:rsidP="00273A1D">
      <w:pPr>
        <w:pStyle w:val="Paragraph"/>
      </w:pPr>
      <w:r w:rsidRPr="007A07ED">
        <w:t>Across the 167 trials identified, sample sizes varied substantially, ranging from as few as 5 participants to more than 17,000. To accommodate this wide variance, results are presented on a logarithmic scale (</w:t>
      </w:r>
      <w:r w:rsidRPr="007A07ED">
        <w:fldChar w:fldCharType="begin"/>
      </w:r>
      <w:r w:rsidRPr="007A07ED">
        <w:instrText xml:space="preserve"> REF _Ref207092459 \h </w:instrText>
      </w:r>
      <w:r w:rsidRPr="007A07ED">
        <w:fldChar w:fldCharType="separate"/>
      </w:r>
      <w:r w:rsidRPr="007A07ED">
        <w:t xml:space="preserve">Figure </w:t>
      </w:r>
      <w:r w:rsidRPr="007A07ED">
        <w:rPr>
          <w:noProof/>
        </w:rPr>
        <w:t>7</w:t>
      </w:r>
      <w:r w:rsidRPr="007A07ED">
        <w:fldChar w:fldCharType="end"/>
      </w:r>
      <w:r w:rsidRPr="007A07ED">
        <w:t>)</w:t>
      </w:r>
      <w:r w:rsidR="006B4EEF" w:rsidRPr="007A07ED">
        <w:t>.</w:t>
      </w:r>
    </w:p>
    <w:p w14:paraId="3045B536" w14:textId="60E7F66F" w:rsidR="003818FC" w:rsidRPr="007A07ED" w:rsidRDefault="003818FC" w:rsidP="003818FC">
      <w:pPr>
        <w:pStyle w:val="Caption"/>
      </w:pPr>
      <w:bookmarkStart w:id="44" w:name="_Ref207092459"/>
      <w:r w:rsidRPr="007A07ED">
        <w:t xml:space="preserve">Figure </w:t>
      </w:r>
      <w:r w:rsidRPr="007A07ED">
        <w:fldChar w:fldCharType="begin"/>
      </w:r>
      <w:r w:rsidRPr="007A07ED">
        <w:instrText xml:space="preserve"> SEQ Figure \* ARABIC </w:instrText>
      </w:r>
      <w:r w:rsidRPr="007A07ED">
        <w:fldChar w:fldCharType="separate"/>
      </w:r>
      <w:r w:rsidRPr="007A07ED">
        <w:rPr>
          <w:noProof/>
        </w:rPr>
        <w:t>7</w:t>
      </w:r>
      <w:r w:rsidRPr="007A07ED">
        <w:fldChar w:fldCharType="end"/>
      </w:r>
      <w:bookmarkEnd w:id="44"/>
      <w:r w:rsidRPr="007A07ED">
        <w:t>.</w:t>
      </w:r>
      <w:r w:rsidR="0052252A" w:rsidRPr="007A07ED">
        <w:t xml:space="preserve"> </w:t>
      </w:r>
      <w:r w:rsidR="008429DF">
        <w:t>Logarithmic-scale d</w:t>
      </w:r>
      <w:r w:rsidR="0052252A" w:rsidRPr="007A07ED">
        <w:t>istribution of clinical trial sample sizes by disease rarity</w:t>
      </w:r>
    </w:p>
    <w:p w14:paraId="65325D0A" w14:textId="4266A2D6" w:rsidR="00273A1D" w:rsidRPr="007A07ED" w:rsidRDefault="00273A1D" w:rsidP="00273A1D">
      <w:pPr>
        <w:pStyle w:val="Paragraph"/>
      </w:pPr>
      <w:r w:rsidRPr="007A07ED">
        <w:rPr>
          <w:noProof/>
        </w:rPr>
        <w:drawing>
          <wp:inline distT="0" distB="0" distL="0" distR="0" wp14:anchorId="7681CE1F" wp14:editId="108259DE">
            <wp:extent cx="5274310" cy="3792855"/>
            <wp:effectExtent l="0" t="0" r="2540" b="17145"/>
            <wp:docPr id="1317414665" name="Chart 1" descr="Logarithmic-scale chart showing the distribution of clinical trial sample sizes for individualised therapies by disease rarity. Trials for non-rare conditions include very large sample sizes, with the largest exceeding 17,000 participants. Rare disease trials typically have sample sizes in the hundreds, while very rare and ultra-rare disease trials mostly involve fewer than 200 participants, often clustered below 100.">
              <a:extLst xmlns:a="http://schemas.openxmlformats.org/drawingml/2006/main">
                <a:ext uri="{FF2B5EF4-FFF2-40B4-BE49-F238E27FC236}">
                  <a16:creationId xmlns:a16="http://schemas.microsoft.com/office/drawing/2014/main" id="{74A3C89E-7DE2-0783-842D-4659BBCD95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4E24378" w14:textId="31A1E1C6" w:rsidR="00E75A4B" w:rsidRPr="007A07ED" w:rsidRDefault="00E75A4B" w:rsidP="00E75A4B">
      <w:pPr>
        <w:pStyle w:val="Paragraph"/>
      </w:pPr>
      <w:r w:rsidRPr="007A07ED">
        <w:t>The distribution shows a clear relationship between disease rarity and trial size</w:t>
      </w:r>
      <w:r w:rsidR="00CE242F">
        <w:t>:</w:t>
      </w:r>
      <w:r w:rsidRPr="007A07ED">
        <w:t>.</w:t>
      </w:r>
    </w:p>
    <w:p w14:paraId="07432C70" w14:textId="77777777" w:rsidR="00E75A4B" w:rsidRPr="007A07ED" w:rsidRDefault="00E75A4B" w:rsidP="00C8561A">
      <w:pPr>
        <w:pStyle w:val="Bullets"/>
      </w:pPr>
      <w:r w:rsidRPr="007A07ED">
        <w:rPr>
          <w:b/>
          <w:bCs/>
        </w:rPr>
        <w:t>Not rare conditions</w:t>
      </w:r>
      <w:r w:rsidRPr="007A07ED">
        <w:t>: sample sizes extended into the thousands, with the largest trial enrolling over 17,000 participants.</w:t>
      </w:r>
    </w:p>
    <w:p w14:paraId="370C6FFF" w14:textId="77777777" w:rsidR="00E75A4B" w:rsidRPr="007A07ED" w:rsidRDefault="00E75A4B" w:rsidP="00C8561A">
      <w:pPr>
        <w:pStyle w:val="Bullets"/>
      </w:pPr>
      <w:r w:rsidRPr="007A07ED">
        <w:rPr>
          <w:b/>
          <w:bCs/>
        </w:rPr>
        <w:t>Rare diseases (&lt;1 in 2,000)</w:t>
      </w:r>
      <w:r w:rsidRPr="007A07ED">
        <w:t>: median sample sizes were markedly lower, typically in the hundreds.</w:t>
      </w:r>
    </w:p>
    <w:p w14:paraId="73316306" w14:textId="3B07119E" w:rsidR="00E75A4B" w:rsidRPr="007A07ED" w:rsidRDefault="00E75A4B" w:rsidP="00C8561A">
      <w:pPr>
        <w:pStyle w:val="Bullets"/>
      </w:pPr>
      <w:r w:rsidRPr="007A07ED">
        <w:rPr>
          <w:b/>
          <w:bCs/>
        </w:rPr>
        <w:t>Very rare (&lt;1 in 10,000) and ultra rare (&lt;1 in 50,000) conditions</w:t>
      </w:r>
      <w:r w:rsidRPr="007A07ED">
        <w:t>: most trials involved fewer than 200 participants, with many clustered below 100.</w:t>
      </w:r>
      <w:r w:rsidR="003043CB">
        <w:br/>
      </w:r>
    </w:p>
    <w:p w14:paraId="144A04E6" w14:textId="45762338" w:rsidR="00E75A4B" w:rsidRPr="007A07ED" w:rsidRDefault="00E75A4B" w:rsidP="00C8561A">
      <w:pPr>
        <w:pStyle w:val="Paragraph"/>
      </w:pPr>
      <w:r w:rsidRPr="007A07ED">
        <w:t xml:space="preserve">This reflects the practical limitations of recruiting sufficient numbers for rare disease populations and reinforces the methodological challenges of generating robust evidence in these settings. It also highlights the contrast between platform-enabled trials in common conditions, which can resemble conventional large </w:t>
      </w:r>
      <w:r w:rsidR="004D53B7">
        <w:t>randomised controlled trials</w:t>
      </w:r>
      <w:r w:rsidRPr="007A07ED">
        <w:t>, and those in ultra-rare diseases, which often rely on small cohorts.</w:t>
      </w:r>
    </w:p>
    <w:p w14:paraId="750EF389" w14:textId="77777777" w:rsidR="00CC7185" w:rsidRPr="007A07ED" w:rsidRDefault="00425DFB" w:rsidP="00425DFB">
      <w:pPr>
        <w:pStyle w:val="Numberedheading1"/>
      </w:pPr>
      <w:bookmarkStart w:id="45" w:name="_Toc216093752"/>
      <w:r w:rsidRPr="007A07ED">
        <w:t xml:space="preserve">Methodological considerations for </w:t>
      </w:r>
      <w:r w:rsidR="00CC7185" w:rsidRPr="007A07ED">
        <w:t>HTA</w:t>
      </w:r>
      <w:bookmarkEnd w:id="45"/>
    </w:p>
    <w:p w14:paraId="315846D8" w14:textId="77777777" w:rsidR="00CC7185" w:rsidRPr="007A07ED" w:rsidRDefault="00CC7185" w:rsidP="00CC7185">
      <w:pPr>
        <w:pStyle w:val="Heading2"/>
      </w:pPr>
      <w:bookmarkStart w:id="46" w:name="_Toc216093753"/>
      <w:r w:rsidRPr="007A07ED">
        <w:t>Clinical evidence challenges</w:t>
      </w:r>
      <w:bookmarkEnd w:id="46"/>
    </w:p>
    <w:p w14:paraId="262F94A4" w14:textId="58D998A7" w:rsidR="00E65F89" w:rsidRPr="007A07ED" w:rsidRDefault="00D905B8" w:rsidP="00E65F89">
      <w:pPr>
        <w:pStyle w:val="Paragraph"/>
      </w:pPr>
      <w:r w:rsidRPr="007A07ED">
        <w:t>I</w:t>
      </w:r>
      <w:r w:rsidR="00E65F89" w:rsidRPr="007A07ED">
        <w:t xml:space="preserve">ndividualised therapies </w:t>
      </w:r>
      <w:r w:rsidRPr="007A07ED">
        <w:t xml:space="preserve">are likely to </w:t>
      </w:r>
      <w:r w:rsidR="00E65F89" w:rsidRPr="007A07ED">
        <w:t xml:space="preserve">present significant challenges in the </w:t>
      </w:r>
      <w:r w:rsidRPr="007A07ED">
        <w:t xml:space="preserve">evaluation </w:t>
      </w:r>
      <w:r w:rsidR="00E65F89" w:rsidRPr="007A07ED">
        <w:t>and interpretation of clinical evidence.</w:t>
      </w:r>
      <w:r w:rsidR="00701378">
        <w:t xml:space="preserve"> </w:t>
      </w:r>
      <w:r w:rsidR="00E65F89" w:rsidRPr="007A07ED">
        <w:t xml:space="preserve"> Traditional randomised controlled trials, which are the gold standard for assessing </w:t>
      </w:r>
      <w:r w:rsidR="00F01199" w:rsidRPr="007A07ED">
        <w:t xml:space="preserve">relative </w:t>
      </w:r>
      <w:r w:rsidR="00E65F89" w:rsidRPr="007A07ED">
        <w:t xml:space="preserve">safety and efficacy, may be impractical for many of these therapies </w:t>
      </w:r>
      <w:r w:rsidR="000C7D3E">
        <w:t>because of</w:t>
      </w:r>
      <w:r w:rsidR="00E65F89" w:rsidRPr="007A07ED">
        <w:t xml:space="preserve"> the rarity of conditions they aim to treat. Small patient populations, heterogeneity in genetic mutations, and ethical concerns </w:t>
      </w:r>
      <w:r w:rsidR="00CF483B">
        <w:t>about</w:t>
      </w:r>
      <w:r w:rsidR="00E65F89" w:rsidRPr="007A07ED">
        <w:t xml:space="preserve"> placebo-controlled trials further complicate evidence generation. Instead, alternative methodologies such as single-arm trials, real-world evidence and adaptive trial designs are frequently </w:t>
      </w:r>
      <w:r w:rsidR="00EB065D">
        <w:t>used</w:t>
      </w:r>
      <w:r w:rsidR="00E65F89" w:rsidRPr="007A07ED">
        <w:t xml:space="preserve">. </w:t>
      </w:r>
      <w:r w:rsidR="00EB065D">
        <w:t>But</w:t>
      </w:r>
      <w:r w:rsidR="00E65F89" w:rsidRPr="007A07ED">
        <w:t xml:space="preserve"> these approaches introduce higher levels of uncertainty, particularly in demonstrating long-term clinical benefits. </w:t>
      </w:r>
      <w:r w:rsidR="009C1A0C" w:rsidRPr="007A07ED">
        <w:t>R</w:t>
      </w:r>
      <w:r w:rsidR="00E65F89" w:rsidRPr="007A07ED">
        <w:t>eliance on surrogate endpoints</w:t>
      </w:r>
      <w:r w:rsidR="009C1A0C" w:rsidRPr="007A07ED">
        <w:t xml:space="preserve"> </w:t>
      </w:r>
      <w:r w:rsidR="00B159A7">
        <w:t>that</w:t>
      </w:r>
      <w:r w:rsidR="00B159A7" w:rsidRPr="007A07ED">
        <w:t xml:space="preserve"> </w:t>
      </w:r>
      <w:r w:rsidR="00E65F89" w:rsidRPr="007A07ED">
        <w:t>often lack direct validation as predictors of clinical outcomes</w:t>
      </w:r>
      <w:r w:rsidR="009C1A0C" w:rsidRPr="007A07ED">
        <w:t xml:space="preserve"> </w:t>
      </w:r>
      <w:r w:rsidR="00E65F89" w:rsidRPr="007A07ED">
        <w:t xml:space="preserve">adds complexity to NICE’s </w:t>
      </w:r>
      <w:r w:rsidR="00B159A7">
        <w:t>evaluation</w:t>
      </w:r>
      <w:r w:rsidR="00B159A7" w:rsidRPr="007A07ED">
        <w:t xml:space="preserve"> </w:t>
      </w:r>
      <w:r w:rsidR="00E65F89" w:rsidRPr="007A07ED">
        <w:t>process. As these therapies advance toward regulatory approval, the challenge for NICE will be to establish robust frameworks for evaluating efficacy and cost-effectiveness using non-traditional evidence sources while maintaining rigorous decision-making standards.</w:t>
      </w:r>
    </w:p>
    <w:p w14:paraId="3B5BF294" w14:textId="77777777" w:rsidR="00CC7185" w:rsidRPr="007A07ED" w:rsidRDefault="00CC7185" w:rsidP="00CC7185">
      <w:pPr>
        <w:pStyle w:val="Heading2"/>
      </w:pPr>
      <w:bookmarkStart w:id="47" w:name="_Toc216093754"/>
      <w:r w:rsidRPr="007A07ED">
        <w:t>Economic modelling considerations</w:t>
      </w:r>
      <w:bookmarkEnd w:id="47"/>
    </w:p>
    <w:p w14:paraId="5BC65741" w14:textId="2EC22D7D" w:rsidR="009F2909" w:rsidRPr="007A07ED" w:rsidRDefault="009F2909" w:rsidP="009F2909">
      <w:pPr>
        <w:pStyle w:val="Paragraph"/>
      </w:pPr>
      <w:r w:rsidRPr="007A07ED">
        <w:t>The clinical trial pipeline for siRNA, ASO and AAV-based therapies suggests that many are being developed for rare and ultra-rare conditions, often involving small patient populations. These include hereditary transthyretin amyloidosis, Duchenne muscular dystrophy, Leber congenital amaurosis, and primary hyperoxaluria, as well as ultra-rare diseases like AADC deficiency and CLN7 Batten disease.</w:t>
      </w:r>
    </w:p>
    <w:p w14:paraId="374FC8A9" w14:textId="77777777" w:rsidR="009F2909" w:rsidRPr="007A07ED" w:rsidRDefault="009F2909" w:rsidP="009F2909">
      <w:pPr>
        <w:pStyle w:val="Paragraph"/>
      </w:pPr>
      <w:r w:rsidRPr="007A07ED">
        <w:t>Surrogate endpoints are commonly used, particularly biomarkers and functional scores that do not directly reflect long-term clinical outcomes. In such cases, economic models may rely on surrogate-to-outcome relationships to estimate QALYs, with varying levels of evidence and acceptability across indications.</w:t>
      </w:r>
    </w:p>
    <w:p w14:paraId="2DFF9B34" w14:textId="48539654" w:rsidR="009F2909" w:rsidRPr="007A07ED" w:rsidRDefault="009F2909" w:rsidP="009F2909">
      <w:pPr>
        <w:pStyle w:val="Paragraph"/>
      </w:pPr>
      <w:r w:rsidRPr="007A07ED">
        <w:t xml:space="preserve">The small trial sizes and limited follow-up periods contribute to parameter uncertainty, particularly around treatment effect and duration. </w:t>
      </w:r>
      <w:r w:rsidR="004D2A01">
        <w:t>When</w:t>
      </w:r>
      <w:r w:rsidR="004D2A01" w:rsidRPr="007A07ED">
        <w:t xml:space="preserve"> </w:t>
      </w:r>
      <w:r w:rsidRPr="007A07ED">
        <w:t>data are sparse, assumptions may be needed on disease progression, comparator outcomes and long-term benefit.</w:t>
      </w:r>
    </w:p>
    <w:p w14:paraId="799344F0" w14:textId="49BAFEEA" w:rsidR="009F2909" w:rsidRPr="007A07ED" w:rsidRDefault="009F2909" w:rsidP="009F2909">
      <w:pPr>
        <w:pStyle w:val="Paragraph"/>
      </w:pPr>
      <w:r w:rsidRPr="007A07ED">
        <w:t xml:space="preserve">While this horizon scan did not specifically assess cross-indication platform use, the development of therapies using shared delivery systems may raise future questions around the transferability of modelling assumptions or evidence. </w:t>
      </w:r>
      <w:r w:rsidR="00EB065D">
        <w:t xml:space="preserve">But </w:t>
      </w:r>
      <w:r w:rsidRPr="007A07ED">
        <w:t>differences in disease context are likely to limit generalisability.</w:t>
      </w:r>
    </w:p>
    <w:p w14:paraId="1A9D25C5" w14:textId="2BD6BC52" w:rsidR="009F2909" w:rsidRDefault="009F2909" w:rsidP="00540179">
      <w:pPr>
        <w:pStyle w:val="Paragraph"/>
      </w:pPr>
      <w:r w:rsidRPr="007A07ED">
        <w:t>These considerations highlight potential modelling challenges related to uncertainty, evidence maturity, and extrapolation. Stakeholder engagement will be used to explore these further.</w:t>
      </w:r>
    </w:p>
    <w:p w14:paraId="179B9A74" w14:textId="3B6CA1FE" w:rsidR="00244953" w:rsidRPr="007A07ED" w:rsidRDefault="00645DE1" w:rsidP="00540179">
      <w:pPr>
        <w:pStyle w:val="Paragraph"/>
      </w:pPr>
      <w:r>
        <w:t>Given the increasing prominence of individualised therapies developed through platform technologies, the evaluation challenges described in this section non</w:t>
      </w:r>
      <w:r>
        <w:rPr>
          <w:rFonts w:ascii="Cambria Math" w:hAnsi="Cambria Math" w:cs="Cambria Math"/>
        </w:rPr>
        <w:t>‑</w:t>
      </w:r>
      <w:r>
        <w:t>traditional evidence bases, reliance on surrogate endpoints, small and heterogeneous populations, and modelling uncertainty- are likely to appear more frequently in NICE</w:t>
      </w:r>
      <w:r>
        <w:rPr>
          <w:rFonts w:cs="Arial"/>
        </w:rPr>
        <w:t>’</w:t>
      </w:r>
      <w:r>
        <w:t>s work. As these issues become more common, NICE may need to adapt its methods, allocate additional assessment resources, or explore more efficient and timely ways of conducting assessments. This report does not suggest specific actions but emphasises the growing need for preparedness in these areas</w:t>
      </w:r>
      <w:r w:rsidR="00244953" w:rsidRPr="00244953">
        <w:t>.</w:t>
      </w:r>
    </w:p>
    <w:p w14:paraId="089CC58A" w14:textId="6BEA69E0" w:rsidR="00425DFB" w:rsidRPr="007A07ED" w:rsidRDefault="00425DFB" w:rsidP="00425DFB">
      <w:pPr>
        <w:pStyle w:val="Numberedheading1"/>
      </w:pPr>
      <w:bookmarkStart w:id="48" w:name="_Toc193719548"/>
      <w:bookmarkStart w:id="49" w:name="_Toc216093755"/>
      <w:bookmarkEnd w:id="48"/>
      <w:r w:rsidRPr="007A07ED">
        <w:t>Conclusion</w:t>
      </w:r>
      <w:bookmarkEnd w:id="49"/>
    </w:p>
    <w:p w14:paraId="33BEAB32" w14:textId="0318EE2A" w:rsidR="0048425B" w:rsidRPr="007A07ED" w:rsidRDefault="0048425B" w:rsidP="0048425B">
      <w:pPr>
        <w:pStyle w:val="Heading2"/>
      </w:pPr>
      <w:bookmarkStart w:id="50" w:name="_Toc216093756"/>
      <w:r w:rsidRPr="007A07ED">
        <w:t>Key findings</w:t>
      </w:r>
      <w:bookmarkEnd w:id="50"/>
    </w:p>
    <w:p w14:paraId="74912528" w14:textId="0B414B2A" w:rsidR="00074C61" w:rsidRPr="007A07ED" w:rsidRDefault="00074C61" w:rsidP="00074C61">
      <w:pPr>
        <w:pStyle w:val="Paragraph"/>
      </w:pPr>
      <w:r w:rsidRPr="007A07ED">
        <w:t xml:space="preserve">The growing pipeline of individualised therapies presents both opportunities and challenges for NICE. These technologies have the potential to transform patient outcomes but require careful evaluation </w:t>
      </w:r>
      <w:r w:rsidR="000C7D3E">
        <w:t>because of</w:t>
      </w:r>
      <w:r w:rsidRPr="007A07ED">
        <w:t xml:space="preserve"> their reliance on surrogate endpoints, small patient populations and novel trial designs. The forecasted peak in trial completions between 2024 and 2028 suggests that NICE </w:t>
      </w:r>
      <w:r w:rsidR="003312B4" w:rsidRPr="007A07ED">
        <w:t xml:space="preserve">may need to </w:t>
      </w:r>
      <w:r w:rsidRPr="007A07ED">
        <w:t>proactively refine its HTA methodologies to accommodate this new wave of innovation.</w:t>
      </w:r>
    </w:p>
    <w:p w14:paraId="2B87BC69" w14:textId="629C08CA" w:rsidR="0048425B" w:rsidRPr="007A07ED" w:rsidRDefault="0048425B" w:rsidP="0048425B">
      <w:pPr>
        <w:pStyle w:val="Heading2"/>
      </w:pPr>
      <w:bookmarkStart w:id="51" w:name="_Toc216093757"/>
      <w:r w:rsidRPr="007A07ED">
        <w:t>Limitations</w:t>
      </w:r>
      <w:bookmarkEnd w:id="51"/>
    </w:p>
    <w:p w14:paraId="386C5582" w14:textId="5AEF2144" w:rsidR="00621E33" w:rsidRPr="007A07ED" w:rsidRDefault="00E9252B" w:rsidP="00E9252B">
      <w:pPr>
        <w:pStyle w:val="Paragraph"/>
      </w:pPr>
      <w:r w:rsidRPr="007A07ED">
        <w:t xml:space="preserve">Despite the comprehensive nature of this horizon scanning analysis, several limitations should be acknowledged. First, the dataset relies on </w:t>
      </w:r>
      <w:r w:rsidR="00696540" w:rsidRPr="007A07ED">
        <w:t xml:space="preserve">SPS and UKPharmascan pipelines, which primarily capture late-stage and near-market therapies. As a result, early-phase academic studies or proprietary industry programmes may not be fully represented. This was particularly evident for CRISPR technologies, </w:t>
      </w:r>
      <w:r w:rsidR="00A93F7B">
        <w:t xml:space="preserve">for </w:t>
      </w:r>
      <w:r w:rsidR="00C6016A">
        <w:t>which</w:t>
      </w:r>
      <w:r w:rsidR="00A93F7B" w:rsidRPr="007A07ED">
        <w:t xml:space="preserve"> </w:t>
      </w:r>
      <w:r w:rsidR="00696540" w:rsidRPr="007A07ED">
        <w:t xml:space="preserve">relatively few candidates were identified compared with public trial trackers, reflecting the exclusion of many </w:t>
      </w:r>
      <w:r w:rsidR="00A93F7B">
        <w:t>p</w:t>
      </w:r>
      <w:r w:rsidR="00696540" w:rsidRPr="007A07ED">
        <w:t xml:space="preserve">hase </w:t>
      </w:r>
      <w:r w:rsidR="00A93F7B">
        <w:t>1</w:t>
      </w:r>
      <w:r w:rsidR="00696540" w:rsidRPr="007A07ED">
        <w:t xml:space="preserve"> and academic-led trials from the SPS</w:t>
      </w:r>
      <w:r w:rsidR="00A93F7B">
        <w:t xml:space="preserve"> and </w:t>
      </w:r>
      <w:r w:rsidR="00696540" w:rsidRPr="007A07ED">
        <w:t>UKPharmascan scope.</w:t>
      </w:r>
    </w:p>
    <w:p w14:paraId="68C8C7FB" w14:textId="65D3442C" w:rsidR="00495288" w:rsidRPr="007A07ED" w:rsidRDefault="00985485" w:rsidP="00E9252B">
      <w:pPr>
        <w:pStyle w:val="Paragraph"/>
      </w:pPr>
      <w:r w:rsidRPr="007A07ED">
        <w:t xml:space="preserve">Reliance on </w:t>
      </w:r>
      <w:r w:rsidR="00E9252B" w:rsidRPr="007A07ED">
        <w:t>publicly available clinical trial information</w:t>
      </w:r>
      <w:r w:rsidR="00C33114" w:rsidRPr="007A07ED">
        <w:t xml:space="preserve"> means gaps remain in trial design details (</w:t>
      </w:r>
      <w:r w:rsidR="00D30E2D">
        <w:t>for example,</w:t>
      </w:r>
      <w:r w:rsidR="00C33114" w:rsidRPr="007A07ED">
        <w:t xml:space="preserve"> endpoints</w:t>
      </w:r>
      <w:r w:rsidR="00C6016A">
        <w:t xml:space="preserve"> and</w:t>
      </w:r>
      <w:r w:rsidR="00C33114" w:rsidRPr="007A07ED">
        <w:t xml:space="preserve"> comparators), which can limit interpretation of HTA relevance</w:t>
      </w:r>
      <w:r w:rsidR="00E9252B" w:rsidRPr="007A07ED">
        <w:t xml:space="preserve">. </w:t>
      </w:r>
      <w:r w:rsidR="00C6016A">
        <w:t>Also</w:t>
      </w:r>
      <w:r w:rsidR="00E9252B" w:rsidRPr="007A07ED">
        <w:t xml:space="preserve">, the </w:t>
      </w:r>
      <w:r w:rsidR="00C33114" w:rsidRPr="007A07ED">
        <w:t xml:space="preserve">frequent </w:t>
      </w:r>
      <w:r w:rsidR="00E9252B" w:rsidRPr="007A07ED">
        <w:t xml:space="preserve">use of surrogate endpoints and </w:t>
      </w:r>
      <w:r w:rsidR="00C33114" w:rsidRPr="007A07ED">
        <w:t xml:space="preserve">immature </w:t>
      </w:r>
      <w:r w:rsidR="00E9252B" w:rsidRPr="007A07ED">
        <w:t>real-world evidence introduces uncertainty in predicting long-term outcomes</w:t>
      </w:r>
      <w:r w:rsidR="00D777B7" w:rsidRPr="007A07ED">
        <w:t xml:space="preserve"> and generalisability to NHS populations</w:t>
      </w:r>
      <w:r w:rsidR="00E9252B" w:rsidRPr="007A07ED">
        <w:t xml:space="preserve">. </w:t>
      </w:r>
    </w:p>
    <w:p w14:paraId="0C2FA2D7" w14:textId="00D9AA7F" w:rsidR="00E9252B" w:rsidRPr="007A07ED" w:rsidRDefault="00D777B7" w:rsidP="00E9252B">
      <w:pPr>
        <w:pStyle w:val="Paragraph"/>
      </w:pPr>
      <w:r w:rsidRPr="007A07ED">
        <w:t>R</w:t>
      </w:r>
      <w:r w:rsidR="00E9252B" w:rsidRPr="007A07ED">
        <w:t>egulatory approval timelines remain highly variable, with many therapies lacking confirmed market entry dates, making it challenging to anticipate exact HTA submission patterns. Finally, as individualised therapies continue to evolve, ongoing updates and engagement with key stakeholders will be essential to refine NICE’s evaluation methodologies and ensure preparedness for future submissions.</w:t>
      </w:r>
    </w:p>
    <w:p w14:paraId="5C0FB48F" w14:textId="4F8C4ED8" w:rsidR="006A14A8" w:rsidRPr="007A07ED" w:rsidRDefault="00E57AE6" w:rsidP="00F93F21">
      <w:pPr>
        <w:pStyle w:val="Numberedheading1"/>
      </w:pPr>
      <w:bookmarkStart w:id="52" w:name="_Toc216093758"/>
      <w:r w:rsidRPr="007A07ED">
        <w:t>Project team</w:t>
      </w:r>
      <w:bookmarkEnd w:id="52"/>
      <w:r w:rsidRPr="007A07ED">
        <w:t xml:space="preserve"> </w:t>
      </w:r>
    </w:p>
    <w:p w14:paraId="253CC297" w14:textId="44E3470B" w:rsidR="00AD3B77" w:rsidRPr="007A07ED" w:rsidRDefault="0049439F" w:rsidP="00AD3B77">
      <w:pPr>
        <w:pStyle w:val="NICEnormal"/>
      </w:pPr>
      <w:r w:rsidRPr="007A07ED">
        <w:t xml:space="preserve">Report </w:t>
      </w:r>
      <w:r w:rsidR="0070392A" w:rsidRPr="007A07ED">
        <w:t>co-authors:</w:t>
      </w:r>
    </w:p>
    <w:p w14:paraId="3AD75A3C" w14:textId="696AFAF9" w:rsidR="0070392A" w:rsidRPr="007A07ED" w:rsidRDefault="0070392A" w:rsidP="00AD3B77">
      <w:pPr>
        <w:pStyle w:val="NICEnormal"/>
      </w:pPr>
      <w:r w:rsidRPr="007A07ED">
        <w:t>Oghenekevwe Okoro, Scientific Adviser</w:t>
      </w:r>
    </w:p>
    <w:p w14:paraId="3C10E803" w14:textId="5AE44957" w:rsidR="0070392A" w:rsidRPr="007A07ED" w:rsidRDefault="008D322E" w:rsidP="00AD3B77">
      <w:pPr>
        <w:pStyle w:val="NICEnormal"/>
      </w:pPr>
      <w:r w:rsidRPr="007A07ED">
        <w:t>Jamie Elvidge, Senior Scientific Adviser</w:t>
      </w:r>
    </w:p>
    <w:p w14:paraId="14C3C19A" w14:textId="70161CC0" w:rsidR="00E57AE6" w:rsidRPr="007A07ED" w:rsidRDefault="00E57AE6" w:rsidP="00F93F21">
      <w:pPr>
        <w:pStyle w:val="Numberedheading1"/>
      </w:pPr>
      <w:bookmarkStart w:id="53" w:name="_Toc216093759"/>
      <w:r w:rsidRPr="007A07ED">
        <w:t>Acknowledgements</w:t>
      </w:r>
      <w:bookmarkEnd w:id="53"/>
      <w:r w:rsidRPr="007A07ED">
        <w:t xml:space="preserve"> </w:t>
      </w:r>
    </w:p>
    <w:p w14:paraId="4E8C0551" w14:textId="3EDEBB46" w:rsidR="00E25B0D" w:rsidRPr="007A07ED" w:rsidRDefault="00E25B0D" w:rsidP="00E25B0D">
      <w:pPr>
        <w:pStyle w:val="NICEnormal"/>
      </w:pPr>
      <w:r w:rsidRPr="007A07ED">
        <w:t xml:space="preserve">HTA Lab Project Steering Group </w:t>
      </w:r>
    </w:p>
    <w:p w14:paraId="401B239B" w14:textId="7E24382D" w:rsidR="00E84D54" w:rsidRPr="007A07ED" w:rsidRDefault="00E25B0D" w:rsidP="00E25B0D">
      <w:pPr>
        <w:pStyle w:val="NICEnormal"/>
      </w:pPr>
      <w:r w:rsidRPr="007A07ED">
        <w:t>HTA Lab Delivery Group</w:t>
      </w:r>
    </w:p>
    <w:p w14:paraId="3E943023" w14:textId="230BB74D" w:rsidR="007D0E63" w:rsidRPr="007A07ED" w:rsidRDefault="007D0E63" w:rsidP="00E25B0D">
      <w:pPr>
        <w:pStyle w:val="NICEnormal"/>
      </w:pPr>
      <w:r w:rsidRPr="007A07ED">
        <w:t xml:space="preserve">Horizon Scanning </w:t>
      </w:r>
      <w:r w:rsidR="00D74F7F" w:rsidRPr="007A07ED">
        <w:t>Team at NICE</w:t>
      </w:r>
    </w:p>
    <w:p w14:paraId="7A98ED5D" w14:textId="77777777" w:rsidR="00565BF9" w:rsidRDefault="00565BF9">
      <w:pPr>
        <w:rPr>
          <w:rFonts w:ascii="Arial" w:hAnsi="Arial" w:cs="Arial"/>
          <w:b/>
          <w:bCs/>
          <w:kern w:val="32"/>
          <w:sz w:val="32"/>
          <w:lang w:eastAsia="en-US"/>
        </w:rPr>
      </w:pPr>
      <w:r>
        <w:br w:type="page"/>
      </w:r>
    </w:p>
    <w:p w14:paraId="0475B1BD" w14:textId="62E4B24C" w:rsidR="00E57AE6" w:rsidRPr="007A07ED" w:rsidRDefault="00E57AE6" w:rsidP="00F93F21">
      <w:pPr>
        <w:pStyle w:val="Numberedheading1"/>
      </w:pPr>
      <w:bookmarkStart w:id="54" w:name="_Toc216093760"/>
      <w:r w:rsidRPr="007A07ED">
        <w:t>References</w:t>
      </w:r>
      <w:bookmarkEnd w:id="54"/>
    </w:p>
    <w:p w14:paraId="554835B1" w14:textId="11C820D2" w:rsidR="002F0F61" w:rsidRPr="007A07ED" w:rsidRDefault="003D5B06" w:rsidP="009B780D">
      <w:pPr>
        <w:pStyle w:val="NICEnormal"/>
      </w:pPr>
      <w:r w:rsidRPr="003D5B06">
        <w:t>Department of Health and Social Care (2025) England Rare Diseases Action Plan. Available from: https://www.gov.uk/government/publications/england-rare-diseases-action-plan-2025</w:t>
      </w:r>
    </w:p>
    <w:p w14:paraId="3696323A" w14:textId="1F4A6504" w:rsidR="00121290" w:rsidRPr="007A07ED" w:rsidRDefault="008E6731" w:rsidP="009B780D">
      <w:pPr>
        <w:pStyle w:val="NICEnormal"/>
      </w:pPr>
      <w:r w:rsidRPr="008E6731">
        <w:t>European Commission (2023) Proposal for a directive of the European Parliament and of the Council on the Union code relating to medicinal products for human use. Brussels: European Commission. Available from: https://eur-lex.europa.eu/legal-content/EN/TXT/?uri=CELEX:52023PC0192</w:t>
      </w:r>
    </w:p>
    <w:p w14:paraId="29B29073" w14:textId="4113A776" w:rsidR="00D33F8C" w:rsidRPr="007A07ED" w:rsidRDefault="009047E7" w:rsidP="009B780D">
      <w:pPr>
        <w:pStyle w:val="NICEnormal"/>
      </w:pPr>
      <w:r w:rsidRPr="009047E7">
        <w:t>US Food and Drug Administration (2024) Platform technology designation program for drug development: draft guidance for industry. Silver Spring (MD): FDA. Available from: https://www.fda.gov/regulatory-information/search-fda-guidance-documents/platform-technology-designation-program-drug-development</w:t>
      </w:r>
    </w:p>
    <w:sectPr w:rsidR="00D33F8C" w:rsidRPr="007A07ED" w:rsidSect="008F6FB7">
      <w:headerReference w:type="default" r:id="rId2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5B5CA" w14:textId="77777777" w:rsidR="00D15BBA" w:rsidRDefault="00D15BBA" w:rsidP="00446BEE">
      <w:r>
        <w:separator/>
      </w:r>
    </w:p>
  </w:endnote>
  <w:endnote w:type="continuationSeparator" w:id="0">
    <w:p w14:paraId="20B8DE78" w14:textId="77777777" w:rsidR="00D15BBA" w:rsidRDefault="00D15BBA" w:rsidP="00446BEE">
      <w:r>
        <w:continuationSeparator/>
      </w:r>
    </w:p>
  </w:endnote>
  <w:endnote w:type="continuationNotice" w:id="1">
    <w:p w14:paraId="539FD52C" w14:textId="77777777" w:rsidR="00D15BBA" w:rsidRDefault="00D15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ora SemiBold">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0907" w14:textId="0DB951A4" w:rsidR="00E57AE6" w:rsidRDefault="00E57AE6" w:rsidP="5DD8AEA6">
    <w:pPr>
      <w:tabs>
        <w:tab w:val="right" w:pos="8306"/>
      </w:tabs>
      <w:spacing w:after="240"/>
      <w:rPr>
        <w:rFonts w:ascii="Arial" w:hAnsi="Arial"/>
        <w:color w:val="000000"/>
        <w:sz w:val="18"/>
        <w:szCs w:val="18"/>
        <w:lang w:eastAsia="en-US"/>
      </w:rPr>
    </w:pPr>
    <w:r w:rsidRPr="00E57AE6">
      <w:rPr>
        <w:rFonts w:ascii="Arial" w:hAnsi="Arial" w:cs="Arial"/>
      </w:rPr>
      <w:fldChar w:fldCharType="begin"/>
    </w:r>
    <w:r w:rsidRPr="00E57AE6">
      <w:rPr>
        <w:rFonts w:ascii="Arial" w:hAnsi="Arial" w:cs="Arial"/>
      </w:rPr>
      <w:instrText xml:space="preserve"> PAGE </w:instrText>
    </w:r>
    <w:r w:rsidRPr="00E57AE6">
      <w:rPr>
        <w:rFonts w:ascii="Arial" w:hAnsi="Arial" w:cs="Arial"/>
      </w:rPr>
      <w:fldChar w:fldCharType="separate"/>
    </w:r>
    <w:r w:rsidR="5DD8AEA6">
      <w:rPr>
        <w:rFonts w:ascii="Arial" w:hAnsi="Arial" w:cs="Arial"/>
      </w:rPr>
      <w:t>3</w:t>
    </w:r>
    <w:r w:rsidRPr="00E57AE6">
      <w:rPr>
        <w:rFonts w:ascii="Arial" w:hAnsi="Arial" w:cs="Arial"/>
      </w:rPr>
      <w:fldChar w:fldCharType="end"/>
    </w:r>
    <w:r w:rsidR="5DD8AEA6" w:rsidRPr="00E57AE6">
      <w:rPr>
        <w:rFonts w:ascii="Arial" w:hAnsi="Arial" w:cs="Arial"/>
      </w:rPr>
      <w:t xml:space="preserve"> of </w:t>
    </w:r>
    <w:r w:rsidRPr="00E57AE6">
      <w:rPr>
        <w:rFonts w:ascii="Arial" w:hAnsi="Arial" w:cs="Arial"/>
      </w:rPr>
      <w:fldChar w:fldCharType="begin"/>
    </w:r>
    <w:r w:rsidRPr="00E57AE6">
      <w:rPr>
        <w:rFonts w:ascii="Arial" w:hAnsi="Arial" w:cs="Arial"/>
      </w:rPr>
      <w:instrText>NUMPAGES</w:instrText>
    </w:r>
    <w:r w:rsidRPr="00E57AE6">
      <w:rPr>
        <w:rFonts w:ascii="Arial" w:hAnsi="Arial" w:cs="Arial"/>
      </w:rPr>
      <w:fldChar w:fldCharType="separate"/>
    </w:r>
    <w:r w:rsidR="5DD8AEA6">
      <w:rPr>
        <w:rFonts w:ascii="Arial" w:hAnsi="Arial" w:cs="Arial"/>
      </w:rPr>
      <w:t>4</w:t>
    </w:r>
    <w:r w:rsidRPr="00E57AE6">
      <w:rPr>
        <w:rFonts w:ascii="Arial" w:hAnsi="Arial" w:cs="Arial"/>
      </w:rPr>
      <w:fldChar w:fldCharType="end"/>
    </w:r>
  </w:p>
  <w:p w14:paraId="004DF1E9" w14:textId="3F353929" w:rsidR="007400D7" w:rsidRPr="007400D7" w:rsidRDefault="42753707" w:rsidP="00E57AE6">
    <w:pPr>
      <w:tabs>
        <w:tab w:val="right" w:pos="8306"/>
      </w:tabs>
      <w:spacing w:after="240"/>
      <w:rPr>
        <w:rFonts w:ascii="Arial" w:hAnsi="Arial" w:cs="Arial"/>
        <w:color w:val="000000"/>
        <w:sz w:val="18"/>
        <w:szCs w:val="18"/>
        <w:lang w:eastAsia="en-US"/>
      </w:rPr>
    </w:pPr>
    <w:r w:rsidRPr="42753707">
      <w:rPr>
        <w:rFonts w:ascii="Arial" w:hAnsi="Arial"/>
        <w:color w:val="000000" w:themeColor="text1"/>
        <w:sz w:val="18"/>
        <w:szCs w:val="18"/>
        <w:lang w:eastAsia="en-US"/>
      </w:rPr>
      <w:t>© NICE 2025. All rights reserved. Subject to Notice of rights.</w:t>
    </w:r>
    <w:r w:rsidR="5DD8AEA6">
      <w:tab/>
    </w:r>
  </w:p>
  <w:p w14:paraId="49461CE2" w14:textId="79158ABB" w:rsidR="007400D7" w:rsidRPr="00B75946" w:rsidRDefault="00766C74" w:rsidP="00B75946">
    <w:pPr>
      <w:pStyle w:val="Footer"/>
      <w:rPr>
        <w:color w:val="000000"/>
        <w:sz w:val="18"/>
        <w:szCs w:val="18"/>
        <w:lang w:eastAsia="en-US"/>
      </w:rPr>
    </w:pPr>
    <w:r w:rsidRPr="00766C74">
      <w:rPr>
        <w:color w:val="000000" w:themeColor="text1"/>
        <w:sz w:val="18"/>
        <w:szCs w:val="18"/>
        <w:lang w:eastAsia="en-US"/>
      </w:rPr>
      <w:t>Individualised therapies: a review of the development pipeline for selected technologies</w:t>
    </w:r>
  </w:p>
  <w:p w14:paraId="339F88C0" w14:textId="4D63B87C" w:rsidR="00E57AE6" w:rsidRPr="00E57AE6" w:rsidRDefault="00501788" w:rsidP="00B75946">
    <w:pPr>
      <w:pStyle w:val="Footer"/>
      <w:rPr>
        <w:sz w:val="12"/>
        <w:szCs w:val="12"/>
        <w:lang w:eastAsia="en-US"/>
      </w:rPr>
    </w:pPr>
    <w:r>
      <w:rPr>
        <w:color w:val="000000" w:themeColor="text1"/>
        <w:sz w:val="18"/>
        <w:szCs w:val="18"/>
        <w:lang w:eastAsia="en-US"/>
      </w:rPr>
      <w:t>March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C945" w14:textId="77777777" w:rsidR="00675E74" w:rsidRDefault="00675E74" w:rsidP="00675E74">
    <w:pPr>
      <w:tabs>
        <w:tab w:val="right" w:pos="8306"/>
      </w:tabs>
      <w:spacing w:after="240"/>
      <w:rPr>
        <w:rFonts w:ascii="Arial" w:hAnsi="Arial"/>
        <w:color w:val="000000"/>
        <w:sz w:val="18"/>
        <w:szCs w:val="18"/>
        <w:lang w:eastAsia="en-US"/>
      </w:rPr>
    </w:pPr>
    <w:r w:rsidRPr="00E57AE6">
      <w:rPr>
        <w:rFonts w:ascii="Arial" w:hAnsi="Arial" w:cs="Arial"/>
      </w:rPr>
      <w:fldChar w:fldCharType="begin"/>
    </w:r>
    <w:r w:rsidRPr="00E57AE6">
      <w:rPr>
        <w:rFonts w:ascii="Arial" w:hAnsi="Arial" w:cs="Arial"/>
      </w:rPr>
      <w:instrText xml:space="preserve"> PAGE </w:instrText>
    </w:r>
    <w:r w:rsidRPr="00E57AE6">
      <w:rPr>
        <w:rFonts w:ascii="Arial" w:hAnsi="Arial" w:cs="Arial"/>
      </w:rPr>
      <w:fldChar w:fldCharType="separate"/>
    </w:r>
    <w:r>
      <w:rPr>
        <w:rFonts w:ascii="Arial" w:hAnsi="Arial" w:cs="Arial"/>
      </w:rPr>
      <w:t>5</w:t>
    </w:r>
    <w:r w:rsidRPr="00E57AE6">
      <w:rPr>
        <w:rFonts w:ascii="Arial" w:hAnsi="Arial" w:cs="Arial"/>
      </w:rPr>
      <w:fldChar w:fldCharType="end"/>
    </w:r>
    <w:r w:rsidRPr="00E57AE6">
      <w:rPr>
        <w:rFonts w:ascii="Arial" w:hAnsi="Arial" w:cs="Arial"/>
      </w:rPr>
      <w:t xml:space="preserve"> of </w:t>
    </w:r>
    <w:r w:rsidRPr="00E57AE6">
      <w:rPr>
        <w:rFonts w:ascii="Arial" w:hAnsi="Arial" w:cs="Arial"/>
      </w:rPr>
      <w:fldChar w:fldCharType="begin"/>
    </w:r>
    <w:r w:rsidRPr="00E57AE6">
      <w:rPr>
        <w:rFonts w:ascii="Arial" w:hAnsi="Arial" w:cs="Arial"/>
      </w:rPr>
      <w:instrText>NUMPAGES</w:instrText>
    </w:r>
    <w:r w:rsidRPr="00E57AE6">
      <w:rPr>
        <w:rFonts w:ascii="Arial" w:hAnsi="Arial" w:cs="Arial"/>
      </w:rPr>
      <w:fldChar w:fldCharType="separate"/>
    </w:r>
    <w:r>
      <w:rPr>
        <w:rFonts w:ascii="Arial" w:hAnsi="Arial" w:cs="Arial"/>
      </w:rPr>
      <w:t>22</w:t>
    </w:r>
    <w:r w:rsidRPr="00E57AE6">
      <w:rPr>
        <w:rFonts w:ascii="Arial" w:hAnsi="Arial" w:cs="Arial"/>
      </w:rPr>
      <w:fldChar w:fldCharType="end"/>
    </w:r>
  </w:p>
  <w:p w14:paraId="0AA456BA" w14:textId="77777777" w:rsidR="00675E74" w:rsidRPr="007400D7" w:rsidRDefault="00675E74" w:rsidP="00675E74">
    <w:pPr>
      <w:tabs>
        <w:tab w:val="right" w:pos="8306"/>
      </w:tabs>
      <w:spacing w:after="240"/>
      <w:rPr>
        <w:rFonts w:ascii="Arial" w:hAnsi="Arial" w:cs="Arial"/>
        <w:color w:val="000000"/>
        <w:sz w:val="18"/>
        <w:szCs w:val="18"/>
        <w:lang w:eastAsia="en-US"/>
      </w:rPr>
    </w:pPr>
    <w:r w:rsidRPr="42753707">
      <w:rPr>
        <w:rFonts w:ascii="Arial" w:hAnsi="Arial"/>
        <w:color w:val="000000" w:themeColor="text1"/>
        <w:sz w:val="18"/>
        <w:szCs w:val="18"/>
        <w:lang w:eastAsia="en-US"/>
      </w:rPr>
      <w:t>© NICE 2025. All rights reserved. Subject to Notice of rights.</w:t>
    </w:r>
    <w:r>
      <w:tab/>
    </w:r>
  </w:p>
  <w:p w14:paraId="5D9FDE4F" w14:textId="77777777" w:rsidR="00675E74" w:rsidRPr="00B75946" w:rsidRDefault="00675E74" w:rsidP="00675E74">
    <w:pPr>
      <w:pStyle w:val="Footer"/>
      <w:rPr>
        <w:color w:val="000000"/>
        <w:sz w:val="18"/>
        <w:szCs w:val="18"/>
        <w:lang w:eastAsia="en-US"/>
      </w:rPr>
    </w:pPr>
    <w:r w:rsidRPr="00766C74">
      <w:rPr>
        <w:color w:val="000000" w:themeColor="text1"/>
        <w:sz w:val="18"/>
        <w:szCs w:val="18"/>
        <w:lang w:eastAsia="en-US"/>
      </w:rPr>
      <w:t>Individualised therapies: a review of the development pipeline for selected technologies</w:t>
    </w:r>
  </w:p>
  <w:p w14:paraId="0507C039" w14:textId="14A0AB1A" w:rsidR="008E7826" w:rsidRPr="00C8561A" w:rsidRDefault="00675E74" w:rsidP="008E7826">
    <w:pPr>
      <w:pStyle w:val="Footer"/>
      <w:rPr>
        <w:sz w:val="12"/>
        <w:szCs w:val="12"/>
        <w:lang w:eastAsia="en-US"/>
      </w:rPr>
    </w:pPr>
    <w:r>
      <w:rPr>
        <w:color w:val="000000" w:themeColor="text1"/>
        <w:sz w:val="18"/>
        <w:szCs w:val="18"/>
        <w:lang w:eastAsia="en-US"/>
      </w:rPr>
      <w:t>March 2025</w:t>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8E7826">
      <w:fldChar w:fldCharType="begin"/>
    </w:r>
    <w:r w:rsidR="008E7826">
      <w:instrText>NUMPAGES</w:instrText>
    </w:r>
    <w:r w:rsidR="008E7826">
      <w:fldChar w:fldCharType="separate"/>
    </w:r>
    <w:r w:rsidR="008E7826" w:rsidRPr="008E7826">
      <w:rPr>
        <w:noProof/>
      </w:rPr>
      <w:t>2</w:t>
    </w:r>
    <w:r w:rsidR="008E78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945ED" w14:textId="77777777" w:rsidR="00D15BBA" w:rsidRDefault="00D15BBA" w:rsidP="00446BEE">
      <w:r>
        <w:separator/>
      </w:r>
    </w:p>
  </w:footnote>
  <w:footnote w:type="continuationSeparator" w:id="0">
    <w:p w14:paraId="7008F4C5" w14:textId="77777777" w:rsidR="00D15BBA" w:rsidRDefault="00D15BBA" w:rsidP="00446BEE">
      <w:r>
        <w:continuationSeparator/>
      </w:r>
    </w:p>
  </w:footnote>
  <w:footnote w:type="continuationNotice" w:id="1">
    <w:p w14:paraId="6647562D" w14:textId="77777777" w:rsidR="00D15BBA" w:rsidRDefault="00D15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E4890D0" w14:textId="77777777" w:rsidTr="5DD8AEA6">
      <w:trPr>
        <w:trHeight w:val="300"/>
      </w:trPr>
      <w:tc>
        <w:tcPr>
          <w:tcW w:w="2765" w:type="dxa"/>
        </w:tcPr>
        <w:p w14:paraId="528DF69F" w14:textId="424FB41D" w:rsidR="5DD8AEA6" w:rsidRDefault="5DD8AEA6" w:rsidP="5DD8AEA6">
          <w:pPr>
            <w:pStyle w:val="Header"/>
            <w:ind w:left="-115"/>
          </w:pPr>
        </w:p>
      </w:tc>
      <w:tc>
        <w:tcPr>
          <w:tcW w:w="2765" w:type="dxa"/>
        </w:tcPr>
        <w:p w14:paraId="1624F8F7" w14:textId="532BEFD6" w:rsidR="5DD8AEA6" w:rsidRDefault="5DD8AEA6" w:rsidP="5DD8AEA6">
          <w:pPr>
            <w:pStyle w:val="Header"/>
            <w:jc w:val="center"/>
          </w:pPr>
        </w:p>
      </w:tc>
      <w:tc>
        <w:tcPr>
          <w:tcW w:w="2765" w:type="dxa"/>
        </w:tcPr>
        <w:p w14:paraId="52A55157" w14:textId="7C8E3608" w:rsidR="5DD8AEA6" w:rsidRDefault="5DD8AEA6" w:rsidP="5DD8AEA6">
          <w:pPr>
            <w:pStyle w:val="Header"/>
            <w:ind w:right="-115"/>
            <w:jc w:val="right"/>
          </w:pPr>
        </w:p>
      </w:tc>
    </w:tr>
  </w:tbl>
  <w:p w14:paraId="739027A6" w14:textId="021D9D5C" w:rsidR="5DD8AEA6" w:rsidRDefault="5DD8AEA6" w:rsidP="5DD8A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0030" w14:textId="77777777" w:rsidR="008F6FB7" w:rsidRDefault="008F6FB7">
    <w:pPr>
      <w:pStyle w:val="Header"/>
    </w:pPr>
    <w:r>
      <w:rPr>
        <w:noProof/>
      </w:rPr>
      <w:drawing>
        <wp:anchor distT="0" distB="0" distL="114300" distR="114300" simplePos="0" relativeHeight="251658240" behindDoc="0" locked="0" layoutInCell="1" allowOverlap="1" wp14:anchorId="09DFF5BE" wp14:editId="6FE31FF0">
          <wp:simplePos x="0" y="0"/>
          <wp:positionH relativeFrom="column">
            <wp:posOffset>0</wp:posOffset>
          </wp:positionH>
          <wp:positionV relativeFrom="page">
            <wp:posOffset>447675</wp:posOffset>
          </wp:positionV>
          <wp:extent cx="2444400" cy="252000"/>
          <wp:effectExtent l="0" t="0" r="0" b="0"/>
          <wp:wrapNone/>
          <wp:docPr id="412330231" name="Picture 41233023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3AD7090D" w14:textId="77777777" w:rsidTr="5DD8AEA6">
      <w:trPr>
        <w:trHeight w:val="300"/>
      </w:trPr>
      <w:tc>
        <w:tcPr>
          <w:tcW w:w="2765" w:type="dxa"/>
        </w:tcPr>
        <w:p w14:paraId="6D48A4D3" w14:textId="2E8A55F2" w:rsidR="5DD8AEA6" w:rsidRDefault="5DD8AEA6" w:rsidP="5DD8AEA6">
          <w:pPr>
            <w:pStyle w:val="Header"/>
            <w:ind w:left="-115"/>
          </w:pPr>
        </w:p>
      </w:tc>
      <w:tc>
        <w:tcPr>
          <w:tcW w:w="2765" w:type="dxa"/>
        </w:tcPr>
        <w:p w14:paraId="6690EB49" w14:textId="2E9FFA49" w:rsidR="5DD8AEA6" w:rsidRDefault="5DD8AEA6" w:rsidP="5DD8AEA6">
          <w:pPr>
            <w:pStyle w:val="Header"/>
            <w:jc w:val="center"/>
          </w:pPr>
        </w:p>
      </w:tc>
      <w:tc>
        <w:tcPr>
          <w:tcW w:w="2765" w:type="dxa"/>
        </w:tcPr>
        <w:p w14:paraId="5718B597" w14:textId="551C1D60" w:rsidR="5DD8AEA6" w:rsidRDefault="5DD8AEA6" w:rsidP="5DD8AEA6">
          <w:pPr>
            <w:pStyle w:val="Header"/>
            <w:ind w:right="-115"/>
            <w:jc w:val="right"/>
          </w:pPr>
        </w:p>
      </w:tc>
    </w:tr>
  </w:tbl>
  <w:p w14:paraId="29FD1648" w14:textId="5FF26952" w:rsidR="5DD8AEA6" w:rsidRDefault="5DD8AEA6" w:rsidP="5DD8AE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C18297C" w14:textId="77777777" w:rsidTr="5DD8AEA6">
      <w:trPr>
        <w:trHeight w:val="300"/>
      </w:trPr>
      <w:tc>
        <w:tcPr>
          <w:tcW w:w="2765" w:type="dxa"/>
        </w:tcPr>
        <w:p w14:paraId="04CB7BCE" w14:textId="2F94956F" w:rsidR="5DD8AEA6" w:rsidRDefault="5DD8AEA6" w:rsidP="5DD8AEA6">
          <w:pPr>
            <w:pStyle w:val="Header"/>
            <w:ind w:left="-115"/>
          </w:pPr>
        </w:p>
      </w:tc>
      <w:tc>
        <w:tcPr>
          <w:tcW w:w="2765" w:type="dxa"/>
        </w:tcPr>
        <w:p w14:paraId="49C5B1E1" w14:textId="25EE81F6" w:rsidR="5DD8AEA6" w:rsidRDefault="5DD8AEA6" w:rsidP="5DD8AEA6">
          <w:pPr>
            <w:pStyle w:val="Header"/>
            <w:jc w:val="center"/>
          </w:pPr>
        </w:p>
      </w:tc>
      <w:tc>
        <w:tcPr>
          <w:tcW w:w="2765" w:type="dxa"/>
        </w:tcPr>
        <w:p w14:paraId="52B458A8" w14:textId="74F20C05" w:rsidR="5DD8AEA6" w:rsidRDefault="5DD8AEA6" w:rsidP="5DD8AEA6">
          <w:pPr>
            <w:pStyle w:val="Header"/>
            <w:ind w:right="-115"/>
            <w:jc w:val="right"/>
          </w:pPr>
        </w:p>
      </w:tc>
    </w:tr>
  </w:tbl>
  <w:p w14:paraId="67EBBC3F" w14:textId="34FE9CC0" w:rsidR="5DD8AEA6" w:rsidRDefault="5DD8AEA6" w:rsidP="5DD8A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346F0"/>
    <w:multiLevelType w:val="hybridMultilevel"/>
    <w:tmpl w:val="6D5E52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BE34E8"/>
    <w:multiLevelType w:val="hybridMultilevel"/>
    <w:tmpl w:val="3A842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720765"/>
    <w:multiLevelType w:val="hybridMultilevel"/>
    <w:tmpl w:val="1946F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A51AF7"/>
    <w:multiLevelType w:val="hybridMultilevel"/>
    <w:tmpl w:val="AF5042C6"/>
    <w:lvl w:ilvl="0" w:tplc="3C142DA0">
      <w:start w:val="1"/>
      <w:numFmt w:val="bullet"/>
      <w:lvlText w:val="-"/>
      <w:lvlJc w:val="left"/>
      <w:pPr>
        <w:ind w:left="720" w:hanging="360"/>
      </w:pPr>
      <w:rPr>
        <w:rFonts w:ascii="Calibri" w:hAnsi="Calibri" w:hint="default"/>
      </w:rPr>
    </w:lvl>
    <w:lvl w:ilvl="1" w:tplc="B7B2C1CC">
      <w:start w:val="1"/>
      <w:numFmt w:val="bullet"/>
      <w:lvlText w:val="o"/>
      <w:lvlJc w:val="left"/>
      <w:pPr>
        <w:ind w:left="1440" w:hanging="360"/>
      </w:pPr>
      <w:rPr>
        <w:rFonts w:ascii="Courier New" w:hAnsi="Courier New" w:hint="default"/>
      </w:rPr>
    </w:lvl>
    <w:lvl w:ilvl="2" w:tplc="4670BBEC">
      <w:start w:val="1"/>
      <w:numFmt w:val="bullet"/>
      <w:lvlText w:val=""/>
      <w:lvlJc w:val="left"/>
      <w:pPr>
        <w:ind w:left="2160" w:hanging="360"/>
      </w:pPr>
      <w:rPr>
        <w:rFonts w:ascii="Wingdings" w:hAnsi="Wingdings" w:hint="default"/>
      </w:rPr>
    </w:lvl>
    <w:lvl w:ilvl="3" w:tplc="04F2F41A">
      <w:start w:val="1"/>
      <w:numFmt w:val="bullet"/>
      <w:lvlText w:val=""/>
      <w:lvlJc w:val="left"/>
      <w:pPr>
        <w:ind w:left="2880" w:hanging="360"/>
      </w:pPr>
      <w:rPr>
        <w:rFonts w:ascii="Symbol" w:hAnsi="Symbol" w:hint="default"/>
      </w:rPr>
    </w:lvl>
    <w:lvl w:ilvl="4" w:tplc="29062304">
      <w:start w:val="1"/>
      <w:numFmt w:val="bullet"/>
      <w:lvlText w:val="o"/>
      <w:lvlJc w:val="left"/>
      <w:pPr>
        <w:ind w:left="3600" w:hanging="360"/>
      </w:pPr>
      <w:rPr>
        <w:rFonts w:ascii="Courier New" w:hAnsi="Courier New" w:hint="default"/>
      </w:rPr>
    </w:lvl>
    <w:lvl w:ilvl="5" w:tplc="B8E602E6">
      <w:start w:val="1"/>
      <w:numFmt w:val="bullet"/>
      <w:lvlText w:val=""/>
      <w:lvlJc w:val="left"/>
      <w:pPr>
        <w:ind w:left="4320" w:hanging="360"/>
      </w:pPr>
      <w:rPr>
        <w:rFonts w:ascii="Wingdings" w:hAnsi="Wingdings" w:hint="default"/>
      </w:rPr>
    </w:lvl>
    <w:lvl w:ilvl="6" w:tplc="6FD6D436">
      <w:start w:val="1"/>
      <w:numFmt w:val="bullet"/>
      <w:lvlText w:val=""/>
      <w:lvlJc w:val="left"/>
      <w:pPr>
        <w:ind w:left="5040" w:hanging="360"/>
      </w:pPr>
      <w:rPr>
        <w:rFonts w:ascii="Symbol" w:hAnsi="Symbol" w:hint="default"/>
      </w:rPr>
    </w:lvl>
    <w:lvl w:ilvl="7" w:tplc="CAF0FE4C">
      <w:start w:val="1"/>
      <w:numFmt w:val="bullet"/>
      <w:lvlText w:val="o"/>
      <w:lvlJc w:val="left"/>
      <w:pPr>
        <w:ind w:left="5760" w:hanging="360"/>
      </w:pPr>
      <w:rPr>
        <w:rFonts w:ascii="Courier New" w:hAnsi="Courier New" w:hint="default"/>
      </w:rPr>
    </w:lvl>
    <w:lvl w:ilvl="8" w:tplc="5854065E">
      <w:start w:val="1"/>
      <w:numFmt w:val="bullet"/>
      <w:lvlText w:val=""/>
      <w:lvlJc w:val="left"/>
      <w:pPr>
        <w:ind w:left="6480" w:hanging="360"/>
      </w:pPr>
      <w:rPr>
        <w:rFonts w:ascii="Wingdings" w:hAnsi="Wingdings" w:hint="default"/>
      </w:rPr>
    </w:lvl>
  </w:abstractNum>
  <w:abstractNum w:abstractNumId="14" w15:restartNumberingAfterBreak="0">
    <w:nsid w:val="1F4C5CCB"/>
    <w:multiLevelType w:val="hybridMultilevel"/>
    <w:tmpl w:val="7A8CB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3584"/>
    <w:multiLevelType w:val="multilevel"/>
    <w:tmpl w:val="4CC8F740"/>
    <w:lvl w:ilvl="0">
      <w:start w:val="1"/>
      <w:numFmt w:val="decimal"/>
      <w:pStyle w:val="Numberedheading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3752FAB7"/>
    <w:multiLevelType w:val="hybridMultilevel"/>
    <w:tmpl w:val="51AA6B4A"/>
    <w:lvl w:ilvl="0" w:tplc="5CA82F18">
      <w:start w:val="1"/>
      <w:numFmt w:val="bullet"/>
      <w:lvlText w:val="-"/>
      <w:lvlJc w:val="left"/>
      <w:pPr>
        <w:ind w:left="720" w:hanging="360"/>
      </w:pPr>
      <w:rPr>
        <w:rFonts w:ascii="Calibri" w:hAnsi="Calibri" w:hint="default"/>
      </w:rPr>
    </w:lvl>
    <w:lvl w:ilvl="1" w:tplc="38603EDC">
      <w:start w:val="1"/>
      <w:numFmt w:val="bullet"/>
      <w:lvlText w:val="o"/>
      <w:lvlJc w:val="left"/>
      <w:pPr>
        <w:ind w:left="1440" w:hanging="360"/>
      </w:pPr>
      <w:rPr>
        <w:rFonts w:ascii="Courier New" w:hAnsi="Courier New" w:hint="default"/>
      </w:rPr>
    </w:lvl>
    <w:lvl w:ilvl="2" w:tplc="FBA69648">
      <w:start w:val="1"/>
      <w:numFmt w:val="bullet"/>
      <w:lvlText w:val=""/>
      <w:lvlJc w:val="left"/>
      <w:pPr>
        <w:ind w:left="2160" w:hanging="360"/>
      </w:pPr>
      <w:rPr>
        <w:rFonts w:ascii="Wingdings" w:hAnsi="Wingdings" w:hint="default"/>
      </w:rPr>
    </w:lvl>
    <w:lvl w:ilvl="3" w:tplc="CA76C530">
      <w:start w:val="1"/>
      <w:numFmt w:val="bullet"/>
      <w:lvlText w:val=""/>
      <w:lvlJc w:val="left"/>
      <w:pPr>
        <w:ind w:left="2880" w:hanging="360"/>
      </w:pPr>
      <w:rPr>
        <w:rFonts w:ascii="Symbol" w:hAnsi="Symbol" w:hint="default"/>
      </w:rPr>
    </w:lvl>
    <w:lvl w:ilvl="4" w:tplc="51EC3DF6">
      <w:start w:val="1"/>
      <w:numFmt w:val="bullet"/>
      <w:lvlText w:val="o"/>
      <w:lvlJc w:val="left"/>
      <w:pPr>
        <w:ind w:left="3600" w:hanging="360"/>
      </w:pPr>
      <w:rPr>
        <w:rFonts w:ascii="Courier New" w:hAnsi="Courier New" w:hint="default"/>
      </w:rPr>
    </w:lvl>
    <w:lvl w:ilvl="5" w:tplc="6C72ABAA">
      <w:start w:val="1"/>
      <w:numFmt w:val="bullet"/>
      <w:lvlText w:val=""/>
      <w:lvlJc w:val="left"/>
      <w:pPr>
        <w:ind w:left="4320" w:hanging="360"/>
      </w:pPr>
      <w:rPr>
        <w:rFonts w:ascii="Wingdings" w:hAnsi="Wingdings" w:hint="default"/>
      </w:rPr>
    </w:lvl>
    <w:lvl w:ilvl="6" w:tplc="0584D508">
      <w:start w:val="1"/>
      <w:numFmt w:val="bullet"/>
      <w:lvlText w:val=""/>
      <w:lvlJc w:val="left"/>
      <w:pPr>
        <w:ind w:left="5040" w:hanging="360"/>
      </w:pPr>
      <w:rPr>
        <w:rFonts w:ascii="Symbol" w:hAnsi="Symbol" w:hint="default"/>
      </w:rPr>
    </w:lvl>
    <w:lvl w:ilvl="7" w:tplc="3692D488">
      <w:start w:val="1"/>
      <w:numFmt w:val="bullet"/>
      <w:lvlText w:val="o"/>
      <w:lvlJc w:val="left"/>
      <w:pPr>
        <w:ind w:left="5760" w:hanging="360"/>
      </w:pPr>
      <w:rPr>
        <w:rFonts w:ascii="Courier New" w:hAnsi="Courier New" w:hint="default"/>
      </w:rPr>
    </w:lvl>
    <w:lvl w:ilvl="8" w:tplc="00701548">
      <w:start w:val="1"/>
      <w:numFmt w:val="bullet"/>
      <w:lvlText w:val=""/>
      <w:lvlJc w:val="left"/>
      <w:pPr>
        <w:ind w:left="6480" w:hanging="360"/>
      </w:pPr>
      <w:rPr>
        <w:rFonts w:ascii="Wingdings" w:hAnsi="Wingdings" w:hint="default"/>
      </w:rPr>
    </w:lvl>
  </w:abstractNum>
  <w:abstractNum w:abstractNumId="18" w15:restartNumberingAfterBreak="0">
    <w:nsid w:val="5704A4C3"/>
    <w:multiLevelType w:val="hybridMultilevel"/>
    <w:tmpl w:val="B616ECC4"/>
    <w:lvl w:ilvl="0" w:tplc="A0349782">
      <w:start w:val="1"/>
      <w:numFmt w:val="bullet"/>
      <w:lvlText w:val="-"/>
      <w:lvlJc w:val="left"/>
      <w:pPr>
        <w:ind w:left="720" w:hanging="360"/>
      </w:pPr>
      <w:rPr>
        <w:rFonts w:ascii="Calibri" w:hAnsi="Calibri" w:hint="default"/>
      </w:rPr>
    </w:lvl>
    <w:lvl w:ilvl="1" w:tplc="CF184F74">
      <w:start w:val="1"/>
      <w:numFmt w:val="bullet"/>
      <w:lvlText w:val="o"/>
      <w:lvlJc w:val="left"/>
      <w:pPr>
        <w:ind w:left="1440" w:hanging="360"/>
      </w:pPr>
      <w:rPr>
        <w:rFonts w:ascii="Courier New" w:hAnsi="Courier New" w:hint="default"/>
      </w:rPr>
    </w:lvl>
    <w:lvl w:ilvl="2" w:tplc="68D061D4">
      <w:start w:val="1"/>
      <w:numFmt w:val="bullet"/>
      <w:lvlText w:val=""/>
      <w:lvlJc w:val="left"/>
      <w:pPr>
        <w:ind w:left="2160" w:hanging="360"/>
      </w:pPr>
      <w:rPr>
        <w:rFonts w:ascii="Wingdings" w:hAnsi="Wingdings" w:hint="default"/>
      </w:rPr>
    </w:lvl>
    <w:lvl w:ilvl="3" w:tplc="8B20E59E">
      <w:start w:val="1"/>
      <w:numFmt w:val="bullet"/>
      <w:lvlText w:val=""/>
      <w:lvlJc w:val="left"/>
      <w:pPr>
        <w:ind w:left="2880" w:hanging="360"/>
      </w:pPr>
      <w:rPr>
        <w:rFonts w:ascii="Symbol" w:hAnsi="Symbol" w:hint="default"/>
      </w:rPr>
    </w:lvl>
    <w:lvl w:ilvl="4" w:tplc="6298D8B8">
      <w:start w:val="1"/>
      <w:numFmt w:val="bullet"/>
      <w:lvlText w:val="o"/>
      <w:lvlJc w:val="left"/>
      <w:pPr>
        <w:ind w:left="3600" w:hanging="360"/>
      </w:pPr>
      <w:rPr>
        <w:rFonts w:ascii="Courier New" w:hAnsi="Courier New" w:hint="default"/>
      </w:rPr>
    </w:lvl>
    <w:lvl w:ilvl="5" w:tplc="9E62A812">
      <w:start w:val="1"/>
      <w:numFmt w:val="bullet"/>
      <w:lvlText w:val=""/>
      <w:lvlJc w:val="left"/>
      <w:pPr>
        <w:ind w:left="4320" w:hanging="360"/>
      </w:pPr>
      <w:rPr>
        <w:rFonts w:ascii="Wingdings" w:hAnsi="Wingdings" w:hint="default"/>
      </w:rPr>
    </w:lvl>
    <w:lvl w:ilvl="6" w:tplc="510A4938">
      <w:start w:val="1"/>
      <w:numFmt w:val="bullet"/>
      <w:lvlText w:val=""/>
      <w:lvlJc w:val="left"/>
      <w:pPr>
        <w:ind w:left="5040" w:hanging="360"/>
      </w:pPr>
      <w:rPr>
        <w:rFonts w:ascii="Symbol" w:hAnsi="Symbol" w:hint="default"/>
      </w:rPr>
    </w:lvl>
    <w:lvl w:ilvl="7" w:tplc="5E08EB36">
      <w:start w:val="1"/>
      <w:numFmt w:val="bullet"/>
      <w:lvlText w:val="o"/>
      <w:lvlJc w:val="left"/>
      <w:pPr>
        <w:ind w:left="5760" w:hanging="360"/>
      </w:pPr>
      <w:rPr>
        <w:rFonts w:ascii="Courier New" w:hAnsi="Courier New" w:hint="default"/>
      </w:rPr>
    </w:lvl>
    <w:lvl w:ilvl="8" w:tplc="1D1E8218">
      <w:start w:val="1"/>
      <w:numFmt w:val="bullet"/>
      <w:lvlText w:val=""/>
      <w:lvlJc w:val="left"/>
      <w:pPr>
        <w:ind w:left="6480" w:hanging="360"/>
      </w:pPr>
      <w:rPr>
        <w:rFonts w:ascii="Wingdings" w:hAnsi="Wingdings" w:hint="default"/>
      </w:rPr>
    </w:lvl>
  </w:abstractNum>
  <w:abstractNum w:abstractNumId="19"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C27EEC"/>
    <w:multiLevelType w:val="hybridMultilevel"/>
    <w:tmpl w:val="882A5464"/>
    <w:lvl w:ilvl="0" w:tplc="65CCC20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80F6673"/>
    <w:multiLevelType w:val="hybridMultilevel"/>
    <w:tmpl w:val="0C4049E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5" w15:restartNumberingAfterBreak="0">
    <w:nsid w:val="7FE84C00"/>
    <w:multiLevelType w:val="hybridMultilevel"/>
    <w:tmpl w:val="CCD0B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08505914">
    <w:abstractNumId w:val="18"/>
  </w:num>
  <w:num w:numId="2" w16cid:durableId="1215891292">
    <w:abstractNumId w:val="17"/>
  </w:num>
  <w:num w:numId="3" w16cid:durableId="53815730">
    <w:abstractNumId w:val="13"/>
  </w:num>
  <w:num w:numId="4" w16cid:durableId="63384370">
    <w:abstractNumId w:val="19"/>
  </w:num>
  <w:num w:numId="5" w16cid:durableId="1271931310">
    <w:abstractNumId w:val="23"/>
  </w:num>
  <w:num w:numId="6" w16cid:durableId="987441700">
    <w:abstractNumId w:val="23"/>
    <w:lvlOverride w:ilvl="0">
      <w:startOverride w:val="1"/>
    </w:lvlOverride>
  </w:num>
  <w:num w:numId="7" w16cid:durableId="1499422565">
    <w:abstractNumId w:val="23"/>
    <w:lvlOverride w:ilvl="0">
      <w:startOverride w:val="1"/>
    </w:lvlOverride>
  </w:num>
  <w:num w:numId="8" w16cid:durableId="2069916214">
    <w:abstractNumId w:val="23"/>
    <w:lvlOverride w:ilvl="0">
      <w:startOverride w:val="1"/>
    </w:lvlOverride>
  </w:num>
  <w:num w:numId="9" w16cid:durableId="1714303981">
    <w:abstractNumId w:val="23"/>
    <w:lvlOverride w:ilvl="0">
      <w:startOverride w:val="1"/>
    </w:lvlOverride>
  </w:num>
  <w:num w:numId="10" w16cid:durableId="1383334273">
    <w:abstractNumId w:val="23"/>
    <w:lvlOverride w:ilvl="0">
      <w:startOverride w:val="1"/>
    </w:lvlOverride>
  </w:num>
  <w:num w:numId="11" w16cid:durableId="1773280767">
    <w:abstractNumId w:val="9"/>
  </w:num>
  <w:num w:numId="12" w16cid:durableId="25370262">
    <w:abstractNumId w:val="7"/>
  </w:num>
  <w:num w:numId="13" w16cid:durableId="631717178">
    <w:abstractNumId w:val="6"/>
  </w:num>
  <w:num w:numId="14" w16cid:durableId="229852498">
    <w:abstractNumId w:val="5"/>
  </w:num>
  <w:num w:numId="15" w16cid:durableId="619150223">
    <w:abstractNumId w:val="4"/>
  </w:num>
  <w:num w:numId="16" w16cid:durableId="1727877967">
    <w:abstractNumId w:val="8"/>
  </w:num>
  <w:num w:numId="17" w16cid:durableId="1039671961">
    <w:abstractNumId w:val="3"/>
  </w:num>
  <w:num w:numId="18" w16cid:durableId="1876431772">
    <w:abstractNumId w:val="2"/>
  </w:num>
  <w:num w:numId="19" w16cid:durableId="1799951448">
    <w:abstractNumId w:val="1"/>
  </w:num>
  <w:num w:numId="20" w16cid:durableId="960921361">
    <w:abstractNumId w:val="0"/>
  </w:num>
  <w:num w:numId="21" w16cid:durableId="250091122">
    <w:abstractNumId w:val="15"/>
  </w:num>
  <w:num w:numId="22" w16cid:durableId="1373924523">
    <w:abstractNumId w:val="15"/>
    <w:lvlOverride w:ilvl="0">
      <w:startOverride w:val="1"/>
    </w:lvlOverride>
  </w:num>
  <w:num w:numId="23" w16cid:durableId="399716702">
    <w:abstractNumId w:val="19"/>
  </w:num>
  <w:num w:numId="24" w16cid:durableId="1595244151">
    <w:abstractNumId w:val="23"/>
  </w:num>
  <w:num w:numId="25" w16cid:durableId="368646558">
    <w:abstractNumId w:val="15"/>
  </w:num>
  <w:num w:numId="26" w16cid:durableId="534393170">
    <w:abstractNumId w:val="21"/>
  </w:num>
  <w:num w:numId="27" w16cid:durableId="609512517">
    <w:abstractNumId w:val="24"/>
  </w:num>
  <w:num w:numId="28" w16cid:durableId="1752120768">
    <w:abstractNumId w:val="20"/>
  </w:num>
  <w:num w:numId="29" w16cid:durableId="527569269">
    <w:abstractNumId w:val="12"/>
  </w:num>
  <w:num w:numId="30" w16cid:durableId="341933083">
    <w:abstractNumId w:val="10"/>
  </w:num>
  <w:num w:numId="31" w16cid:durableId="1373649310">
    <w:abstractNumId w:val="11"/>
  </w:num>
  <w:num w:numId="32" w16cid:durableId="1111901251">
    <w:abstractNumId w:val="25"/>
  </w:num>
  <w:num w:numId="33" w16cid:durableId="1466505542">
    <w:abstractNumId w:val="14"/>
  </w:num>
  <w:num w:numId="34" w16cid:durableId="1646274476">
    <w:abstractNumId w:val="16"/>
  </w:num>
  <w:num w:numId="35" w16cid:durableId="1428035579">
    <w:abstractNumId w:val="16"/>
  </w:num>
  <w:num w:numId="36" w16cid:durableId="5629060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A8"/>
    <w:rsid w:val="00004275"/>
    <w:rsid w:val="000053F8"/>
    <w:rsid w:val="0000797C"/>
    <w:rsid w:val="00007AB9"/>
    <w:rsid w:val="00015DF4"/>
    <w:rsid w:val="00016757"/>
    <w:rsid w:val="00016A47"/>
    <w:rsid w:val="00017358"/>
    <w:rsid w:val="00022B1E"/>
    <w:rsid w:val="00024D0A"/>
    <w:rsid w:val="00035E07"/>
    <w:rsid w:val="00036E04"/>
    <w:rsid w:val="000454A6"/>
    <w:rsid w:val="00046F04"/>
    <w:rsid w:val="0004754C"/>
    <w:rsid w:val="00051DEA"/>
    <w:rsid w:val="00053C74"/>
    <w:rsid w:val="00057364"/>
    <w:rsid w:val="000616B8"/>
    <w:rsid w:val="00061B9E"/>
    <w:rsid w:val="0006359B"/>
    <w:rsid w:val="00063DD0"/>
    <w:rsid w:val="0006472B"/>
    <w:rsid w:val="000653DD"/>
    <w:rsid w:val="00065BA9"/>
    <w:rsid w:val="00070065"/>
    <w:rsid w:val="00071C6B"/>
    <w:rsid w:val="00074C61"/>
    <w:rsid w:val="00087604"/>
    <w:rsid w:val="000918F2"/>
    <w:rsid w:val="00093277"/>
    <w:rsid w:val="000947E6"/>
    <w:rsid w:val="00096014"/>
    <w:rsid w:val="000A09A5"/>
    <w:rsid w:val="000A1644"/>
    <w:rsid w:val="000A27FC"/>
    <w:rsid w:val="000A4FEE"/>
    <w:rsid w:val="000B473D"/>
    <w:rsid w:val="000B5873"/>
    <w:rsid w:val="000B5939"/>
    <w:rsid w:val="000C0519"/>
    <w:rsid w:val="000C1B76"/>
    <w:rsid w:val="000C7D3E"/>
    <w:rsid w:val="000D2C9F"/>
    <w:rsid w:val="000D5E49"/>
    <w:rsid w:val="000D62A8"/>
    <w:rsid w:val="000E1425"/>
    <w:rsid w:val="000F1398"/>
    <w:rsid w:val="000F3896"/>
    <w:rsid w:val="00103A71"/>
    <w:rsid w:val="00104ABC"/>
    <w:rsid w:val="00104E73"/>
    <w:rsid w:val="001050B5"/>
    <w:rsid w:val="00107122"/>
    <w:rsid w:val="00107F66"/>
    <w:rsid w:val="00112889"/>
    <w:rsid w:val="001129C0"/>
    <w:rsid w:val="001134E7"/>
    <w:rsid w:val="0011544F"/>
    <w:rsid w:val="001160A2"/>
    <w:rsid w:val="0011624D"/>
    <w:rsid w:val="00116773"/>
    <w:rsid w:val="00116A70"/>
    <w:rsid w:val="00121290"/>
    <w:rsid w:val="00125455"/>
    <w:rsid w:val="001261CA"/>
    <w:rsid w:val="0013113C"/>
    <w:rsid w:val="00131614"/>
    <w:rsid w:val="00133120"/>
    <w:rsid w:val="001336FF"/>
    <w:rsid w:val="00136206"/>
    <w:rsid w:val="00137481"/>
    <w:rsid w:val="00140286"/>
    <w:rsid w:val="00140838"/>
    <w:rsid w:val="001413A2"/>
    <w:rsid w:val="0014460B"/>
    <w:rsid w:val="00144D48"/>
    <w:rsid w:val="00145043"/>
    <w:rsid w:val="001470EA"/>
    <w:rsid w:val="001505B9"/>
    <w:rsid w:val="00152E72"/>
    <w:rsid w:val="0015373A"/>
    <w:rsid w:val="00153E37"/>
    <w:rsid w:val="00154FD1"/>
    <w:rsid w:val="0015575E"/>
    <w:rsid w:val="00157BBE"/>
    <w:rsid w:val="00161167"/>
    <w:rsid w:val="00161CB2"/>
    <w:rsid w:val="001676DF"/>
    <w:rsid w:val="0017062A"/>
    <w:rsid w:val="00171329"/>
    <w:rsid w:val="0017169E"/>
    <w:rsid w:val="00173D4C"/>
    <w:rsid w:val="00176096"/>
    <w:rsid w:val="00177CF1"/>
    <w:rsid w:val="001869AC"/>
    <w:rsid w:val="0019237B"/>
    <w:rsid w:val="00194EC1"/>
    <w:rsid w:val="00195507"/>
    <w:rsid w:val="001A227B"/>
    <w:rsid w:val="001A6635"/>
    <w:rsid w:val="001B0EE9"/>
    <w:rsid w:val="001B2764"/>
    <w:rsid w:val="001B43CC"/>
    <w:rsid w:val="001B65B3"/>
    <w:rsid w:val="001B6FB8"/>
    <w:rsid w:val="001B745E"/>
    <w:rsid w:val="001C04B2"/>
    <w:rsid w:val="001C1FDC"/>
    <w:rsid w:val="001C7964"/>
    <w:rsid w:val="001D138D"/>
    <w:rsid w:val="001D1E20"/>
    <w:rsid w:val="001D5445"/>
    <w:rsid w:val="001D7202"/>
    <w:rsid w:val="001E5F2F"/>
    <w:rsid w:val="001E5F99"/>
    <w:rsid w:val="001E60D6"/>
    <w:rsid w:val="001F1189"/>
    <w:rsid w:val="001F365B"/>
    <w:rsid w:val="001F475D"/>
    <w:rsid w:val="001F55A6"/>
    <w:rsid w:val="001F590C"/>
    <w:rsid w:val="001F670E"/>
    <w:rsid w:val="001F7178"/>
    <w:rsid w:val="0020139D"/>
    <w:rsid w:val="00203AF1"/>
    <w:rsid w:val="002049BA"/>
    <w:rsid w:val="002054EE"/>
    <w:rsid w:val="00205687"/>
    <w:rsid w:val="0021015B"/>
    <w:rsid w:val="002124D5"/>
    <w:rsid w:val="002129AC"/>
    <w:rsid w:val="00213187"/>
    <w:rsid w:val="00215762"/>
    <w:rsid w:val="00216296"/>
    <w:rsid w:val="002177F2"/>
    <w:rsid w:val="00222A26"/>
    <w:rsid w:val="0022329D"/>
    <w:rsid w:val="00224A2B"/>
    <w:rsid w:val="0023066F"/>
    <w:rsid w:val="00231F4E"/>
    <w:rsid w:val="00232749"/>
    <w:rsid w:val="00235659"/>
    <w:rsid w:val="002408EA"/>
    <w:rsid w:val="00240937"/>
    <w:rsid w:val="00244589"/>
    <w:rsid w:val="00244953"/>
    <w:rsid w:val="0024608F"/>
    <w:rsid w:val="0025097C"/>
    <w:rsid w:val="00251D74"/>
    <w:rsid w:val="00252D64"/>
    <w:rsid w:val="0025603E"/>
    <w:rsid w:val="002644A0"/>
    <w:rsid w:val="00265A16"/>
    <w:rsid w:val="00265BD3"/>
    <w:rsid w:val="002713DD"/>
    <w:rsid w:val="00273A1D"/>
    <w:rsid w:val="00281151"/>
    <w:rsid w:val="002819D7"/>
    <w:rsid w:val="00287008"/>
    <w:rsid w:val="002910D4"/>
    <w:rsid w:val="0029300D"/>
    <w:rsid w:val="00294F60"/>
    <w:rsid w:val="00297890"/>
    <w:rsid w:val="002A0652"/>
    <w:rsid w:val="002A741A"/>
    <w:rsid w:val="002B161E"/>
    <w:rsid w:val="002B1DAE"/>
    <w:rsid w:val="002B2391"/>
    <w:rsid w:val="002B494C"/>
    <w:rsid w:val="002B66B6"/>
    <w:rsid w:val="002C1A7E"/>
    <w:rsid w:val="002C2FDF"/>
    <w:rsid w:val="002C31FD"/>
    <w:rsid w:val="002C3BBD"/>
    <w:rsid w:val="002C5415"/>
    <w:rsid w:val="002C6046"/>
    <w:rsid w:val="002C7A24"/>
    <w:rsid w:val="002D23A1"/>
    <w:rsid w:val="002D3376"/>
    <w:rsid w:val="002E15C6"/>
    <w:rsid w:val="002E2970"/>
    <w:rsid w:val="002F0F61"/>
    <w:rsid w:val="002F4AAA"/>
    <w:rsid w:val="00303701"/>
    <w:rsid w:val="003043CB"/>
    <w:rsid w:val="00311ED0"/>
    <w:rsid w:val="00314F27"/>
    <w:rsid w:val="00315D87"/>
    <w:rsid w:val="00323962"/>
    <w:rsid w:val="00325353"/>
    <w:rsid w:val="00330F4E"/>
    <w:rsid w:val="003312B4"/>
    <w:rsid w:val="00334808"/>
    <w:rsid w:val="00341C3A"/>
    <w:rsid w:val="00343452"/>
    <w:rsid w:val="003463DD"/>
    <w:rsid w:val="0035062D"/>
    <w:rsid w:val="003565F5"/>
    <w:rsid w:val="003638F3"/>
    <w:rsid w:val="003648C5"/>
    <w:rsid w:val="00365F4C"/>
    <w:rsid w:val="003722FA"/>
    <w:rsid w:val="00373E7F"/>
    <w:rsid w:val="00374D31"/>
    <w:rsid w:val="003818FC"/>
    <w:rsid w:val="0038204C"/>
    <w:rsid w:val="00397383"/>
    <w:rsid w:val="003A46B4"/>
    <w:rsid w:val="003A5928"/>
    <w:rsid w:val="003B4ABC"/>
    <w:rsid w:val="003B6476"/>
    <w:rsid w:val="003B647B"/>
    <w:rsid w:val="003C533C"/>
    <w:rsid w:val="003C558C"/>
    <w:rsid w:val="003C5596"/>
    <w:rsid w:val="003C79D3"/>
    <w:rsid w:val="003C7AAF"/>
    <w:rsid w:val="003D007F"/>
    <w:rsid w:val="003D149B"/>
    <w:rsid w:val="003D56BD"/>
    <w:rsid w:val="003D5B06"/>
    <w:rsid w:val="003D7834"/>
    <w:rsid w:val="003E0708"/>
    <w:rsid w:val="003E2F76"/>
    <w:rsid w:val="003E664C"/>
    <w:rsid w:val="003E74E7"/>
    <w:rsid w:val="003E7791"/>
    <w:rsid w:val="003E7AFE"/>
    <w:rsid w:val="003F0A04"/>
    <w:rsid w:val="003F0B37"/>
    <w:rsid w:val="003F1C1C"/>
    <w:rsid w:val="003F36DF"/>
    <w:rsid w:val="003F4059"/>
    <w:rsid w:val="003F7507"/>
    <w:rsid w:val="00401C03"/>
    <w:rsid w:val="00401D6C"/>
    <w:rsid w:val="004048B2"/>
    <w:rsid w:val="00405817"/>
    <w:rsid w:val="004075B6"/>
    <w:rsid w:val="004079BD"/>
    <w:rsid w:val="004148E9"/>
    <w:rsid w:val="00415A0B"/>
    <w:rsid w:val="00420952"/>
    <w:rsid w:val="00421A27"/>
    <w:rsid w:val="0042258C"/>
    <w:rsid w:val="00424070"/>
    <w:rsid w:val="00425DFB"/>
    <w:rsid w:val="00426032"/>
    <w:rsid w:val="0042620D"/>
    <w:rsid w:val="00426C41"/>
    <w:rsid w:val="00434104"/>
    <w:rsid w:val="0043567D"/>
    <w:rsid w:val="00440689"/>
    <w:rsid w:val="00445324"/>
    <w:rsid w:val="00446BEE"/>
    <w:rsid w:val="00447BED"/>
    <w:rsid w:val="00450BDC"/>
    <w:rsid w:val="00452041"/>
    <w:rsid w:val="0045652B"/>
    <w:rsid w:val="0046332F"/>
    <w:rsid w:val="004633DE"/>
    <w:rsid w:val="00467517"/>
    <w:rsid w:val="004753FB"/>
    <w:rsid w:val="0048425B"/>
    <w:rsid w:val="00494018"/>
    <w:rsid w:val="0049439F"/>
    <w:rsid w:val="00495288"/>
    <w:rsid w:val="004A14DF"/>
    <w:rsid w:val="004A355C"/>
    <w:rsid w:val="004A4B4F"/>
    <w:rsid w:val="004A5725"/>
    <w:rsid w:val="004B377A"/>
    <w:rsid w:val="004C0D7B"/>
    <w:rsid w:val="004C132A"/>
    <w:rsid w:val="004C24E6"/>
    <w:rsid w:val="004C324A"/>
    <w:rsid w:val="004C32C6"/>
    <w:rsid w:val="004C4B42"/>
    <w:rsid w:val="004C4E73"/>
    <w:rsid w:val="004D10B4"/>
    <w:rsid w:val="004D2A01"/>
    <w:rsid w:val="004D53B7"/>
    <w:rsid w:val="004D7D73"/>
    <w:rsid w:val="004E22C6"/>
    <w:rsid w:val="004E29CC"/>
    <w:rsid w:val="004E423A"/>
    <w:rsid w:val="004E5EE8"/>
    <w:rsid w:val="004E671C"/>
    <w:rsid w:val="004E7127"/>
    <w:rsid w:val="004E7661"/>
    <w:rsid w:val="004F12B4"/>
    <w:rsid w:val="004F3270"/>
    <w:rsid w:val="004F4185"/>
    <w:rsid w:val="004F7020"/>
    <w:rsid w:val="00501788"/>
    <w:rsid w:val="00501B3E"/>
    <w:rsid w:val="00501EDE"/>
    <w:rsid w:val="0050218A"/>
    <w:rsid w:val="005025A1"/>
    <w:rsid w:val="0051442A"/>
    <w:rsid w:val="00516E09"/>
    <w:rsid w:val="0052252A"/>
    <w:rsid w:val="005311E5"/>
    <w:rsid w:val="00534AFE"/>
    <w:rsid w:val="00534F6E"/>
    <w:rsid w:val="00535832"/>
    <w:rsid w:val="00535B56"/>
    <w:rsid w:val="0053692C"/>
    <w:rsid w:val="00536AE0"/>
    <w:rsid w:val="00540179"/>
    <w:rsid w:val="00544641"/>
    <w:rsid w:val="00551C2D"/>
    <w:rsid w:val="00553246"/>
    <w:rsid w:val="005539AC"/>
    <w:rsid w:val="005557C0"/>
    <w:rsid w:val="00557878"/>
    <w:rsid w:val="0056541A"/>
    <w:rsid w:val="005656FE"/>
    <w:rsid w:val="00565BF9"/>
    <w:rsid w:val="0056788F"/>
    <w:rsid w:val="00570764"/>
    <w:rsid w:val="005709B6"/>
    <w:rsid w:val="00575E4C"/>
    <w:rsid w:val="005816B5"/>
    <w:rsid w:val="0058362D"/>
    <w:rsid w:val="0059241E"/>
    <w:rsid w:val="00594C3A"/>
    <w:rsid w:val="005964B4"/>
    <w:rsid w:val="005A02D5"/>
    <w:rsid w:val="005A045C"/>
    <w:rsid w:val="005A2197"/>
    <w:rsid w:val="005A31A0"/>
    <w:rsid w:val="005A3779"/>
    <w:rsid w:val="005C0A0E"/>
    <w:rsid w:val="005C4279"/>
    <w:rsid w:val="005C4418"/>
    <w:rsid w:val="005C621C"/>
    <w:rsid w:val="005C6812"/>
    <w:rsid w:val="005D2B6F"/>
    <w:rsid w:val="005D52D0"/>
    <w:rsid w:val="005D622F"/>
    <w:rsid w:val="005E018D"/>
    <w:rsid w:val="005E1470"/>
    <w:rsid w:val="005E4E1C"/>
    <w:rsid w:val="005E5254"/>
    <w:rsid w:val="005E7E50"/>
    <w:rsid w:val="005E7F43"/>
    <w:rsid w:val="005F2E60"/>
    <w:rsid w:val="005F6651"/>
    <w:rsid w:val="00601C17"/>
    <w:rsid w:val="00602B3F"/>
    <w:rsid w:val="00604C0B"/>
    <w:rsid w:val="00606224"/>
    <w:rsid w:val="00613919"/>
    <w:rsid w:val="0061591A"/>
    <w:rsid w:val="00621E33"/>
    <w:rsid w:val="00623AE5"/>
    <w:rsid w:val="00624140"/>
    <w:rsid w:val="00624EA9"/>
    <w:rsid w:val="006325BE"/>
    <w:rsid w:val="00641437"/>
    <w:rsid w:val="00641562"/>
    <w:rsid w:val="00645DE1"/>
    <w:rsid w:val="00646959"/>
    <w:rsid w:val="0065453C"/>
    <w:rsid w:val="00655A98"/>
    <w:rsid w:val="00655F94"/>
    <w:rsid w:val="00656BB1"/>
    <w:rsid w:val="006606D0"/>
    <w:rsid w:val="00661044"/>
    <w:rsid w:val="00663002"/>
    <w:rsid w:val="00663AA3"/>
    <w:rsid w:val="006709A9"/>
    <w:rsid w:val="00675E74"/>
    <w:rsid w:val="006775E5"/>
    <w:rsid w:val="006802A7"/>
    <w:rsid w:val="006822AC"/>
    <w:rsid w:val="006844DE"/>
    <w:rsid w:val="006877C7"/>
    <w:rsid w:val="00687E3E"/>
    <w:rsid w:val="006921E1"/>
    <w:rsid w:val="00696540"/>
    <w:rsid w:val="00696C0A"/>
    <w:rsid w:val="006A14A8"/>
    <w:rsid w:val="006A28FB"/>
    <w:rsid w:val="006B16C5"/>
    <w:rsid w:val="006B4EEF"/>
    <w:rsid w:val="006B58FE"/>
    <w:rsid w:val="006C2A9F"/>
    <w:rsid w:val="006C3E12"/>
    <w:rsid w:val="006D207E"/>
    <w:rsid w:val="006D2565"/>
    <w:rsid w:val="006D365E"/>
    <w:rsid w:val="006D4C33"/>
    <w:rsid w:val="006E010C"/>
    <w:rsid w:val="006E256C"/>
    <w:rsid w:val="006E462F"/>
    <w:rsid w:val="006E52D0"/>
    <w:rsid w:val="006E5E84"/>
    <w:rsid w:val="006E6625"/>
    <w:rsid w:val="006F7F5A"/>
    <w:rsid w:val="00701378"/>
    <w:rsid w:val="00702EB9"/>
    <w:rsid w:val="0070392A"/>
    <w:rsid w:val="00705355"/>
    <w:rsid w:val="007063B9"/>
    <w:rsid w:val="00706859"/>
    <w:rsid w:val="00710B8F"/>
    <w:rsid w:val="00713CE8"/>
    <w:rsid w:val="007156DB"/>
    <w:rsid w:val="00715B1B"/>
    <w:rsid w:val="00716DFC"/>
    <w:rsid w:val="00716FF7"/>
    <w:rsid w:val="00725CEA"/>
    <w:rsid w:val="00727EEC"/>
    <w:rsid w:val="00734E8E"/>
    <w:rsid w:val="00735BC3"/>
    <w:rsid w:val="00736348"/>
    <w:rsid w:val="007371F3"/>
    <w:rsid w:val="007400D7"/>
    <w:rsid w:val="007408E9"/>
    <w:rsid w:val="007459CC"/>
    <w:rsid w:val="00750531"/>
    <w:rsid w:val="00752644"/>
    <w:rsid w:val="0075348C"/>
    <w:rsid w:val="00757387"/>
    <w:rsid w:val="0076136B"/>
    <w:rsid w:val="00761941"/>
    <w:rsid w:val="0076440F"/>
    <w:rsid w:val="00766C74"/>
    <w:rsid w:val="0077376B"/>
    <w:rsid w:val="00773933"/>
    <w:rsid w:val="0077731C"/>
    <w:rsid w:val="007809C0"/>
    <w:rsid w:val="007815E3"/>
    <w:rsid w:val="00781C41"/>
    <w:rsid w:val="007828AC"/>
    <w:rsid w:val="00785CBA"/>
    <w:rsid w:val="00792564"/>
    <w:rsid w:val="007A07ED"/>
    <w:rsid w:val="007A2594"/>
    <w:rsid w:val="007A2708"/>
    <w:rsid w:val="007A3599"/>
    <w:rsid w:val="007A39CD"/>
    <w:rsid w:val="007C0141"/>
    <w:rsid w:val="007C5857"/>
    <w:rsid w:val="007D0E63"/>
    <w:rsid w:val="007D2388"/>
    <w:rsid w:val="007E0D14"/>
    <w:rsid w:val="007E4387"/>
    <w:rsid w:val="007F11B1"/>
    <w:rsid w:val="00810903"/>
    <w:rsid w:val="00817FC9"/>
    <w:rsid w:val="00820F28"/>
    <w:rsid w:val="00833D8A"/>
    <w:rsid w:val="00834A1B"/>
    <w:rsid w:val="00835A01"/>
    <w:rsid w:val="00836224"/>
    <w:rsid w:val="008412CC"/>
    <w:rsid w:val="00841C0A"/>
    <w:rsid w:val="00842275"/>
    <w:rsid w:val="008429DF"/>
    <w:rsid w:val="00846468"/>
    <w:rsid w:val="00860081"/>
    <w:rsid w:val="00861B92"/>
    <w:rsid w:val="00864446"/>
    <w:rsid w:val="00870146"/>
    <w:rsid w:val="008721A3"/>
    <w:rsid w:val="00876011"/>
    <w:rsid w:val="008814FB"/>
    <w:rsid w:val="00887AC4"/>
    <w:rsid w:val="00887E07"/>
    <w:rsid w:val="008921B4"/>
    <w:rsid w:val="00895882"/>
    <w:rsid w:val="008A41BF"/>
    <w:rsid w:val="008A79C3"/>
    <w:rsid w:val="008B04AA"/>
    <w:rsid w:val="008B0F46"/>
    <w:rsid w:val="008B29C5"/>
    <w:rsid w:val="008C3375"/>
    <w:rsid w:val="008D017F"/>
    <w:rsid w:val="008D140D"/>
    <w:rsid w:val="008D322E"/>
    <w:rsid w:val="008D3862"/>
    <w:rsid w:val="008D6050"/>
    <w:rsid w:val="008E20FA"/>
    <w:rsid w:val="008E6731"/>
    <w:rsid w:val="008E7826"/>
    <w:rsid w:val="008F5E30"/>
    <w:rsid w:val="008F63BE"/>
    <w:rsid w:val="008F6FB7"/>
    <w:rsid w:val="0090420E"/>
    <w:rsid w:val="009047E7"/>
    <w:rsid w:val="009048DD"/>
    <w:rsid w:val="00904992"/>
    <w:rsid w:val="00910B5F"/>
    <w:rsid w:val="00912B22"/>
    <w:rsid w:val="00913879"/>
    <w:rsid w:val="00914D7F"/>
    <w:rsid w:val="00915730"/>
    <w:rsid w:val="00917987"/>
    <w:rsid w:val="00922538"/>
    <w:rsid w:val="00934DDC"/>
    <w:rsid w:val="009361DA"/>
    <w:rsid w:val="00940C3C"/>
    <w:rsid w:val="009416FF"/>
    <w:rsid w:val="009430C5"/>
    <w:rsid w:val="009464AC"/>
    <w:rsid w:val="00956648"/>
    <w:rsid w:val="00956E95"/>
    <w:rsid w:val="00964078"/>
    <w:rsid w:val="00964224"/>
    <w:rsid w:val="00970359"/>
    <w:rsid w:val="0097265F"/>
    <w:rsid w:val="0097305A"/>
    <w:rsid w:val="00974AFD"/>
    <w:rsid w:val="00975A34"/>
    <w:rsid w:val="009818A7"/>
    <w:rsid w:val="00982E11"/>
    <w:rsid w:val="00985485"/>
    <w:rsid w:val="00985DD6"/>
    <w:rsid w:val="009912CC"/>
    <w:rsid w:val="00992421"/>
    <w:rsid w:val="00993329"/>
    <w:rsid w:val="009937D7"/>
    <w:rsid w:val="009972EF"/>
    <w:rsid w:val="009A4886"/>
    <w:rsid w:val="009A52CA"/>
    <w:rsid w:val="009A539A"/>
    <w:rsid w:val="009A639D"/>
    <w:rsid w:val="009A689F"/>
    <w:rsid w:val="009B50F5"/>
    <w:rsid w:val="009B780D"/>
    <w:rsid w:val="009C1A0C"/>
    <w:rsid w:val="009D2C1F"/>
    <w:rsid w:val="009D34FA"/>
    <w:rsid w:val="009D4F1B"/>
    <w:rsid w:val="009E00CD"/>
    <w:rsid w:val="009E30ED"/>
    <w:rsid w:val="009E494D"/>
    <w:rsid w:val="009E4CFC"/>
    <w:rsid w:val="009E680B"/>
    <w:rsid w:val="009F1206"/>
    <w:rsid w:val="009F1885"/>
    <w:rsid w:val="009F1D3C"/>
    <w:rsid w:val="009F2909"/>
    <w:rsid w:val="009F31C7"/>
    <w:rsid w:val="00A007F4"/>
    <w:rsid w:val="00A00B70"/>
    <w:rsid w:val="00A02401"/>
    <w:rsid w:val="00A057CB"/>
    <w:rsid w:val="00A06721"/>
    <w:rsid w:val="00A14598"/>
    <w:rsid w:val="00A15A1F"/>
    <w:rsid w:val="00A1793C"/>
    <w:rsid w:val="00A27F88"/>
    <w:rsid w:val="00A3325A"/>
    <w:rsid w:val="00A36CA7"/>
    <w:rsid w:val="00A41641"/>
    <w:rsid w:val="00A41D73"/>
    <w:rsid w:val="00A43013"/>
    <w:rsid w:val="00A51F43"/>
    <w:rsid w:val="00A53007"/>
    <w:rsid w:val="00A54F20"/>
    <w:rsid w:val="00A555F5"/>
    <w:rsid w:val="00A6025E"/>
    <w:rsid w:val="00A61DDF"/>
    <w:rsid w:val="00A62344"/>
    <w:rsid w:val="00A6252D"/>
    <w:rsid w:val="00A65248"/>
    <w:rsid w:val="00A70135"/>
    <w:rsid w:val="00A7290D"/>
    <w:rsid w:val="00A72D9A"/>
    <w:rsid w:val="00A75729"/>
    <w:rsid w:val="00A82C85"/>
    <w:rsid w:val="00A85DC2"/>
    <w:rsid w:val="00A92FC8"/>
    <w:rsid w:val="00A93F7B"/>
    <w:rsid w:val="00AB2A98"/>
    <w:rsid w:val="00AB4CB4"/>
    <w:rsid w:val="00AC1AB2"/>
    <w:rsid w:val="00AC2052"/>
    <w:rsid w:val="00AC4925"/>
    <w:rsid w:val="00AC5EA0"/>
    <w:rsid w:val="00AC640E"/>
    <w:rsid w:val="00AD2A37"/>
    <w:rsid w:val="00AD2CDB"/>
    <w:rsid w:val="00AD3B77"/>
    <w:rsid w:val="00AD4BE3"/>
    <w:rsid w:val="00AD5132"/>
    <w:rsid w:val="00AE6980"/>
    <w:rsid w:val="00AE7703"/>
    <w:rsid w:val="00AF108A"/>
    <w:rsid w:val="00AF44F0"/>
    <w:rsid w:val="00AF7F01"/>
    <w:rsid w:val="00B02E55"/>
    <w:rsid w:val="00B036C1"/>
    <w:rsid w:val="00B05FDC"/>
    <w:rsid w:val="00B14362"/>
    <w:rsid w:val="00B159A7"/>
    <w:rsid w:val="00B24300"/>
    <w:rsid w:val="00B355B6"/>
    <w:rsid w:val="00B37B7D"/>
    <w:rsid w:val="00B431E1"/>
    <w:rsid w:val="00B45227"/>
    <w:rsid w:val="00B5431F"/>
    <w:rsid w:val="00B56A61"/>
    <w:rsid w:val="00B5785D"/>
    <w:rsid w:val="00B63120"/>
    <w:rsid w:val="00B6341F"/>
    <w:rsid w:val="00B6397A"/>
    <w:rsid w:val="00B65A11"/>
    <w:rsid w:val="00B6769E"/>
    <w:rsid w:val="00B73D72"/>
    <w:rsid w:val="00B75946"/>
    <w:rsid w:val="00B8048C"/>
    <w:rsid w:val="00B82B9E"/>
    <w:rsid w:val="00B8559F"/>
    <w:rsid w:val="00B96CCA"/>
    <w:rsid w:val="00BA2BFB"/>
    <w:rsid w:val="00BA2D59"/>
    <w:rsid w:val="00BA3846"/>
    <w:rsid w:val="00BB1E85"/>
    <w:rsid w:val="00BB40F5"/>
    <w:rsid w:val="00BC184B"/>
    <w:rsid w:val="00BC20C9"/>
    <w:rsid w:val="00BC3807"/>
    <w:rsid w:val="00BD39F3"/>
    <w:rsid w:val="00BD44F4"/>
    <w:rsid w:val="00BD6773"/>
    <w:rsid w:val="00BD7D42"/>
    <w:rsid w:val="00BE4A33"/>
    <w:rsid w:val="00BE6118"/>
    <w:rsid w:val="00BF0086"/>
    <w:rsid w:val="00BF21F7"/>
    <w:rsid w:val="00BF22B9"/>
    <w:rsid w:val="00BF4341"/>
    <w:rsid w:val="00BF7FE0"/>
    <w:rsid w:val="00C03CC2"/>
    <w:rsid w:val="00C07D87"/>
    <w:rsid w:val="00C101BE"/>
    <w:rsid w:val="00C11DF9"/>
    <w:rsid w:val="00C122A3"/>
    <w:rsid w:val="00C21CC9"/>
    <w:rsid w:val="00C2289E"/>
    <w:rsid w:val="00C23133"/>
    <w:rsid w:val="00C2674C"/>
    <w:rsid w:val="00C32ED4"/>
    <w:rsid w:val="00C33114"/>
    <w:rsid w:val="00C3496C"/>
    <w:rsid w:val="00C36044"/>
    <w:rsid w:val="00C414E6"/>
    <w:rsid w:val="00C41A0D"/>
    <w:rsid w:val="00C4497C"/>
    <w:rsid w:val="00C53D80"/>
    <w:rsid w:val="00C6016A"/>
    <w:rsid w:val="00C6040E"/>
    <w:rsid w:val="00C6096B"/>
    <w:rsid w:val="00C62353"/>
    <w:rsid w:val="00C636A2"/>
    <w:rsid w:val="00C6739D"/>
    <w:rsid w:val="00C70F32"/>
    <w:rsid w:val="00C71C93"/>
    <w:rsid w:val="00C71D79"/>
    <w:rsid w:val="00C73D62"/>
    <w:rsid w:val="00C746FC"/>
    <w:rsid w:val="00C7607D"/>
    <w:rsid w:val="00C77AFE"/>
    <w:rsid w:val="00C77C66"/>
    <w:rsid w:val="00C804A1"/>
    <w:rsid w:val="00C81F4D"/>
    <w:rsid w:val="00C8561A"/>
    <w:rsid w:val="00C85682"/>
    <w:rsid w:val="00C87BC0"/>
    <w:rsid w:val="00C90176"/>
    <w:rsid w:val="00C932F1"/>
    <w:rsid w:val="00C958C6"/>
    <w:rsid w:val="00C96411"/>
    <w:rsid w:val="00CA0693"/>
    <w:rsid w:val="00CA73F1"/>
    <w:rsid w:val="00CB03D0"/>
    <w:rsid w:val="00CB0873"/>
    <w:rsid w:val="00CB08E6"/>
    <w:rsid w:val="00CB1E15"/>
    <w:rsid w:val="00CB2369"/>
    <w:rsid w:val="00CB5895"/>
    <w:rsid w:val="00CC1751"/>
    <w:rsid w:val="00CC4C44"/>
    <w:rsid w:val="00CC7185"/>
    <w:rsid w:val="00CD07EB"/>
    <w:rsid w:val="00CD2FB4"/>
    <w:rsid w:val="00CE0439"/>
    <w:rsid w:val="00CE2077"/>
    <w:rsid w:val="00CE242F"/>
    <w:rsid w:val="00CE2607"/>
    <w:rsid w:val="00CE7016"/>
    <w:rsid w:val="00CE75C2"/>
    <w:rsid w:val="00CF1395"/>
    <w:rsid w:val="00CF2E5C"/>
    <w:rsid w:val="00CF483B"/>
    <w:rsid w:val="00CF4BD4"/>
    <w:rsid w:val="00CF58B7"/>
    <w:rsid w:val="00D02175"/>
    <w:rsid w:val="00D02A8F"/>
    <w:rsid w:val="00D0402F"/>
    <w:rsid w:val="00D1043B"/>
    <w:rsid w:val="00D113F6"/>
    <w:rsid w:val="00D1335D"/>
    <w:rsid w:val="00D15BBA"/>
    <w:rsid w:val="00D1659E"/>
    <w:rsid w:val="00D1699D"/>
    <w:rsid w:val="00D1716D"/>
    <w:rsid w:val="00D21C35"/>
    <w:rsid w:val="00D2624A"/>
    <w:rsid w:val="00D30E2D"/>
    <w:rsid w:val="00D32987"/>
    <w:rsid w:val="00D33F8C"/>
    <w:rsid w:val="00D351C1"/>
    <w:rsid w:val="00D35EFB"/>
    <w:rsid w:val="00D361B7"/>
    <w:rsid w:val="00D42EBB"/>
    <w:rsid w:val="00D42F90"/>
    <w:rsid w:val="00D44889"/>
    <w:rsid w:val="00D47D55"/>
    <w:rsid w:val="00D504B3"/>
    <w:rsid w:val="00D6006A"/>
    <w:rsid w:val="00D60B28"/>
    <w:rsid w:val="00D6198B"/>
    <w:rsid w:val="00D6231D"/>
    <w:rsid w:val="00D6240C"/>
    <w:rsid w:val="00D62832"/>
    <w:rsid w:val="00D63D89"/>
    <w:rsid w:val="00D64C3B"/>
    <w:rsid w:val="00D65596"/>
    <w:rsid w:val="00D713E6"/>
    <w:rsid w:val="00D74F7F"/>
    <w:rsid w:val="00D75C71"/>
    <w:rsid w:val="00D777B7"/>
    <w:rsid w:val="00D8090E"/>
    <w:rsid w:val="00D80A46"/>
    <w:rsid w:val="00D85AB8"/>
    <w:rsid w:val="00D86BF0"/>
    <w:rsid w:val="00D872A1"/>
    <w:rsid w:val="00D905B8"/>
    <w:rsid w:val="00DA4AD4"/>
    <w:rsid w:val="00DA632C"/>
    <w:rsid w:val="00DB2161"/>
    <w:rsid w:val="00DB2FE1"/>
    <w:rsid w:val="00DC12BA"/>
    <w:rsid w:val="00DC148F"/>
    <w:rsid w:val="00DC4AAD"/>
    <w:rsid w:val="00DC4D3F"/>
    <w:rsid w:val="00DC4E10"/>
    <w:rsid w:val="00DC6387"/>
    <w:rsid w:val="00DD387F"/>
    <w:rsid w:val="00DD7966"/>
    <w:rsid w:val="00DE3672"/>
    <w:rsid w:val="00DE711E"/>
    <w:rsid w:val="00DF1B54"/>
    <w:rsid w:val="00DF4CFB"/>
    <w:rsid w:val="00DF6C67"/>
    <w:rsid w:val="00DF7AE5"/>
    <w:rsid w:val="00E03ABF"/>
    <w:rsid w:val="00E11C9A"/>
    <w:rsid w:val="00E1309C"/>
    <w:rsid w:val="00E201D5"/>
    <w:rsid w:val="00E22AC6"/>
    <w:rsid w:val="00E243E7"/>
    <w:rsid w:val="00E2440E"/>
    <w:rsid w:val="00E25B0D"/>
    <w:rsid w:val="00E332E4"/>
    <w:rsid w:val="00E469AE"/>
    <w:rsid w:val="00E50042"/>
    <w:rsid w:val="00E51079"/>
    <w:rsid w:val="00E51920"/>
    <w:rsid w:val="00E546C5"/>
    <w:rsid w:val="00E559BB"/>
    <w:rsid w:val="00E56BE9"/>
    <w:rsid w:val="00E57AE6"/>
    <w:rsid w:val="00E64120"/>
    <w:rsid w:val="00E64F4A"/>
    <w:rsid w:val="00E65F89"/>
    <w:rsid w:val="00E660A1"/>
    <w:rsid w:val="00E66A7F"/>
    <w:rsid w:val="00E72AE9"/>
    <w:rsid w:val="00E7415F"/>
    <w:rsid w:val="00E75A4B"/>
    <w:rsid w:val="00E8270A"/>
    <w:rsid w:val="00E82CB1"/>
    <w:rsid w:val="00E84D54"/>
    <w:rsid w:val="00E851C4"/>
    <w:rsid w:val="00E85763"/>
    <w:rsid w:val="00E86146"/>
    <w:rsid w:val="00E86AC4"/>
    <w:rsid w:val="00E86F2C"/>
    <w:rsid w:val="00E9252B"/>
    <w:rsid w:val="00E92E14"/>
    <w:rsid w:val="00E95E44"/>
    <w:rsid w:val="00EA1656"/>
    <w:rsid w:val="00EA34B0"/>
    <w:rsid w:val="00EA3E4B"/>
    <w:rsid w:val="00EA4F33"/>
    <w:rsid w:val="00EA5237"/>
    <w:rsid w:val="00EA70AB"/>
    <w:rsid w:val="00EB065D"/>
    <w:rsid w:val="00EB096F"/>
    <w:rsid w:val="00EB1CEF"/>
    <w:rsid w:val="00EB1E68"/>
    <w:rsid w:val="00EB244C"/>
    <w:rsid w:val="00EB7488"/>
    <w:rsid w:val="00EC10AE"/>
    <w:rsid w:val="00ED069F"/>
    <w:rsid w:val="00ED1B8E"/>
    <w:rsid w:val="00ED449E"/>
    <w:rsid w:val="00ED7CA5"/>
    <w:rsid w:val="00EE0817"/>
    <w:rsid w:val="00EE0BBC"/>
    <w:rsid w:val="00EE26BE"/>
    <w:rsid w:val="00EE3A78"/>
    <w:rsid w:val="00EF1064"/>
    <w:rsid w:val="00EF1412"/>
    <w:rsid w:val="00EF294A"/>
    <w:rsid w:val="00F00D13"/>
    <w:rsid w:val="00F01199"/>
    <w:rsid w:val="00F055F1"/>
    <w:rsid w:val="00F0593C"/>
    <w:rsid w:val="00F05C6D"/>
    <w:rsid w:val="00F06BE4"/>
    <w:rsid w:val="00F1321B"/>
    <w:rsid w:val="00F14A4E"/>
    <w:rsid w:val="00F23581"/>
    <w:rsid w:val="00F24CBE"/>
    <w:rsid w:val="00F24DEB"/>
    <w:rsid w:val="00F310FE"/>
    <w:rsid w:val="00F312CD"/>
    <w:rsid w:val="00F31715"/>
    <w:rsid w:val="00F379F1"/>
    <w:rsid w:val="00F37CA4"/>
    <w:rsid w:val="00F4412E"/>
    <w:rsid w:val="00F45081"/>
    <w:rsid w:val="00F46EBC"/>
    <w:rsid w:val="00F53391"/>
    <w:rsid w:val="00F54AEF"/>
    <w:rsid w:val="00F56C79"/>
    <w:rsid w:val="00F610AF"/>
    <w:rsid w:val="00F62EFB"/>
    <w:rsid w:val="00F71E5E"/>
    <w:rsid w:val="00F72DC5"/>
    <w:rsid w:val="00F7375F"/>
    <w:rsid w:val="00F75A35"/>
    <w:rsid w:val="00F77BE3"/>
    <w:rsid w:val="00F814FA"/>
    <w:rsid w:val="00F82436"/>
    <w:rsid w:val="00F832E2"/>
    <w:rsid w:val="00F87F80"/>
    <w:rsid w:val="00F919CF"/>
    <w:rsid w:val="00F93F21"/>
    <w:rsid w:val="00F9611C"/>
    <w:rsid w:val="00FA1A2A"/>
    <w:rsid w:val="00FA2C5A"/>
    <w:rsid w:val="00FA51A9"/>
    <w:rsid w:val="00FB3298"/>
    <w:rsid w:val="00FB4C70"/>
    <w:rsid w:val="00FB57BA"/>
    <w:rsid w:val="00FB6EC2"/>
    <w:rsid w:val="00FC1558"/>
    <w:rsid w:val="00FC2D11"/>
    <w:rsid w:val="00FC6230"/>
    <w:rsid w:val="00FD037E"/>
    <w:rsid w:val="00FE460E"/>
    <w:rsid w:val="00FF0EA5"/>
    <w:rsid w:val="00FF155F"/>
    <w:rsid w:val="00FF2893"/>
    <w:rsid w:val="00FF3FDB"/>
    <w:rsid w:val="00FF61E7"/>
    <w:rsid w:val="00FF6A0C"/>
    <w:rsid w:val="00FF6B5D"/>
    <w:rsid w:val="051EF4F5"/>
    <w:rsid w:val="081B0BAA"/>
    <w:rsid w:val="095528BD"/>
    <w:rsid w:val="0D27473E"/>
    <w:rsid w:val="167CBCA7"/>
    <w:rsid w:val="1950D7BC"/>
    <w:rsid w:val="1AECA81D"/>
    <w:rsid w:val="1C88787E"/>
    <w:rsid w:val="1CA580C6"/>
    <w:rsid w:val="1D54FF6B"/>
    <w:rsid w:val="2523CEAD"/>
    <w:rsid w:val="253FBFEC"/>
    <w:rsid w:val="259C6A6C"/>
    <w:rsid w:val="25F49284"/>
    <w:rsid w:val="26100C44"/>
    <w:rsid w:val="26BF9F0E"/>
    <w:rsid w:val="27ABDCA5"/>
    <w:rsid w:val="29F73FD0"/>
    <w:rsid w:val="2B931031"/>
    <w:rsid w:val="30AAB17D"/>
    <w:rsid w:val="348D6195"/>
    <w:rsid w:val="3ADB1FFE"/>
    <w:rsid w:val="41573FB4"/>
    <w:rsid w:val="42753707"/>
    <w:rsid w:val="45A25A13"/>
    <w:rsid w:val="462AB0D7"/>
    <w:rsid w:val="46722B29"/>
    <w:rsid w:val="48AED26C"/>
    <w:rsid w:val="4AA46646"/>
    <w:rsid w:val="4C119B97"/>
    <w:rsid w:val="4C37E5CF"/>
    <w:rsid w:val="4DAD6BF8"/>
    <w:rsid w:val="4F3FB2BF"/>
    <w:rsid w:val="58D277C8"/>
    <w:rsid w:val="5A537823"/>
    <w:rsid w:val="5CB803AB"/>
    <w:rsid w:val="5CC86F6A"/>
    <w:rsid w:val="5DD8AEA6"/>
    <w:rsid w:val="5FEFA46D"/>
    <w:rsid w:val="6117EF4E"/>
    <w:rsid w:val="62E2224E"/>
    <w:rsid w:val="6FED4026"/>
    <w:rsid w:val="7063392E"/>
    <w:rsid w:val="774FA451"/>
    <w:rsid w:val="7799CE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40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B4CB4"/>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3"/>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4"/>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5"/>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6"/>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7"/>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styleId="Revision">
    <w:name w:val="Revision"/>
    <w:hidden/>
    <w:uiPriority w:val="99"/>
    <w:semiHidden/>
    <w:rsid w:val="0000797C"/>
    <w:rPr>
      <w:sz w:val="24"/>
      <w:szCs w:val="24"/>
    </w:rPr>
  </w:style>
  <w:style w:type="paragraph" w:styleId="ListParagraph">
    <w:name w:val="List Paragraph"/>
    <w:basedOn w:val="Normal"/>
    <w:uiPriority w:val="34"/>
    <w:semiHidden/>
    <w:qFormat/>
    <w:rsid w:val="00A06721"/>
    <w:pPr>
      <w:ind w:left="720"/>
      <w:contextualSpacing/>
    </w:pPr>
  </w:style>
  <w:style w:type="paragraph" w:customStyle="1" w:styleId="NICEnormalsinglespacing">
    <w:name w:val="NICE normal single spacing"/>
    <w:basedOn w:val="Normal"/>
    <w:rsid w:val="007400D7"/>
    <w:pPr>
      <w:spacing w:after="240"/>
    </w:pPr>
    <w:rPr>
      <w:rFonts w:ascii="Arial" w:hAnsi="Arial"/>
      <w:lang w:eastAsia="en-US"/>
    </w:rPr>
  </w:style>
  <w:style w:type="paragraph" w:customStyle="1" w:styleId="NICEnormal">
    <w:name w:val="NICE normal"/>
    <w:link w:val="NICEnormalChar"/>
    <w:qFormat/>
    <w:rsid w:val="00AB4CB4"/>
    <w:pPr>
      <w:spacing w:after="240" w:line="360" w:lineRule="auto"/>
    </w:pPr>
    <w:rPr>
      <w:rFonts w:ascii="Arial" w:hAnsi="Arial"/>
      <w:sz w:val="24"/>
      <w:szCs w:val="24"/>
      <w:lang w:eastAsia="en-US"/>
    </w:rPr>
  </w:style>
  <w:style w:type="character" w:customStyle="1" w:styleId="NICEnormalChar">
    <w:name w:val="NICE normal Char"/>
    <w:link w:val="NICEnormal"/>
    <w:rsid w:val="00AB4CB4"/>
    <w:rPr>
      <w:rFonts w:ascii="Arial" w:hAnsi="Arial"/>
      <w:sz w:val="24"/>
      <w:szCs w:val="24"/>
      <w:lang w:eastAsia="en-US"/>
    </w:rPr>
  </w:style>
  <w:style w:type="paragraph" w:customStyle="1" w:styleId="Numberedheading1">
    <w:name w:val="Numbered heading 1"/>
    <w:basedOn w:val="Heading1"/>
    <w:next w:val="NICEnormal"/>
    <w:link w:val="Numberedheading1CharChar"/>
    <w:rsid w:val="00DA632C"/>
    <w:pPr>
      <w:numPr>
        <w:numId w:val="35"/>
      </w:numPr>
    </w:pPr>
    <w:rPr>
      <w:szCs w:val="24"/>
    </w:rPr>
  </w:style>
  <w:style w:type="character" w:customStyle="1" w:styleId="Numberedheading1CharChar">
    <w:name w:val="Numbered heading 1 Char Char"/>
    <w:link w:val="Numberedheading1"/>
    <w:rsid w:val="00DA632C"/>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DA632C"/>
  </w:style>
  <w:style w:type="character" w:customStyle="1" w:styleId="Numberedheading2Char">
    <w:name w:val="Numbered heading 2 Char"/>
    <w:basedOn w:val="Heading2Char"/>
    <w:link w:val="Numberedheading2"/>
    <w:rsid w:val="00DA632C"/>
    <w:rPr>
      <w:rFonts w:ascii="Arial" w:hAnsi="Arial" w:cs="Arial"/>
      <w:b/>
      <w:bCs/>
      <w:color w:val="228096"/>
      <w:sz w:val="28"/>
      <w:szCs w:val="28"/>
      <w:lang w:eastAsia="en-US"/>
    </w:rPr>
  </w:style>
  <w:style w:type="character" w:styleId="PlaceholderText">
    <w:name w:val="Placeholder Text"/>
    <w:basedOn w:val="DefaultParagraphFont"/>
    <w:uiPriority w:val="99"/>
    <w:semiHidden/>
    <w:rsid w:val="00EB244C"/>
    <w:rPr>
      <w:color w:val="666666"/>
    </w:rPr>
  </w:style>
  <w:style w:type="paragraph" w:customStyle="1" w:styleId="Title1">
    <w:name w:val="Title 1"/>
    <w:basedOn w:val="Normal"/>
    <w:qFormat/>
    <w:rsid w:val="00EB244C"/>
    <w:pPr>
      <w:keepNext/>
      <w:spacing w:before="240" w:after="240"/>
      <w:jc w:val="center"/>
      <w:outlineLvl w:val="0"/>
    </w:pPr>
    <w:rPr>
      <w:rFonts w:ascii="Arial" w:hAnsi="Arial" w:cs="Arial"/>
      <w:b/>
      <w:bCs/>
      <w:kern w:val="28"/>
      <w:sz w:val="40"/>
      <w:szCs w:val="32"/>
      <w:lang w:eastAsia="en-US"/>
    </w:rPr>
  </w:style>
  <w:style w:type="character" w:styleId="UnresolvedMention">
    <w:name w:val="Unresolved Mention"/>
    <w:basedOn w:val="DefaultParagraphFont"/>
    <w:uiPriority w:val="99"/>
    <w:semiHidden/>
    <w:unhideWhenUsed/>
    <w:rsid w:val="00557878"/>
    <w:rPr>
      <w:color w:val="605E5C"/>
      <w:shd w:val="clear" w:color="auto" w:fill="E1DFDD"/>
    </w:rPr>
  </w:style>
  <w:style w:type="character" w:styleId="FollowedHyperlink">
    <w:name w:val="FollowedHyperlink"/>
    <w:basedOn w:val="DefaultParagraphFont"/>
    <w:semiHidden/>
    <w:rsid w:val="002F0F61"/>
    <w:rPr>
      <w:color w:val="0043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1995">
      <w:bodyDiv w:val="1"/>
      <w:marLeft w:val="0"/>
      <w:marRight w:val="0"/>
      <w:marTop w:val="0"/>
      <w:marBottom w:val="0"/>
      <w:divBdr>
        <w:top w:val="none" w:sz="0" w:space="0" w:color="auto"/>
        <w:left w:val="none" w:sz="0" w:space="0" w:color="auto"/>
        <w:bottom w:val="none" w:sz="0" w:space="0" w:color="auto"/>
        <w:right w:val="none" w:sz="0" w:space="0" w:color="auto"/>
      </w:divBdr>
    </w:div>
    <w:div w:id="736516109">
      <w:bodyDiv w:val="1"/>
      <w:marLeft w:val="0"/>
      <w:marRight w:val="0"/>
      <w:marTop w:val="0"/>
      <w:marBottom w:val="0"/>
      <w:divBdr>
        <w:top w:val="none" w:sz="0" w:space="0" w:color="auto"/>
        <w:left w:val="none" w:sz="0" w:space="0" w:color="auto"/>
        <w:bottom w:val="none" w:sz="0" w:space="0" w:color="auto"/>
        <w:right w:val="none" w:sz="0" w:space="0" w:color="auto"/>
      </w:divBdr>
    </w:div>
    <w:div w:id="1416437424">
      <w:bodyDiv w:val="1"/>
      <w:marLeft w:val="0"/>
      <w:marRight w:val="0"/>
      <w:marTop w:val="0"/>
      <w:marBottom w:val="0"/>
      <w:divBdr>
        <w:top w:val="none" w:sz="0" w:space="0" w:color="auto"/>
        <w:left w:val="none" w:sz="0" w:space="0" w:color="auto"/>
        <w:bottom w:val="none" w:sz="0" w:space="0" w:color="auto"/>
        <w:right w:val="none" w:sz="0" w:space="0" w:color="auto"/>
      </w:divBdr>
    </w:div>
    <w:div w:id="1841584307">
      <w:bodyDiv w:val="1"/>
      <w:marLeft w:val="0"/>
      <w:marRight w:val="0"/>
      <w:marTop w:val="0"/>
      <w:marBottom w:val="0"/>
      <w:divBdr>
        <w:top w:val="none" w:sz="0" w:space="0" w:color="auto"/>
        <w:left w:val="none" w:sz="0" w:space="0" w:color="auto"/>
        <w:bottom w:val="none" w:sz="0" w:space="0" w:color="auto"/>
        <w:right w:val="none" w:sz="0" w:space="0" w:color="auto"/>
      </w:divBdr>
    </w:div>
    <w:div w:id="1916889099">
      <w:bodyDiv w:val="1"/>
      <w:marLeft w:val="0"/>
      <w:marRight w:val="0"/>
      <w:marTop w:val="0"/>
      <w:marBottom w:val="0"/>
      <w:divBdr>
        <w:top w:val="none" w:sz="0" w:space="0" w:color="auto"/>
        <w:left w:val="none" w:sz="0" w:space="0" w:color="auto"/>
        <w:bottom w:val="none" w:sz="0" w:space="0" w:color="auto"/>
        <w:right w:val="none" w:sz="0" w:space="0" w:color="auto"/>
      </w:divBdr>
    </w:div>
    <w:div w:id="213590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england-rare-diseases-action-plan-2025"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publications/england-rare-diseases-action-plan-2025"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niceuk-my.sharepoint.com/personal/oghenekevwe_okoro_nice_org_uk/Documents/Documents/Science%20policy%20research/Platform%20technologies/Platform%20Technologies%20Pipeline%20Scan%20December%202024-%20Final%20version.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iceuk-my.sharepoint.com/personal/oghenekevwe_okoro_nice_org_uk/Documents/Documents/Science%20policy%20research/Platform%20technologies/Platform%20Technologies%20Pipeline%20Scan%20December%202024-%20Final%20version.xlsm"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iceuk-my.sharepoint.com/personal/oghenekevwe_okoro_nice_org_uk/Documents/Documents/Science%20policy%20research/Platform%20technologies/Platform%20Technologies%20Pipeline%20Scan%20December%202024-%20Final%20version.xlsm"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niceuk-my.sharepoint.com/personal/oghenekevwe_okoro_nice_org_uk/Documents/Documents/Science%20policy%20research/Platform%20technologies/Platform%20Technologies%20Pipeline%20Scan%20December%202024-%20Final%20version.xlsm"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niceuk-my.sharepoint.com/personal/oghenekevwe_okoro_nice_org_uk/Documents/Documents/Science%20policy%20research/Platform%20technologies/Platform%20Technologies%20Pipeline%20Scan%20December%202024-%20Final%20version.xlsm"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niceuk-my.sharepoint.com/personal/oghenekevwe_okoro_nice_org_uk/Documents/Documents/Science%20policy%20research/Platform%20technologies/Platform%20Technologies%20Pipeline%20Scan%20December%202024-%20Final%20version.xlsm"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niceuk-my.sharepoint.com/personal/oghenekevwe_okoro_nice_org_uk/Documents/Documents/Science%20policy%20research/Platform%20technologies/trial%20design.xlsm"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[Platform Technologies Pipeline Scan December 2024- Final version.xlsm]Technology type!PivotTable15</c:name>
    <c:fmtId val="-1"/>
  </c:pivotSource>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Number of each type of technology</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2"/>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'Technology type'!$D$4</c:f>
              <c:strCache>
                <c:ptCount val="1"/>
                <c:pt idx="0">
                  <c:v>Total</c:v>
                </c:pt>
              </c:strCache>
            </c:strRef>
          </c:tx>
          <c:spPr>
            <a:solidFill>
              <a:schemeClr val="accent2"/>
            </a:solidFill>
            <a:ln>
              <a:noFill/>
            </a:ln>
            <a:effectLst/>
          </c:spPr>
          <c:invertIfNegative val="0"/>
          <c:dPt>
            <c:idx val="0"/>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2-6BE2-4617-AA09-3CD65788E852}"/>
              </c:ext>
            </c:extLst>
          </c:dPt>
          <c:dPt>
            <c:idx val="1"/>
            <c:invertIfNegative val="0"/>
            <c:bubble3D val="0"/>
            <c:spPr>
              <a:solidFill>
                <a:srgbClr val="EFDC7F"/>
              </a:solidFill>
              <a:ln>
                <a:noFill/>
              </a:ln>
              <a:effectLst/>
            </c:spPr>
            <c:extLst>
              <c:ext xmlns:c16="http://schemas.microsoft.com/office/drawing/2014/chart" uri="{C3380CC4-5D6E-409C-BE32-E72D297353CC}">
                <c16:uniqueId val="{00000003-6BE2-4617-AA09-3CD65788E852}"/>
              </c:ext>
            </c:extLst>
          </c:dPt>
          <c:dPt>
            <c:idx val="2"/>
            <c:invertIfNegative val="0"/>
            <c:bubble3D val="0"/>
            <c:spPr>
              <a:solidFill>
                <a:srgbClr val="407291"/>
              </a:solidFill>
              <a:ln>
                <a:noFill/>
              </a:ln>
              <a:effectLst/>
            </c:spPr>
            <c:extLst>
              <c:ext xmlns:c16="http://schemas.microsoft.com/office/drawing/2014/chart" uri="{C3380CC4-5D6E-409C-BE32-E72D297353CC}">
                <c16:uniqueId val="{00000004-6BE2-4617-AA09-3CD65788E852}"/>
              </c:ext>
            </c:extLst>
          </c:dPt>
          <c:dPt>
            <c:idx val="3"/>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01-6BE2-4617-AA09-3CD65788E852}"/>
              </c:ext>
            </c:extLst>
          </c:dPt>
          <c:cat>
            <c:strRef>
              <c:f>'Technology type'!$C$5:$C$9</c:f>
              <c:strCache>
                <c:ptCount val="4"/>
                <c:pt idx="0">
                  <c:v>ASO</c:v>
                </c:pt>
                <c:pt idx="1">
                  <c:v>siRNA</c:v>
                </c:pt>
                <c:pt idx="2">
                  <c:v>AAV</c:v>
                </c:pt>
                <c:pt idx="3">
                  <c:v>CRISPR</c:v>
                </c:pt>
              </c:strCache>
            </c:strRef>
          </c:cat>
          <c:val>
            <c:numRef>
              <c:f>'Technology type'!$D$5:$D$9</c:f>
              <c:numCache>
                <c:formatCode>General</c:formatCode>
                <c:ptCount val="4"/>
                <c:pt idx="0">
                  <c:v>71</c:v>
                </c:pt>
                <c:pt idx="1">
                  <c:v>55</c:v>
                </c:pt>
                <c:pt idx="2">
                  <c:v>33</c:v>
                </c:pt>
                <c:pt idx="3">
                  <c:v>7</c:v>
                </c:pt>
              </c:numCache>
            </c:numRef>
          </c:val>
          <c:extLst>
            <c:ext xmlns:c16="http://schemas.microsoft.com/office/drawing/2014/chart" uri="{C3380CC4-5D6E-409C-BE32-E72D297353CC}">
              <c16:uniqueId val="{00000000-6BE2-4617-AA09-3CD65788E852}"/>
            </c:ext>
          </c:extLst>
        </c:ser>
        <c:dLbls>
          <c:showLegendKey val="0"/>
          <c:showVal val="0"/>
          <c:showCatName val="0"/>
          <c:showSerName val="0"/>
          <c:showPercent val="0"/>
          <c:showBubbleSize val="0"/>
        </c:dLbls>
        <c:gapWidth val="33"/>
        <c:axId val="1055873408"/>
        <c:axId val="1055873888"/>
      </c:barChart>
      <c:catAx>
        <c:axId val="1055873408"/>
        <c:scaling>
          <c:orientation val="maxMin"/>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Technology type</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5873888"/>
        <c:crosses val="autoZero"/>
        <c:auto val="1"/>
        <c:lblAlgn val="ctr"/>
        <c:lblOffset val="100"/>
        <c:noMultiLvlLbl val="0"/>
      </c:catAx>
      <c:valAx>
        <c:axId val="1055873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Number of technologies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5873408"/>
        <c:crosses val="max"/>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[Platform Technologies Pipeline Scan December 2024- Final version.xlsm]Sheet3!PivotTable2</c:name>
    <c:fmtId val="-1"/>
  </c:pivotSource>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Year of trial</a:t>
            </a:r>
            <a:r>
              <a:rPr lang="en-US" b="1" baseline="0"/>
              <a:t> completion</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1"/>
        <c:ser>
          <c:idx val="0"/>
          <c:order val="0"/>
          <c:tx>
            <c:strRef>
              <c:f>Sheet3!$D$4</c:f>
              <c:strCache>
                <c:ptCount val="1"/>
                <c:pt idx="0">
                  <c:v>Total</c:v>
                </c:pt>
              </c:strCache>
            </c:strRef>
          </c:tx>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CE00-4326-A78D-57DA1439B00B}"/>
              </c:ext>
            </c:extLst>
          </c:dPt>
          <c:dPt>
            <c:idx val="1"/>
            <c:invertIfNegative val="0"/>
            <c:bubble3D val="0"/>
            <c:spPr>
              <a:solidFill>
                <a:schemeClr val="accent3"/>
              </a:solidFill>
              <a:ln>
                <a:noFill/>
              </a:ln>
              <a:effectLst/>
            </c:spPr>
            <c:extLst>
              <c:ext xmlns:c16="http://schemas.microsoft.com/office/drawing/2014/chart" uri="{C3380CC4-5D6E-409C-BE32-E72D297353CC}">
                <c16:uniqueId val="{00000003-CE00-4326-A78D-57DA1439B00B}"/>
              </c:ext>
            </c:extLst>
          </c:dPt>
          <c:dPt>
            <c:idx val="2"/>
            <c:invertIfNegative val="0"/>
            <c:bubble3D val="0"/>
            <c:spPr>
              <a:solidFill>
                <a:schemeClr val="accent5"/>
              </a:solidFill>
              <a:ln>
                <a:noFill/>
              </a:ln>
              <a:effectLst/>
            </c:spPr>
            <c:extLst>
              <c:ext xmlns:c16="http://schemas.microsoft.com/office/drawing/2014/chart" uri="{C3380CC4-5D6E-409C-BE32-E72D297353CC}">
                <c16:uniqueId val="{00000005-CE00-4326-A78D-57DA1439B00B}"/>
              </c:ext>
            </c:extLst>
          </c:dPt>
          <c:dPt>
            <c:idx val="3"/>
            <c:invertIfNegative val="0"/>
            <c:bubble3D val="0"/>
            <c:spPr>
              <a:solidFill>
                <a:schemeClr val="accent1">
                  <a:lumMod val="60000"/>
                </a:schemeClr>
              </a:solidFill>
              <a:ln>
                <a:noFill/>
              </a:ln>
              <a:effectLst/>
            </c:spPr>
            <c:extLst>
              <c:ext xmlns:c16="http://schemas.microsoft.com/office/drawing/2014/chart" uri="{C3380CC4-5D6E-409C-BE32-E72D297353CC}">
                <c16:uniqueId val="{00000007-CE00-4326-A78D-57DA1439B00B}"/>
              </c:ext>
            </c:extLst>
          </c:dPt>
          <c:dPt>
            <c:idx val="4"/>
            <c:invertIfNegative val="0"/>
            <c:bubble3D val="0"/>
            <c:spPr>
              <a:solidFill>
                <a:schemeClr val="accent3">
                  <a:lumMod val="60000"/>
                </a:schemeClr>
              </a:solidFill>
              <a:ln>
                <a:noFill/>
              </a:ln>
              <a:effectLst/>
            </c:spPr>
            <c:extLst>
              <c:ext xmlns:c16="http://schemas.microsoft.com/office/drawing/2014/chart" uri="{C3380CC4-5D6E-409C-BE32-E72D297353CC}">
                <c16:uniqueId val="{00000009-CE00-4326-A78D-57DA1439B00B}"/>
              </c:ext>
            </c:extLst>
          </c:dPt>
          <c:dPt>
            <c:idx val="5"/>
            <c:invertIfNegative val="0"/>
            <c:bubble3D val="0"/>
            <c:spPr>
              <a:solidFill>
                <a:schemeClr val="accent5">
                  <a:lumMod val="60000"/>
                </a:schemeClr>
              </a:solidFill>
              <a:ln>
                <a:noFill/>
              </a:ln>
              <a:effectLst/>
            </c:spPr>
            <c:extLst>
              <c:ext xmlns:c16="http://schemas.microsoft.com/office/drawing/2014/chart" uri="{C3380CC4-5D6E-409C-BE32-E72D297353CC}">
                <c16:uniqueId val="{0000000B-CE00-4326-A78D-57DA1439B00B}"/>
              </c:ext>
            </c:extLst>
          </c:dPt>
          <c:dPt>
            <c:idx val="6"/>
            <c:invertIfNegative val="0"/>
            <c:bubble3D val="0"/>
            <c:spPr>
              <a:solidFill>
                <a:schemeClr val="accent1">
                  <a:lumMod val="80000"/>
                  <a:lumOff val="20000"/>
                </a:schemeClr>
              </a:solidFill>
              <a:ln>
                <a:noFill/>
              </a:ln>
              <a:effectLst/>
            </c:spPr>
            <c:extLst>
              <c:ext xmlns:c16="http://schemas.microsoft.com/office/drawing/2014/chart" uri="{C3380CC4-5D6E-409C-BE32-E72D297353CC}">
                <c16:uniqueId val="{0000000D-CE00-4326-A78D-57DA1439B00B}"/>
              </c:ext>
            </c:extLst>
          </c:dPt>
          <c:dPt>
            <c:idx val="7"/>
            <c:invertIfNegative val="0"/>
            <c:bubble3D val="0"/>
            <c:spPr>
              <a:solidFill>
                <a:schemeClr val="accent3">
                  <a:lumMod val="80000"/>
                  <a:lumOff val="20000"/>
                </a:schemeClr>
              </a:solidFill>
              <a:ln>
                <a:noFill/>
              </a:ln>
              <a:effectLst/>
            </c:spPr>
            <c:extLst>
              <c:ext xmlns:c16="http://schemas.microsoft.com/office/drawing/2014/chart" uri="{C3380CC4-5D6E-409C-BE32-E72D297353CC}">
                <c16:uniqueId val="{0000000F-CE00-4326-A78D-57DA1439B00B}"/>
              </c:ext>
            </c:extLst>
          </c:dPt>
          <c:dPt>
            <c:idx val="8"/>
            <c:invertIfNegative val="0"/>
            <c:bubble3D val="0"/>
            <c:spPr>
              <a:solidFill>
                <a:schemeClr val="accent5">
                  <a:lumMod val="80000"/>
                  <a:lumOff val="20000"/>
                </a:schemeClr>
              </a:solidFill>
              <a:ln>
                <a:noFill/>
              </a:ln>
              <a:effectLst/>
            </c:spPr>
            <c:extLst>
              <c:ext xmlns:c16="http://schemas.microsoft.com/office/drawing/2014/chart" uri="{C3380CC4-5D6E-409C-BE32-E72D297353CC}">
                <c16:uniqueId val="{00000011-CE00-4326-A78D-57DA1439B00B}"/>
              </c:ext>
            </c:extLst>
          </c:dPt>
          <c:dPt>
            <c:idx val="9"/>
            <c:invertIfNegative val="0"/>
            <c:bubble3D val="0"/>
            <c:spPr>
              <a:solidFill>
                <a:schemeClr val="accent1">
                  <a:lumMod val="80000"/>
                </a:schemeClr>
              </a:solidFill>
              <a:ln>
                <a:noFill/>
              </a:ln>
              <a:effectLst/>
            </c:spPr>
            <c:extLst>
              <c:ext xmlns:c16="http://schemas.microsoft.com/office/drawing/2014/chart" uri="{C3380CC4-5D6E-409C-BE32-E72D297353CC}">
                <c16:uniqueId val="{00000013-CE00-4326-A78D-57DA1439B00B}"/>
              </c:ext>
            </c:extLst>
          </c:dPt>
          <c:dPt>
            <c:idx val="10"/>
            <c:invertIfNegative val="0"/>
            <c:bubble3D val="0"/>
            <c:spPr>
              <a:solidFill>
                <a:schemeClr val="accent3">
                  <a:lumMod val="80000"/>
                </a:schemeClr>
              </a:solidFill>
              <a:ln>
                <a:noFill/>
              </a:ln>
              <a:effectLst/>
            </c:spPr>
            <c:extLst>
              <c:ext xmlns:c16="http://schemas.microsoft.com/office/drawing/2014/chart" uri="{C3380CC4-5D6E-409C-BE32-E72D297353CC}">
                <c16:uniqueId val="{00000015-CE00-4326-A78D-57DA1439B00B}"/>
              </c:ext>
            </c:extLst>
          </c:dPt>
          <c:dPt>
            <c:idx val="11"/>
            <c:invertIfNegative val="0"/>
            <c:bubble3D val="0"/>
            <c:spPr>
              <a:solidFill>
                <a:schemeClr val="accent5">
                  <a:lumMod val="80000"/>
                </a:schemeClr>
              </a:solidFill>
              <a:ln>
                <a:noFill/>
              </a:ln>
              <a:effectLst/>
            </c:spPr>
            <c:extLst>
              <c:ext xmlns:c16="http://schemas.microsoft.com/office/drawing/2014/chart" uri="{C3380CC4-5D6E-409C-BE32-E72D297353CC}">
                <c16:uniqueId val="{00000017-CE00-4326-A78D-57DA1439B00B}"/>
              </c:ext>
            </c:extLst>
          </c:dPt>
          <c:dPt>
            <c:idx val="12"/>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19-CE00-4326-A78D-57DA1439B00B}"/>
              </c:ext>
            </c:extLst>
          </c:dPt>
          <c:dPt>
            <c:idx val="13"/>
            <c:invertIfNegative val="0"/>
            <c:bubble3D val="0"/>
            <c:spPr>
              <a:solidFill>
                <a:schemeClr val="accent3">
                  <a:lumMod val="60000"/>
                  <a:lumOff val="40000"/>
                </a:schemeClr>
              </a:solidFill>
              <a:ln>
                <a:noFill/>
              </a:ln>
              <a:effectLst/>
            </c:spPr>
            <c:extLst>
              <c:ext xmlns:c16="http://schemas.microsoft.com/office/drawing/2014/chart" uri="{C3380CC4-5D6E-409C-BE32-E72D297353CC}">
                <c16:uniqueId val="{0000001B-CE00-4326-A78D-57DA1439B00B}"/>
              </c:ext>
            </c:extLst>
          </c:dPt>
          <c:dPt>
            <c:idx val="14"/>
            <c:invertIfNegative val="0"/>
            <c:bubble3D val="0"/>
            <c:spPr>
              <a:solidFill>
                <a:schemeClr val="accent5">
                  <a:lumMod val="60000"/>
                  <a:lumOff val="40000"/>
                </a:schemeClr>
              </a:solidFill>
              <a:ln>
                <a:noFill/>
              </a:ln>
              <a:effectLst/>
            </c:spPr>
            <c:extLst>
              <c:ext xmlns:c16="http://schemas.microsoft.com/office/drawing/2014/chart" uri="{C3380CC4-5D6E-409C-BE32-E72D297353CC}">
                <c16:uniqueId val="{0000001D-CE00-4326-A78D-57DA1439B00B}"/>
              </c:ext>
            </c:extLst>
          </c:dPt>
          <c:dPt>
            <c:idx val="15"/>
            <c:invertIfNegative val="0"/>
            <c:bubble3D val="0"/>
            <c:spPr>
              <a:solidFill>
                <a:schemeClr val="accent1">
                  <a:lumMod val="50000"/>
                </a:schemeClr>
              </a:solidFill>
              <a:ln>
                <a:noFill/>
              </a:ln>
              <a:effectLst/>
            </c:spPr>
            <c:extLst>
              <c:ext xmlns:c16="http://schemas.microsoft.com/office/drawing/2014/chart" uri="{C3380CC4-5D6E-409C-BE32-E72D297353CC}">
                <c16:uniqueId val="{0000001F-CE00-4326-A78D-57DA1439B00B}"/>
              </c:ext>
            </c:extLst>
          </c:dPt>
          <c:dPt>
            <c:idx val="16"/>
            <c:invertIfNegative val="0"/>
            <c:bubble3D val="0"/>
            <c:spPr>
              <a:solidFill>
                <a:schemeClr val="accent3">
                  <a:lumMod val="50000"/>
                </a:schemeClr>
              </a:solidFill>
              <a:ln>
                <a:noFill/>
              </a:ln>
              <a:effectLst/>
            </c:spPr>
            <c:extLst>
              <c:ext xmlns:c16="http://schemas.microsoft.com/office/drawing/2014/chart" uri="{C3380CC4-5D6E-409C-BE32-E72D297353CC}">
                <c16:uniqueId val="{00000021-CE00-4326-A78D-57DA1439B00B}"/>
              </c:ext>
            </c:extLst>
          </c:dPt>
          <c:dPt>
            <c:idx val="17"/>
            <c:invertIfNegative val="0"/>
            <c:bubble3D val="0"/>
            <c:spPr>
              <a:solidFill>
                <a:schemeClr val="accent5">
                  <a:lumMod val="50000"/>
                </a:schemeClr>
              </a:solidFill>
              <a:ln>
                <a:noFill/>
              </a:ln>
              <a:effectLst/>
            </c:spPr>
            <c:extLst>
              <c:ext xmlns:c16="http://schemas.microsoft.com/office/drawing/2014/chart" uri="{C3380CC4-5D6E-409C-BE32-E72D297353CC}">
                <c16:uniqueId val="{00000023-CE00-4326-A78D-57DA1439B00B}"/>
              </c:ext>
            </c:extLst>
          </c:dPt>
          <c:dPt>
            <c:idx val="18"/>
            <c:invertIfNegative val="0"/>
            <c:bubble3D val="0"/>
            <c:spPr>
              <a:solidFill>
                <a:schemeClr val="accent1">
                  <a:lumMod val="70000"/>
                  <a:lumOff val="30000"/>
                </a:schemeClr>
              </a:solidFill>
              <a:ln>
                <a:noFill/>
              </a:ln>
              <a:effectLst/>
            </c:spPr>
            <c:extLst>
              <c:ext xmlns:c16="http://schemas.microsoft.com/office/drawing/2014/chart" uri="{C3380CC4-5D6E-409C-BE32-E72D297353CC}">
                <c16:uniqueId val="{00000025-CE00-4326-A78D-57DA1439B00B}"/>
              </c:ext>
            </c:extLst>
          </c:dPt>
          <c:dPt>
            <c:idx val="19"/>
            <c:invertIfNegative val="0"/>
            <c:bubble3D val="0"/>
            <c:spPr>
              <a:solidFill>
                <a:schemeClr val="accent3">
                  <a:lumMod val="70000"/>
                  <a:lumOff val="30000"/>
                </a:schemeClr>
              </a:solidFill>
              <a:ln>
                <a:noFill/>
              </a:ln>
              <a:effectLst/>
            </c:spPr>
            <c:extLst>
              <c:ext xmlns:c16="http://schemas.microsoft.com/office/drawing/2014/chart" uri="{C3380CC4-5D6E-409C-BE32-E72D297353CC}">
                <c16:uniqueId val="{00000027-CE00-4326-A78D-57DA1439B00B}"/>
              </c:ext>
            </c:extLst>
          </c:dPt>
          <c:cat>
            <c:strRef>
              <c:f>Sheet3!$C$5:$C$25</c:f>
              <c:strCache>
                <c:ptCount val="20"/>
                <c:pt idx="0">
                  <c:v>2007</c:v>
                </c:pt>
                <c:pt idx="1">
                  <c:v>2013</c:v>
                </c:pt>
                <c:pt idx="2">
                  <c:v>2015</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pt idx="17">
                  <c:v>2032</c:v>
                </c:pt>
                <c:pt idx="18">
                  <c:v>2039</c:v>
                </c:pt>
                <c:pt idx="19">
                  <c:v>NA</c:v>
                </c:pt>
              </c:strCache>
            </c:strRef>
          </c:cat>
          <c:val>
            <c:numRef>
              <c:f>Sheet3!$D$5:$D$25</c:f>
              <c:numCache>
                <c:formatCode>General</c:formatCode>
                <c:ptCount val="20"/>
                <c:pt idx="0">
                  <c:v>2</c:v>
                </c:pt>
                <c:pt idx="1">
                  <c:v>1</c:v>
                </c:pt>
                <c:pt idx="2">
                  <c:v>1</c:v>
                </c:pt>
                <c:pt idx="3">
                  <c:v>1</c:v>
                </c:pt>
                <c:pt idx="4">
                  <c:v>3</c:v>
                </c:pt>
                <c:pt idx="5">
                  <c:v>7</c:v>
                </c:pt>
                <c:pt idx="6">
                  <c:v>4</c:v>
                </c:pt>
                <c:pt idx="7">
                  <c:v>6</c:v>
                </c:pt>
                <c:pt idx="8">
                  <c:v>9</c:v>
                </c:pt>
                <c:pt idx="9">
                  <c:v>18</c:v>
                </c:pt>
                <c:pt idx="10">
                  <c:v>21</c:v>
                </c:pt>
                <c:pt idx="11">
                  <c:v>31</c:v>
                </c:pt>
                <c:pt idx="12">
                  <c:v>15</c:v>
                </c:pt>
                <c:pt idx="13">
                  <c:v>17</c:v>
                </c:pt>
                <c:pt idx="14">
                  <c:v>12</c:v>
                </c:pt>
                <c:pt idx="15">
                  <c:v>5</c:v>
                </c:pt>
                <c:pt idx="16">
                  <c:v>2</c:v>
                </c:pt>
                <c:pt idx="17">
                  <c:v>1</c:v>
                </c:pt>
                <c:pt idx="18">
                  <c:v>1</c:v>
                </c:pt>
                <c:pt idx="19">
                  <c:v>2</c:v>
                </c:pt>
              </c:numCache>
            </c:numRef>
          </c:val>
          <c:extLst>
            <c:ext xmlns:c16="http://schemas.microsoft.com/office/drawing/2014/chart" uri="{C3380CC4-5D6E-409C-BE32-E72D297353CC}">
              <c16:uniqueId val="{00000000-9C4F-4064-BFC4-AD8871051263}"/>
            </c:ext>
          </c:extLst>
        </c:ser>
        <c:dLbls>
          <c:showLegendKey val="0"/>
          <c:showVal val="0"/>
          <c:showCatName val="0"/>
          <c:showSerName val="0"/>
          <c:showPercent val="0"/>
          <c:showBubbleSize val="0"/>
        </c:dLbls>
        <c:gapWidth val="33"/>
        <c:overlap val="-30"/>
        <c:axId val="1117203407"/>
        <c:axId val="1117201967"/>
      </c:barChart>
      <c:catAx>
        <c:axId val="1117203407"/>
        <c:scaling>
          <c:orientation val="maxMin"/>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Completion year</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7201967"/>
        <c:crosses val="autoZero"/>
        <c:auto val="1"/>
        <c:lblAlgn val="ctr"/>
        <c:lblOffset val="100"/>
        <c:noMultiLvlLbl val="0"/>
      </c:catAx>
      <c:valAx>
        <c:axId val="111720196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Number of trials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7203407"/>
        <c:crosses val="max"/>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[Platform Technologies Pipeline Scan December 2024- Final version.xlsm]Disease area!PivotTable4</c:name>
    <c:fmtId val="-1"/>
  </c:pivotSource>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Distribution of Disease area</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pivotFmt>
      <c:pivotFmt>
        <c:idx val="2"/>
        <c:spPr>
          <a:solidFill>
            <a:schemeClr val="accent1"/>
          </a:solidFill>
          <a:ln>
            <a:noFill/>
          </a:ln>
          <a:effectLst/>
        </c:spPr>
      </c:pivotFmt>
      <c:pivotFmt>
        <c:idx val="3"/>
        <c:spPr>
          <a:solidFill>
            <a:schemeClr val="accent1"/>
          </a:solidFill>
          <a:ln>
            <a:noFill/>
          </a:ln>
          <a:effectLst/>
        </c:spPr>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pivotFmt>
      <c:pivotFmt>
        <c:idx val="6"/>
        <c:spPr>
          <a:solidFill>
            <a:schemeClr val="accent1"/>
          </a:solidFill>
          <a:ln>
            <a:noFill/>
          </a:ln>
          <a:effectLst/>
        </c:spPr>
      </c:pivotFmt>
      <c:pivotFmt>
        <c:idx val="7"/>
        <c:spPr>
          <a:solidFill>
            <a:schemeClr val="accent1"/>
          </a:solidFill>
          <a:ln>
            <a:noFill/>
          </a:ln>
          <a:effectLst/>
        </c:spPr>
      </c:pivotFmt>
      <c:pivotFmt>
        <c:idx val="8"/>
        <c:spPr>
          <a:solidFill>
            <a:schemeClr val="accent1"/>
          </a:solidFill>
          <a:ln>
            <a:noFill/>
          </a:ln>
          <a:effectLst/>
        </c:spPr>
      </c:pivotFmt>
      <c:pivotFmt>
        <c:idx val="9"/>
        <c:spPr>
          <a:solidFill>
            <a:schemeClr val="accent1"/>
          </a:solidFill>
          <a:ln>
            <a:noFill/>
          </a:ln>
          <a:effectLst/>
        </c:spPr>
      </c:pivotFmt>
      <c:pivotFmt>
        <c:idx val="10"/>
        <c:spPr>
          <a:solidFill>
            <a:schemeClr val="accent1"/>
          </a:solidFill>
          <a:ln>
            <a:noFill/>
          </a:ln>
          <a:effectLst/>
        </c:spPr>
      </c:pivotFmt>
      <c:pivotFmt>
        <c:idx val="11"/>
        <c:spPr>
          <a:solidFill>
            <a:schemeClr val="accent1"/>
          </a:solidFill>
          <a:ln>
            <a:noFill/>
          </a:ln>
          <a:effectLst/>
        </c:spPr>
      </c:pivotFmt>
      <c:pivotFmt>
        <c:idx val="12"/>
        <c:spPr>
          <a:solidFill>
            <a:schemeClr val="accent1"/>
          </a:solidFill>
          <a:ln>
            <a:noFill/>
          </a:ln>
          <a:effectLst/>
        </c:spPr>
      </c:pivotFmt>
      <c:pivotFmt>
        <c:idx val="13"/>
        <c:spPr>
          <a:solidFill>
            <a:schemeClr val="accent1"/>
          </a:solidFill>
          <a:ln>
            <a:noFill/>
          </a:ln>
          <a:effectLst/>
        </c:spPr>
      </c:pivotFmt>
      <c:pivotFmt>
        <c:idx val="14"/>
        <c:spPr>
          <a:solidFill>
            <a:schemeClr val="accent1"/>
          </a:solidFill>
          <a:ln>
            <a:noFill/>
          </a:ln>
          <a:effectLst/>
        </c:spPr>
      </c:pivotFmt>
      <c:pivotFmt>
        <c:idx val="15"/>
        <c:spPr>
          <a:solidFill>
            <a:schemeClr val="accent1"/>
          </a:solidFill>
          <a:ln>
            <a:noFill/>
          </a:ln>
          <a:effectLst/>
        </c:spPr>
      </c:pivotFmt>
      <c:pivotFmt>
        <c:idx val="16"/>
        <c:spPr>
          <a:solidFill>
            <a:schemeClr val="accent1"/>
          </a:solidFill>
          <a:ln>
            <a:noFill/>
          </a:ln>
          <a:effectLst/>
        </c:spPr>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pivotFmt>
      <c:pivotFmt>
        <c:idx val="19"/>
        <c:spPr>
          <a:solidFill>
            <a:schemeClr val="accent1"/>
          </a:solidFill>
          <a:ln>
            <a:noFill/>
          </a:ln>
          <a:effectLst/>
        </c:spPr>
      </c:pivotFmt>
      <c:pivotFmt>
        <c:idx val="20"/>
        <c:spPr>
          <a:solidFill>
            <a:schemeClr val="accent1"/>
          </a:solidFill>
          <a:ln>
            <a:noFill/>
          </a:ln>
          <a:effectLst/>
        </c:spPr>
      </c:pivotFmt>
      <c:pivotFmt>
        <c:idx val="21"/>
        <c:spPr>
          <a:solidFill>
            <a:schemeClr val="accent1"/>
          </a:solidFill>
          <a:ln>
            <a:noFill/>
          </a:ln>
          <a:effectLst/>
        </c:spPr>
      </c:pivotFmt>
      <c:pivotFmt>
        <c:idx val="22"/>
        <c:spPr>
          <a:solidFill>
            <a:schemeClr val="accent1"/>
          </a:solidFill>
          <a:ln>
            <a:noFill/>
          </a:ln>
          <a:effectLst/>
        </c:spPr>
      </c:pivotFmt>
      <c:pivotFmt>
        <c:idx val="23"/>
        <c:spPr>
          <a:solidFill>
            <a:schemeClr val="accent1"/>
          </a:solidFill>
          <a:ln>
            <a:noFill/>
          </a:ln>
          <a:effectLst/>
        </c:spPr>
      </c:pivotFmt>
      <c:pivotFmt>
        <c:idx val="24"/>
        <c:spPr>
          <a:solidFill>
            <a:schemeClr val="accent1"/>
          </a:solidFill>
          <a:ln>
            <a:noFill/>
          </a:ln>
          <a:effectLst/>
        </c:spPr>
      </c:pivotFmt>
      <c:pivotFmt>
        <c:idx val="25"/>
        <c:spPr>
          <a:solidFill>
            <a:schemeClr val="accent1"/>
          </a:solidFill>
          <a:ln>
            <a:noFill/>
          </a:ln>
          <a:effectLst/>
        </c:spPr>
      </c:pivotFmt>
      <c:pivotFmt>
        <c:idx val="26"/>
        <c:spPr>
          <a:solidFill>
            <a:schemeClr val="accent1"/>
          </a:solidFill>
          <a:ln>
            <a:noFill/>
          </a:ln>
          <a:effectLst/>
        </c:spPr>
      </c:pivotFmt>
      <c:pivotFmt>
        <c:idx val="27"/>
        <c:spPr>
          <a:solidFill>
            <a:schemeClr val="accent1"/>
          </a:solidFill>
          <a:ln>
            <a:noFill/>
          </a:ln>
          <a:effectLst/>
        </c:spPr>
      </c:pivotFmt>
      <c:pivotFmt>
        <c:idx val="28"/>
        <c:spPr>
          <a:solidFill>
            <a:schemeClr val="accent1"/>
          </a:solidFill>
          <a:ln>
            <a:noFill/>
          </a:ln>
          <a:effectLst/>
        </c:spPr>
      </c:pivotFmt>
      <c:pivotFmt>
        <c:idx val="29"/>
        <c:spPr>
          <a:solidFill>
            <a:schemeClr val="accent1"/>
          </a:solidFill>
          <a:ln>
            <a:noFill/>
          </a:ln>
          <a:effectLst/>
        </c:spPr>
      </c:pivotFmt>
    </c:pivotFmts>
    <c:plotArea>
      <c:layout/>
      <c:barChart>
        <c:barDir val="col"/>
        <c:grouping val="clustered"/>
        <c:varyColors val="1"/>
        <c:ser>
          <c:idx val="0"/>
          <c:order val="0"/>
          <c:tx>
            <c:strRef>
              <c:f>'Disease area'!$D$4</c:f>
              <c:strCache>
                <c:ptCount val="1"/>
                <c:pt idx="0">
                  <c:v>Total</c:v>
                </c:pt>
              </c:strCache>
            </c:strRef>
          </c:tx>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2FDA-4E50-AAA4-3757752830E5}"/>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2FDA-4E50-AAA4-3757752830E5}"/>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2FDA-4E50-AAA4-3757752830E5}"/>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2FDA-4E50-AAA4-3757752830E5}"/>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2FDA-4E50-AAA4-3757752830E5}"/>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2FDA-4E50-AAA4-3757752830E5}"/>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2FDA-4E50-AAA4-3757752830E5}"/>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2FDA-4E50-AAA4-3757752830E5}"/>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2FDA-4E50-AAA4-3757752830E5}"/>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2FDA-4E50-AAA4-3757752830E5}"/>
              </c:ext>
            </c:extLst>
          </c:dPt>
          <c:dPt>
            <c:idx val="10"/>
            <c:invertIfNegative val="0"/>
            <c:bubble3D val="0"/>
            <c:spPr>
              <a:solidFill>
                <a:schemeClr val="accent5">
                  <a:lumMod val="60000"/>
                </a:schemeClr>
              </a:solidFill>
              <a:ln>
                <a:noFill/>
              </a:ln>
              <a:effectLst/>
            </c:spPr>
            <c:extLst>
              <c:ext xmlns:c16="http://schemas.microsoft.com/office/drawing/2014/chart" uri="{C3380CC4-5D6E-409C-BE32-E72D297353CC}">
                <c16:uniqueId val="{00000015-2FDA-4E50-AAA4-3757752830E5}"/>
              </c:ext>
            </c:extLst>
          </c:dPt>
          <c:dPt>
            <c:idx val="11"/>
            <c:invertIfNegative val="0"/>
            <c:bubble3D val="0"/>
            <c:spPr>
              <a:solidFill>
                <a:schemeClr val="accent6">
                  <a:lumMod val="60000"/>
                </a:schemeClr>
              </a:solidFill>
              <a:ln>
                <a:noFill/>
              </a:ln>
              <a:effectLst/>
            </c:spPr>
            <c:extLst>
              <c:ext xmlns:c16="http://schemas.microsoft.com/office/drawing/2014/chart" uri="{C3380CC4-5D6E-409C-BE32-E72D297353CC}">
                <c16:uniqueId val="{00000017-2FDA-4E50-AAA4-3757752830E5}"/>
              </c:ext>
            </c:extLst>
          </c:dPt>
          <c:cat>
            <c:strRef>
              <c:f>'Disease area'!$C$5:$C$17</c:f>
              <c:strCache>
                <c:ptCount val="12"/>
                <c:pt idx="0">
                  <c:v>Endocrine| metabolic</c:v>
                </c:pt>
                <c:pt idx="1">
                  <c:v>Eye</c:v>
                </c:pt>
                <c:pt idx="2">
                  <c:v>Cancer</c:v>
                </c:pt>
                <c:pt idx="3">
                  <c:v>Musculoskeletal</c:v>
                </c:pt>
                <c:pt idx="4">
                  <c:v>Blood | immune</c:v>
                </c:pt>
                <c:pt idx="5">
                  <c:v>Central nervous system</c:v>
                </c:pt>
                <c:pt idx="6">
                  <c:v>Cardiovascular</c:v>
                </c:pt>
                <c:pt idx="7">
                  <c:v>Infectious diseases</c:v>
                </c:pt>
                <c:pt idx="8">
                  <c:v>Digestive system</c:v>
                </c:pt>
                <c:pt idx="9">
                  <c:v>Behaviour</c:v>
                </c:pt>
                <c:pt idx="10">
                  <c:v>Urogenital</c:v>
                </c:pt>
                <c:pt idx="11">
                  <c:v>Skin| wounds</c:v>
                </c:pt>
              </c:strCache>
            </c:strRef>
          </c:cat>
          <c:val>
            <c:numRef>
              <c:f>'Disease area'!$D$5:$D$17</c:f>
              <c:numCache>
                <c:formatCode>General</c:formatCode>
                <c:ptCount val="12"/>
                <c:pt idx="0">
                  <c:v>45</c:v>
                </c:pt>
                <c:pt idx="1">
                  <c:v>27</c:v>
                </c:pt>
                <c:pt idx="2">
                  <c:v>15</c:v>
                </c:pt>
                <c:pt idx="3">
                  <c:v>14</c:v>
                </c:pt>
                <c:pt idx="4">
                  <c:v>14</c:v>
                </c:pt>
                <c:pt idx="5">
                  <c:v>13</c:v>
                </c:pt>
                <c:pt idx="6">
                  <c:v>13</c:v>
                </c:pt>
                <c:pt idx="7">
                  <c:v>12</c:v>
                </c:pt>
                <c:pt idx="8">
                  <c:v>7</c:v>
                </c:pt>
                <c:pt idx="9">
                  <c:v>2</c:v>
                </c:pt>
                <c:pt idx="10">
                  <c:v>2</c:v>
                </c:pt>
                <c:pt idx="11">
                  <c:v>2</c:v>
                </c:pt>
              </c:numCache>
            </c:numRef>
          </c:val>
          <c:extLst>
            <c:ext xmlns:c16="http://schemas.microsoft.com/office/drawing/2014/chart" uri="{C3380CC4-5D6E-409C-BE32-E72D297353CC}">
              <c16:uniqueId val="{00000018-2FDA-4E50-AAA4-3757752830E5}"/>
            </c:ext>
          </c:extLst>
        </c:ser>
        <c:dLbls>
          <c:showLegendKey val="0"/>
          <c:showVal val="0"/>
          <c:showCatName val="0"/>
          <c:showSerName val="0"/>
          <c:showPercent val="0"/>
          <c:showBubbleSize val="0"/>
        </c:dLbls>
        <c:gapWidth val="150"/>
        <c:axId val="912692528"/>
        <c:axId val="903517056"/>
      </c:barChart>
      <c:catAx>
        <c:axId val="912692528"/>
        <c:scaling>
          <c:orientation val="maxMin"/>
        </c:scaling>
        <c:delete val="1"/>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Disease</a:t>
                </a:r>
                <a:r>
                  <a:rPr lang="en-GB" b="1" baseline="0"/>
                  <a:t> area</a:t>
                </a:r>
                <a:endParaRPr lang="en-GB"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crossAx val="903517056"/>
        <c:crosses val="autoZero"/>
        <c:auto val="1"/>
        <c:lblAlgn val="ctr"/>
        <c:lblOffset val="100"/>
        <c:noMultiLvlLbl val="0"/>
      </c:catAx>
      <c:valAx>
        <c:axId val="903517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Number of trials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692528"/>
        <c:crosses val="max"/>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[Platform Technologies Pipeline Scan December 2024- Final version.xlsm]Types of endpoints!PivotTable5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Distribution of endpoints by type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a:noFill/>
          </a:ln>
          <a:effectLst/>
        </c:spPr>
      </c:pivotFmt>
      <c:pivotFmt>
        <c:idx val="3"/>
        <c:spPr>
          <a:solidFill>
            <a:schemeClr val="accent1"/>
          </a:solidFill>
          <a:ln>
            <a:noFill/>
          </a:ln>
          <a:effectLst/>
        </c:spPr>
      </c:pivotFmt>
      <c:pivotFmt>
        <c:idx val="4"/>
        <c:spPr>
          <a:solidFill>
            <a:schemeClr val="accent1"/>
          </a:solidFill>
          <a:ln>
            <a:noFill/>
          </a:ln>
          <a:effectLst/>
        </c:spPr>
      </c:pivotFmt>
      <c:pivotFmt>
        <c:idx val="5"/>
        <c:spPr>
          <a:solidFill>
            <a:schemeClr val="accent1"/>
          </a:solidFill>
          <a:ln>
            <a:noFill/>
          </a:ln>
          <a:effectLst/>
        </c:spPr>
      </c:pivotFmt>
      <c:pivotFmt>
        <c:idx val="6"/>
        <c:spPr>
          <a:solidFill>
            <a:schemeClr val="accent1"/>
          </a:solidFill>
          <a:ln>
            <a:noFill/>
          </a:ln>
          <a:effectLst/>
        </c:spPr>
      </c:pivotFmt>
      <c:pivotFmt>
        <c:idx val="7"/>
        <c:spPr>
          <a:solidFill>
            <a:schemeClr val="accent1"/>
          </a:solidFill>
          <a:ln>
            <a:noFill/>
          </a:ln>
          <a:effectLst/>
        </c:spPr>
      </c:pivotFmt>
      <c:pivotFmt>
        <c:idx val="8"/>
        <c:spPr>
          <a:solidFill>
            <a:schemeClr val="accent1"/>
          </a:solidFill>
          <a:ln>
            <a:noFill/>
          </a:ln>
          <a:effectLst/>
        </c:spPr>
      </c:pivotFmt>
      <c:pivotFmt>
        <c:idx val="9"/>
        <c:spPr>
          <a:solidFill>
            <a:schemeClr val="accent1"/>
          </a:solidFill>
          <a:ln>
            <a:noFill/>
          </a:ln>
          <a:effectLst/>
        </c:spPr>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extLst>
        </c:dLbl>
      </c:pivotFmt>
      <c:pivotFmt>
        <c:idx val="11"/>
        <c:spPr>
          <a:solidFill>
            <a:schemeClr val="accent1"/>
          </a:solidFill>
          <a:ln>
            <a:noFill/>
          </a:ln>
          <a:effectLst/>
        </c:spPr>
      </c:pivotFmt>
      <c:pivotFmt>
        <c:idx val="12"/>
        <c:spPr>
          <a:solidFill>
            <a:schemeClr val="accent1"/>
          </a:solidFill>
          <a:ln>
            <a:noFill/>
          </a:ln>
          <a:effectLst/>
        </c:spPr>
      </c:pivotFmt>
      <c:pivotFmt>
        <c:idx val="13"/>
        <c:spPr>
          <a:solidFill>
            <a:schemeClr val="accent1"/>
          </a:solidFill>
          <a:ln>
            <a:noFill/>
          </a:ln>
          <a:effectLst/>
        </c:spPr>
      </c:pivotFmt>
      <c:pivotFmt>
        <c:idx val="14"/>
        <c:spPr>
          <a:solidFill>
            <a:schemeClr val="accent1"/>
          </a:solidFill>
          <a:ln>
            <a:noFill/>
          </a:ln>
          <a:effectLst/>
        </c:spPr>
      </c:pivotFmt>
      <c:pivotFmt>
        <c:idx val="15"/>
        <c:spPr>
          <a:solidFill>
            <a:schemeClr val="accent1"/>
          </a:solidFill>
          <a:ln>
            <a:noFill/>
          </a:ln>
          <a:effectLst/>
        </c:spPr>
      </c:pivotFmt>
      <c:pivotFmt>
        <c:idx val="16"/>
        <c:spPr>
          <a:solidFill>
            <a:schemeClr val="accent1"/>
          </a:solidFill>
          <a:ln>
            <a:noFill/>
          </a:ln>
          <a:effectLst/>
        </c:spPr>
      </c:pivotFmt>
      <c:pivotFmt>
        <c:idx val="17"/>
        <c:spPr>
          <a:solidFill>
            <a:schemeClr val="accent1"/>
          </a:solidFill>
          <a:ln>
            <a:noFill/>
          </a:ln>
          <a:effectLst/>
        </c:spPr>
      </c:pivotFmt>
      <c:pivotFmt>
        <c:idx val="18"/>
        <c:spPr>
          <a:solidFill>
            <a:schemeClr val="accent1"/>
          </a:solidFill>
          <a:ln>
            <a:noFill/>
          </a:ln>
          <a:effectLst/>
        </c:spPr>
      </c:pivotFmt>
    </c:pivotFmts>
    <c:plotArea>
      <c:layout/>
      <c:pieChart>
        <c:varyColors val="1"/>
        <c:ser>
          <c:idx val="0"/>
          <c:order val="0"/>
          <c:tx>
            <c:strRef>
              <c:f>'Types of endpoints'!$D$4</c:f>
              <c:strCache>
                <c:ptCount val="1"/>
                <c:pt idx="0">
                  <c:v>Total</c:v>
                </c:pt>
              </c:strCache>
            </c:strRef>
          </c:tx>
          <c:dPt>
            <c:idx val="0"/>
            <c:bubble3D val="0"/>
            <c:spPr>
              <a:solidFill>
                <a:schemeClr val="accent1"/>
              </a:solidFill>
              <a:ln>
                <a:noFill/>
              </a:ln>
              <a:effectLst/>
            </c:spPr>
            <c:extLst>
              <c:ext xmlns:c16="http://schemas.microsoft.com/office/drawing/2014/chart" uri="{C3380CC4-5D6E-409C-BE32-E72D297353CC}">
                <c16:uniqueId val="{00000001-6F8E-4635-BE03-FE00EAEE26AC}"/>
              </c:ext>
            </c:extLst>
          </c:dPt>
          <c:dPt>
            <c:idx val="1"/>
            <c:bubble3D val="0"/>
            <c:spPr>
              <a:solidFill>
                <a:schemeClr val="accent2"/>
              </a:solidFill>
              <a:ln>
                <a:noFill/>
              </a:ln>
              <a:effectLst/>
            </c:spPr>
            <c:extLst>
              <c:ext xmlns:c16="http://schemas.microsoft.com/office/drawing/2014/chart" uri="{C3380CC4-5D6E-409C-BE32-E72D297353CC}">
                <c16:uniqueId val="{00000003-6F8E-4635-BE03-FE00EAEE26AC}"/>
              </c:ext>
            </c:extLst>
          </c:dPt>
          <c:dPt>
            <c:idx val="2"/>
            <c:bubble3D val="0"/>
            <c:spPr>
              <a:solidFill>
                <a:schemeClr val="accent3"/>
              </a:solidFill>
              <a:ln>
                <a:noFill/>
              </a:ln>
              <a:effectLst/>
            </c:spPr>
            <c:extLst>
              <c:ext xmlns:c16="http://schemas.microsoft.com/office/drawing/2014/chart" uri="{C3380CC4-5D6E-409C-BE32-E72D297353CC}">
                <c16:uniqueId val="{00000005-6F8E-4635-BE03-FE00EAEE26AC}"/>
              </c:ext>
            </c:extLst>
          </c:dPt>
          <c:dPt>
            <c:idx val="3"/>
            <c:bubble3D val="0"/>
            <c:spPr>
              <a:solidFill>
                <a:schemeClr val="accent4"/>
              </a:solidFill>
              <a:ln>
                <a:noFill/>
              </a:ln>
              <a:effectLst/>
            </c:spPr>
            <c:extLst>
              <c:ext xmlns:c16="http://schemas.microsoft.com/office/drawing/2014/chart" uri="{C3380CC4-5D6E-409C-BE32-E72D297353CC}">
                <c16:uniqueId val="{00000007-6F8E-4635-BE03-FE00EAEE26AC}"/>
              </c:ext>
            </c:extLst>
          </c:dPt>
          <c:dPt>
            <c:idx val="4"/>
            <c:bubble3D val="0"/>
            <c:spPr>
              <a:solidFill>
                <a:schemeClr val="accent5"/>
              </a:solidFill>
              <a:ln>
                <a:noFill/>
              </a:ln>
              <a:effectLst/>
            </c:spPr>
            <c:extLst>
              <c:ext xmlns:c16="http://schemas.microsoft.com/office/drawing/2014/chart" uri="{C3380CC4-5D6E-409C-BE32-E72D297353CC}">
                <c16:uniqueId val="{00000009-6F8E-4635-BE03-FE00EAEE26AC}"/>
              </c:ext>
            </c:extLst>
          </c:dPt>
          <c:dPt>
            <c:idx val="5"/>
            <c:bubble3D val="0"/>
            <c:spPr>
              <a:solidFill>
                <a:schemeClr val="accent6"/>
              </a:solidFill>
              <a:ln>
                <a:noFill/>
              </a:ln>
              <a:effectLst/>
            </c:spPr>
            <c:extLst>
              <c:ext xmlns:c16="http://schemas.microsoft.com/office/drawing/2014/chart" uri="{C3380CC4-5D6E-409C-BE32-E72D297353CC}">
                <c16:uniqueId val="{0000000B-6F8E-4635-BE03-FE00EAEE26AC}"/>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D-6F8E-4635-BE03-FE00EAEE26AC}"/>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F-6F8E-4635-BE03-FE00EAEE26A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'Types of endpoints'!$C$5:$C$13</c:f>
              <c:strCache>
                <c:ptCount val="8"/>
                <c:pt idx="0">
                  <c:v>Clinical</c:v>
                </c:pt>
                <c:pt idx="1">
                  <c:v>Surrogate</c:v>
                </c:pt>
                <c:pt idx="2">
                  <c:v>Safety</c:v>
                </c:pt>
                <c:pt idx="3">
                  <c:v>Biomarker</c:v>
                </c:pt>
                <c:pt idx="4">
                  <c:v>Exploratory</c:v>
                </c:pt>
                <c:pt idx="5">
                  <c:v>NA</c:v>
                </c:pt>
                <c:pt idx="6">
                  <c:v>Treatment burden</c:v>
                </c:pt>
                <c:pt idx="7">
                  <c:v>Pharmacokinetic</c:v>
                </c:pt>
              </c:strCache>
            </c:strRef>
          </c:cat>
          <c:val>
            <c:numRef>
              <c:f>'Types of endpoints'!$D$5:$D$13</c:f>
              <c:numCache>
                <c:formatCode>General</c:formatCode>
                <c:ptCount val="8"/>
                <c:pt idx="0">
                  <c:v>82</c:v>
                </c:pt>
                <c:pt idx="1">
                  <c:v>54</c:v>
                </c:pt>
                <c:pt idx="2">
                  <c:v>16</c:v>
                </c:pt>
                <c:pt idx="3">
                  <c:v>7</c:v>
                </c:pt>
                <c:pt idx="4">
                  <c:v>3</c:v>
                </c:pt>
                <c:pt idx="5">
                  <c:v>2</c:v>
                </c:pt>
                <c:pt idx="6">
                  <c:v>1</c:v>
                </c:pt>
                <c:pt idx="7">
                  <c:v>1</c:v>
                </c:pt>
              </c:numCache>
            </c:numRef>
          </c:val>
          <c:extLst>
            <c:ext xmlns:c16="http://schemas.microsoft.com/office/drawing/2014/chart" uri="{C3380CC4-5D6E-409C-BE32-E72D297353CC}">
              <c16:uniqueId val="{00000010-6F8E-4635-BE03-FE00EAEE26AC}"/>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sz="1400" b="1" i="0" u="none" strike="noStrike" baseline="0"/>
              <a:t>Validation of Clinical vs Surrogate Endpoints</a:t>
            </a:r>
            <a:endParaRPr lang="en-GB"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stacked"/>
        <c:varyColors val="0"/>
        <c:ser>
          <c:idx val="0"/>
          <c:order val="0"/>
          <c:tx>
            <c:strRef>
              <c:f>'Validated clinical surrogate'!$B$4</c:f>
              <c:strCache>
                <c:ptCount val="1"/>
                <c:pt idx="0">
                  <c:v>Surrogate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4"/>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'Validated clinical surrogate'!$C$3:$E$3</c:f>
              <c:strCache>
                <c:ptCount val="3"/>
                <c:pt idx="0">
                  <c:v>Not validated</c:v>
                </c:pt>
                <c:pt idx="1">
                  <c:v>Inconclusive</c:v>
                </c:pt>
                <c:pt idx="2">
                  <c:v>Validated</c:v>
                </c:pt>
              </c:strCache>
            </c:strRef>
          </c:cat>
          <c:val>
            <c:numRef>
              <c:f>'Validated clinical surrogate'!$C$4:$E$4</c:f>
              <c:numCache>
                <c:formatCode>General</c:formatCode>
                <c:ptCount val="3"/>
                <c:pt idx="0">
                  <c:v>10</c:v>
                </c:pt>
                <c:pt idx="1">
                  <c:v>5</c:v>
                </c:pt>
                <c:pt idx="2">
                  <c:v>38</c:v>
                </c:pt>
              </c:numCache>
            </c:numRef>
          </c:val>
          <c:extLst>
            <c:ext xmlns:c16="http://schemas.microsoft.com/office/drawing/2014/chart" uri="{C3380CC4-5D6E-409C-BE32-E72D297353CC}">
              <c16:uniqueId val="{00000000-B374-41A5-83FD-F9AF522248CF}"/>
            </c:ext>
          </c:extLst>
        </c:ser>
        <c:ser>
          <c:idx val="1"/>
          <c:order val="1"/>
          <c:tx>
            <c:strRef>
              <c:f>'Validated clinical surrogate'!$B$5</c:f>
              <c:strCache>
                <c:ptCount val="1"/>
                <c:pt idx="0">
                  <c:v>Clinical</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'Validated clinical surrogate'!$C$3:$E$3</c:f>
              <c:strCache>
                <c:ptCount val="3"/>
                <c:pt idx="0">
                  <c:v>Not validated</c:v>
                </c:pt>
                <c:pt idx="1">
                  <c:v>Inconclusive</c:v>
                </c:pt>
                <c:pt idx="2">
                  <c:v>Validated</c:v>
                </c:pt>
              </c:strCache>
            </c:strRef>
          </c:cat>
          <c:val>
            <c:numRef>
              <c:f>'Validated clinical surrogate'!$C$5:$E$5</c:f>
              <c:numCache>
                <c:formatCode>General</c:formatCode>
                <c:ptCount val="3"/>
                <c:pt idx="0">
                  <c:v>7</c:v>
                </c:pt>
                <c:pt idx="1">
                  <c:v>18</c:v>
                </c:pt>
                <c:pt idx="2">
                  <c:v>50</c:v>
                </c:pt>
              </c:numCache>
            </c:numRef>
          </c:val>
          <c:extLst>
            <c:ext xmlns:c16="http://schemas.microsoft.com/office/drawing/2014/chart" uri="{C3380CC4-5D6E-409C-BE32-E72D297353CC}">
              <c16:uniqueId val="{00000001-B374-41A5-83FD-F9AF522248CF}"/>
            </c:ext>
          </c:extLst>
        </c:ser>
        <c:dLbls>
          <c:showLegendKey val="0"/>
          <c:showVal val="1"/>
          <c:showCatName val="0"/>
          <c:showSerName val="0"/>
          <c:showPercent val="0"/>
          <c:showBubbleSize val="0"/>
        </c:dLbls>
        <c:gapWidth val="75"/>
        <c:overlap val="100"/>
        <c:axId val="644416736"/>
        <c:axId val="644417696"/>
      </c:barChart>
      <c:catAx>
        <c:axId val="6444167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Validation status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417696"/>
        <c:crosses val="autoZero"/>
        <c:auto val="1"/>
        <c:lblAlgn val="ctr"/>
        <c:lblOffset val="100"/>
        <c:noMultiLvlLbl val="0"/>
      </c:catAx>
      <c:valAx>
        <c:axId val="644417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 of trials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416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[Platform Technologies Pipeline Scan December 2024- Final version.xlsm]Rare disease status!PivotTable19</c:name>
    <c:fmtId val="-1"/>
  </c:pivotSource>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Percentage distribution of rare disease status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6"/>
          </a:solidFill>
          <a:ln>
            <a:noFill/>
          </a:ln>
          <a:effectLst/>
        </c:spPr>
      </c:pivotFmt>
      <c:pivotFmt>
        <c:idx val="3"/>
        <c:spPr>
          <a:solidFill>
            <a:schemeClr val="accent6"/>
          </a:solidFill>
          <a:ln>
            <a:noFill/>
          </a:ln>
          <a:effectLst/>
        </c:spPr>
      </c:pivotFmt>
      <c:pivotFmt>
        <c:idx val="4"/>
        <c:spPr>
          <a:solidFill>
            <a:schemeClr val="accent6"/>
          </a:solidFill>
          <a:ln>
            <a:noFill/>
          </a:ln>
          <a:effectLst/>
        </c:spPr>
      </c:pivotFmt>
      <c:pivotFmt>
        <c:idx val="5"/>
        <c:spPr>
          <a:solidFill>
            <a:schemeClr val="accent6"/>
          </a:solidFill>
          <a:ln>
            <a:noFill/>
          </a:ln>
          <a:effectLst/>
        </c:spPr>
      </c:pivotFmt>
      <c:pivotFmt>
        <c:idx val="6"/>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6"/>
          </a:solidFill>
          <a:ln>
            <a:noFill/>
          </a:ln>
          <a:effectLst/>
        </c:spPr>
      </c:pivotFmt>
      <c:pivotFmt>
        <c:idx val="8"/>
        <c:spPr>
          <a:solidFill>
            <a:schemeClr val="accent6"/>
          </a:solidFill>
          <a:ln>
            <a:noFill/>
          </a:ln>
          <a:effectLst/>
        </c:spPr>
      </c:pivotFmt>
      <c:pivotFmt>
        <c:idx val="9"/>
        <c:spPr>
          <a:solidFill>
            <a:schemeClr val="accent6"/>
          </a:solidFill>
          <a:ln>
            <a:noFill/>
          </a:ln>
          <a:effectLst/>
        </c:spPr>
      </c:pivotFmt>
      <c:pivotFmt>
        <c:idx val="10"/>
        <c:spPr>
          <a:solidFill>
            <a:schemeClr val="accent6"/>
          </a:solidFill>
          <a:ln>
            <a:noFill/>
          </a:ln>
          <a:effectLst/>
        </c:spPr>
      </c:pivotFmt>
    </c:pivotFmts>
    <c:plotArea>
      <c:layout/>
      <c:barChart>
        <c:barDir val="bar"/>
        <c:grouping val="clustered"/>
        <c:varyColors val="1"/>
        <c:ser>
          <c:idx val="0"/>
          <c:order val="0"/>
          <c:tx>
            <c:strRef>
              <c:f>'Rare disease status'!$D$4</c:f>
              <c:strCache>
                <c:ptCount val="1"/>
                <c:pt idx="0">
                  <c:v>Total</c:v>
                </c:pt>
              </c:strCache>
            </c:strRef>
          </c:tx>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1-262F-4E37-B8A8-B3CA1ED76905}"/>
              </c:ext>
            </c:extLst>
          </c:dPt>
          <c:dPt>
            <c:idx val="1"/>
            <c:invertIfNegative val="0"/>
            <c:bubble3D val="0"/>
            <c:spPr>
              <a:solidFill>
                <a:schemeClr val="accent5"/>
              </a:solidFill>
              <a:ln>
                <a:noFill/>
              </a:ln>
              <a:effectLst/>
            </c:spPr>
            <c:extLst>
              <c:ext xmlns:c16="http://schemas.microsoft.com/office/drawing/2014/chart" uri="{C3380CC4-5D6E-409C-BE32-E72D297353CC}">
                <c16:uniqueId val="{00000003-262F-4E37-B8A8-B3CA1ED76905}"/>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5-262F-4E37-B8A8-B3CA1ED76905}"/>
              </c:ext>
            </c:extLst>
          </c:dPt>
          <c:dPt>
            <c:idx val="3"/>
            <c:invertIfNegative val="0"/>
            <c:bubble3D val="0"/>
            <c:spPr>
              <a:solidFill>
                <a:schemeClr val="accent6">
                  <a:lumMod val="60000"/>
                </a:schemeClr>
              </a:solidFill>
              <a:ln>
                <a:noFill/>
              </a:ln>
              <a:effectLst/>
            </c:spPr>
            <c:extLst>
              <c:ext xmlns:c16="http://schemas.microsoft.com/office/drawing/2014/chart" uri="{C3380CC4-5D6E-409C-BE32-E72D297353CC}">
                <c16:uniqueId val="{00000007-262F-4E37-B8A8-B3CA1ED76905}"/>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'Rare disease status'!$C$5:$C$9</c:f>
              <c:strCache>
                <c:ptCount val="4"/>
                <c:pt idx="0">
                  <c:v>Not rare</c:v>
                </c:pt>
                <c:pt idx="1">
                  <c:v>Ultra rare &lt;1 in 50,000</c:v>
                </c:pt>
                <c:pt idx="2">
                  <c:v>Rare &lt;1 in 2,000</c:v>
                </c:pt>
                <c:pt idx="3">
                  <c:v>Very rare &lt;1 in 10,000</c:v>
                </c:pt>
              </c:strCache>
            </c:strRef>
          </c:cat>
          <c:val>
            <c:numRef>
              <c:f>'Rare disease status'!$D$5:$D$9</c:f>
              <c:numCache>
                <c:formatCode>0.00%</c:formatCode>
                <c:ptCount val="4"/>
                <c:pt idx="0">
                  <c:v>0.40361445783132532</c:v>
                </c:pt>
                <c:pt idx="1">
                  <c:v>0.28915662650602408</c:v>
                </c:pt>
                <c:pt idx="2">
                  <c:v>0.22289156626506024</c:v>
                </c:pt>
                <c:pt idx="3">
                  <c:v>8.4337349397590355E-2</c:v>
                </c:pt>
              </c:numCache>
            </c:numRef>
          </c:val>
          <c:extLst>
            <c:ext xmlns:c16="http://schemas.microsoft.com/office/drawing/2014/chart" uri="{C3380CC4-5D6E-409C-BE32-E72D297353CC}">
              <c16:uniqueId val="{00000008-262F-4E37-B8A8-B3CA1ED76905}"/>
            </c:ext>
          </c:extLst>
        </c:ser>
        <c:dLbls>
          <c:showLegendKey val="0"/>
          <c:showVal val="0"/>
          <c:showCatName val="0"/>
          <c:showSerName val="0"/>
          <c:showPercent val="0"/>
          <c:showBubbleSize val="0"/>
        </c:dLbls>
        <c:gapWidth val="75"/>
        <c:overlap val="40"/>
        <c:axId val="283674464"/>
        <c:axId val="283675424"/>
      </c:barChart>
      <c:catAx>
        <c:axId val="28367446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3675424"/>
        <c:crosses val="autoZero"/>
        <c:auto val="1"/>
        <c:lblAlgn val="ctr"/>
        <c:lblOffset val="100"/>
        <c:noMultiLvlLbl val="0"/>
      </c:catAx>
      <c:valAx>
        <c:axId val="28367542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283674464"/>
        <c:crosses val="max"/>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sz="1400" b="1" i="0" u="none" strike="noStrike" baseline="0"/>
              <a:t>Clinical trial sample sizes by disease rarity</a:t>
            </a:r>
            <a:endParaRPr lang="en-GB" sz="140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scatterChart>
        <c:scatterStyle val="lineMarker"/>
        <c:varyColors val="0"/>
        <c:ser>
          <c:idx val="0"/>
          <c:order val="0"/>
          <c:tx>
            <c:strRef>
              <c:f>'trial design'!$H$1</c:f>
              <c:strCache>
                <c:ptCount val="1"/>
                <c:pt idx="0">
                  <c:v>X axis</c:v>
                </c:pt>
              </c:strCache>
            </c:strRef>
          </c:tx>
          <c:spPr>
            <a:ln w="25400" cap="rnd">
              <a:noFill/>
              <a:round/>
            </a:ln>
            <a:effectLst/>
          </c:spPr>
          <c:marker>
            <c:symbol val="circle"/>
            <c:size val="5"/>
            <c:spPr>
              <a:solidFill>
                <a:schemeClr val="accent1"/>
              </a:solidFill>
              <a:ln w="9525">
                <a:solidFill>
                  <a:schemeClr val="accent1"/>
                </a:solidFill>
              </a:ln>
              <a:effectLst/>
            </c:spPr>
          </c:marker>
          <c:xVal>
            <c:numRef>
              <c:f>'trial design'!$H$2:$H$160</c:f>
              <c:numCache>
                <c:formatCode>General</c:formatCode>
                <c:ptCount val="157"/>
                <c:pt idx="0">
                  <c:v>2</c:v>
                </c:pt>
                <c:pt idx="1">
                  <c:v>2</c:v>
                </c:pt>
                <c:pt idx="2">
                  <c:v>3</c:v>
                </c:pt>
                <c:pt idx="3">
                  <c:v>4</c:v>
                </c:pt>
                <c:pt idx="4">
                  <c:v>2</c:v>
                </c:pt>
                <c:pt idx="5">
                  <c:v>2</c:v>
                </c:pt>
                <c:pt idx="6">
                  <c:v>4</c:v>
                </c:pt>
                <c:pt idx="7">
                  <c:v>1</c:v>
                </c:pt>
                <c:pt idx="8">
                  <c:v>4</c:v>
                </c:pt>
                <c:pt idx="9">
                  <c:v>2</c:v>
                </c:pt>
                <c:pt idx="10">
                  <c:v>3</c:v>
                </c:pt>
                <c:pt idx="11">
                  <c:v>3</c:v>
                </c:pt>
                <c:pt idx="12">
                  <c:v>1</c:v>
                </c:pt>
                <c:pt idx="13">
                  <c:v>1</c:v>
                </c:pt>
                <c:pt idx="14">
                  <c:v>1</c:v>
                </c:pt>
                <c:pt idx="15">
                  <c:v>3</c:v>
                </c:pt>
                <c:pt idx="16">
                  <c:v>3</c:v>
                </c:pt>
                <c:pt idx="17">
                  <c:v>3</c:v>
                </c:pt>
                <c:pt idx="18">
                  <c:v>3</c:v>
                </c:pt>
                <c:pt idx="19">
                  <c:v>2</c:v>
                </c:pt>
                <c:pt idx="20">
                  <c:v>1</c:v>
                </c:pt>
                <c:pt idx="21">
                  <c:v>1</c:v>
                </c:pt>
                <c:pt idx="22">
                  <c:v>4</c:v>
                </c:pt>
                <c:pt idx="23">
                  <c:v>2</c:v>
                </c:pt>
                <c:pt idx="24">
                  <c:v>2</c:v>
                </c:pt>
                <c:pt idx="25">
                  <c:v>4</c:v>
                </c:pt>
                <c:pt idx="26">
                  <c:v>1</c:v>
                </c:pt>
                <c:pt idx="27">
                  <c:v>2</c:v>
                </c:pt>
                <c:pt idx="28">
                  <c:v>3</c:v>
                </c:pt>
                <c:pt idx="29">
                  <c:v>1</c:v>
                </c:pt>
                <c:pt idx="30">
                  <c:v>1</c:v>
                </c:pt>
                <c:pt idx="31">
                  <c:v>1</c:v>
                </c:pt>
                <c:pt idx="32">
                  <c:v>1</c:v>
                </c:pt>
                <c:pt idx="33">
                  <c:v>1</c:v>
                </c:pt>
                <c:pt idx="34">
                  <c:v>1</c:v>
                </c:pt>
                <c:pt idx="35">
                  <c:v>1</c:v>
                </c:pt>
                <c:pt idx="36">
                  <c:v>1</c:v>
                </c:pt>
                <c:pt idx="37">
                  <c:v>3</c:v>
                </c:pt>
                <c:pt idx="38">
                  <c:v>1</c:v>
                </c:pt>
                <c:pt idx="39">
                  <c:v>2</c:v>
                </c:pt>
                <c:pt idx="40">
                  <c:v>2</c:v>
                </c:pt>
                <c:pt idx="41">
                  <c:v>2</c:v>
                </c:pt>
                <c:pt idx="42">
                  <c:v>2</c:v>
                </c:pt>
                <c:pt idx="43">
                  <c:v>2</c:v>
                </c:pt>
                <c:pt idx="44">
                  <c:v>1</c:v>
                </c:pt>
                <c:pt idx="45">
                  <c:v>1</c:v>
                </c:pt>
                <c:pt idx="46">
                  <c:v>3</c:v>
                </c:pt>
                <c:pt idx="47">
                  <c:v>1</c:v>
                </c:pt>
                <c:pt idx="48">
                  <c:v>1</c:v>
                </c:pt>
                <c:pt idx="49">
                  <c:v>4</c:v>
                </c:pt>
                <c:pt idx="50">
                  <c:v>1</c:v>
                </c:pt>
                <c:pt idx="51">
                  <c:v>1</c:v>
                </c:pt>
                <c:pt idx="52">
                  <c:v>1</c:v>
                </c:pt>
                <c:pt idx="53">
                  <c:v>1</c:v>
                </c:pt>
                <c:pt idx="54">
                  <c:v>1</c:v>
                </c:pt>
                <c:pt idx="55">
                  <c:v>1</c:v>
                </c:pt>
                <c:pt idx="56">
                  <c:v>1</c:v>
                </c:pt>
                <c:pt idx="57">
                  <c:v>1</c:v>
                </c:pt>
                <c:pt idx="58">
                  <c:v>2</c:v>
                </c:pt>
                <c:pt idx="59">
                  <c:v>1</c:v>
                </c:pt>
                <c:pt idx="60">
                  <c:v>2</c:v>
                </c:pt>
                <c:pt idx="61">
                  <c:v>1</c:v>
                </c:pt>
                <c:pt idx="62">
                  <c:v>1</c:v>
                </c:pt>
                <c:pt idx="63">
                  <c:v>1</c:v>
                </c:pt>
                <c:pt idx="64">
                  <c:v>4</c:v>
                </c:pt>
                <c:pt idx="65">
                  <c:v>3</c:v>
                </c:pt>
                <c:pt idx="66">
                  <c:v>1</c:v>
                </c:pt>
                <c:pt idx="67">
                  <c:v>1</c:v>
                </c:pt>
                <c:pt idx="68">
                  <c:v>3</c:v>
                </c:pt>
                <c:pt idx="69">
                  <c:v>4</c:v>
                </c:pt>
                <c:pt idx="70">
                  <c:v>4</c:v>
                </c:pt>
                <c:pt idx="71">
                  <c:v>3</c:v>
                </c:pt>
                <c:pt idx="72">
                  <c:v>4</c:v>
                </c:pt>
                <c:pt idx="73">
                  <c:v>4</c:v>
                </c:pt>
                <c:pt idx="74">
                  <c:v>4</c:v>
                </c:pt>
                <c:pt idx="75">
                  <c:v>4</c:v>
                </c:pt>
                <c:pt idx="76">
                  <c:v>1</c:v>
                </c:pt>
                <c:pt idx="77">
                  <c:v>1</c:v>
                </c:pt>
                <c:pt idx="78">
                  <c:v>1</c:v>
                </c:pt>
                <c:pt idx="79">
                  <c:v>4</c:v>
                </c:pt>
                <c:pt idx="80">
                  <c:v>4</c:v>
                </c:pt>
                <c:pt idx="81">
                  <c:v>4</c:v>
                </c:pt>
                <c:pt idx="82">
                  <c:v>4</c:v>
                </c:pt>
                <c:pt idx="83">
                  <c:v>1</c:v>
                </c:pt>
                <c:pt idx="84">
                  <c:v>1</c:v>
                </c:pt>
                <c:pt idx="85">
                  <c:v>4</c:v>
                </c:pt>
                <c:pt idx="86">
                  <c:v>1</c:v>
                </c:pt>
                <c:pt idx="87">
                  <c:v>4</c:v>
                </c:pt>
                <c:pt idx="88">
                  <c:v>2</c:v>
                </c:pt>
                <c:pt idx="89">
                  <c:v>4</c:v>
                </c:pt>
                <c:pt idx="90">
                  <c:v>4</c:v>
                </c:pt>
                <c:pt idx="91">
                  <c:v>1</c:v>
                </c:pt>
                <c:pt idx="92">
                  <c:v>4</c:v>
                </c:pt>
                <c:pt idx="93">
                  <c:v>4</c:v>
                </c:pt>
                <c:pt idx="94">
                  <c:v>1</c:v>
                </c:pt>
                <c:pt idx="95">
                  <c:v>2</c:v>
                </c:pt>
                <c:pt idx="96">
                  <c:v>2</c:v>
                </c:pt>
                <c:pt idx="97">
                  <c:v>3</c:v>
                </c:pt>
                <c:pt idx="98">
                  <c:v>1</c:v>
                </c:pt>
                <c:pt idx="99">
                  <c:v>4</c:v>
                </c:pt>
                <c:pt idx="100">
                  <c:v>4</c:v>
                </c:pt>
                <c:pt idx="101">
                  <c:v>1</c:v>
                </c:pt>
                <c:pt idx="102">
                  <c:v>1</c:v>
                </c:pt>
                <c:pt idx="103">
                  <c:v>1</c:v>
                </c:pt>
                <c:pt idx="104">
                  <c:v>2</c:v>
                </c:pt>
                <c:pt idx="105">
                  <c:v>2</c:v>
                </c:pt>
                <c:pt idx="106">
                  <c:v>1</c:v>
                </c:pt>
                <c:pt idx="107">
                  <c:v>1</c:v>
                </c:pt>
                <c:pt idx="108">
                  <c:v>2</c:v>
                </c:pt>
                <c:pt idx="109">
                  <c:v>2</c:v>
                </c:pt>
                <c:pt idx="110">
                  <c:v>4</c:v>
                </c:pt>
                <c:pt idx="111">
                  <c:v>1</c:v>
                </c:pt>
                <c:pt idx="112">
                  <c:v>1</c:v>
                </c:pt>
                <c:pt idx="113">
                  <c:v>1</c:v>
                </c:pt>
                <c:pt idx="114">
                  <c:v>1</c:v>
                </c:pt>
                <c:pt idx="115">
                  <c:v>1</c:v>
                </c:pt>
                <c:pt idx="116">
                  <c:v>1</c:v>
                </c:pt>
                <c:pt idx="117">
                  <c:v>1</c:v>
                </c:pt>
                <c:pt idx="118">
                  <c:v>1</c:v>
                </c:pt>
                <c:pt idx="119">
                  <c:v>2</c:v>
                </c:pt>
                <c:pt idx="120">
                  <c:v>2</c:v>
                </c:pt>
                <c:pt idx="121">
                  <c:v>1</c:v>
                </c:pt>
                <c:pt idx="122">
                  <c:v>4</c:v>
                </c:pt>
                <c:pt idx="123">
                  <c:v>1</c:v>
                </c:pt>
                <c:pt idx="124">
                  <c:v>1</c:v>
                </c:pt>
                <c:pt idx="125">
                  <c:v>4</c:v>
                </c:pt>
                <c:pt idx="126">
                  <c:v>2</c:v>
                </c:pt>
                <c:pt idx="127">
                  <c:v>2</c:v>
                </c:pt>
                <c:pt idx="128">
                  <c:v>2</c:v>
                </c:pt>
                <c:pt idx="129">
                  <c:v>4</c:v>
                </c:pt>
                <c:pt idx="130">
                  <c:v>4</c:v>
                </c:pt>
                <c:pt idx="131">
                  <c:v>4</c:v>
                </c:pt>
                <c:pt idx="132">
                  <c:v>2</c:v>
                </c:pt>
                <c:pt idx="133">
                  <c:v>4</c:v>
                </c:pt>
                <c:pt idx="134">
                  <c:v>4</c:v>
                </c:pt>
                <c:pt idx="135">
                  <c:v>4</c:v>
                </c:pt>
                <c:pt idx="136">
                  <c:v>4</c:v>
                </c:pt>
                <c:pt idx="137">
                  <c:v>4</c:v>
                </c:pt>
                <c:pt idx="138">
                  <c:v>2</c:v>
                </c:pt>
                <c:pt idx="139">
                  <c:v>4</c:v>
                </c:pt>
                <c:pt idx="140">
                  <c:v>4</c:v>
                </c:pt>
                <c:pt idx="141">
                  <c:v>1</c:v>
                </c:pt>
                <c:pt idx="142">
                  <c:v>2</c:v>
                </c:pt>
                <c:pt idx="143">
                  <c:v>2</c:v>
                </c:pt>
                <c:pt idx="144">
                  <c:v>1</c:v>
                </c:pt>
                <c:pt idx="145">
                  <c:v>4</c:v>
                </c:pt>
                <c:pt idx="146">
                  <c:v>4</c:v>
                </c:pt>
                <c:pt idx="147">
                  <c:v>1</c:v>
                </c:pt>
                <c:pt idx="148">
                  <c:v>4</c:v>
                </c:pt>
                <c:pt idx="149">
                  <c:v>4</c:v>
                </c:pt>
                <c:pt idx="150">
                  <c:v>2</c:v>
                </c:pt>
                <c:pt idx="151">
                  <c:v>1</c:v>
                </c:pt>
                <c:pt idx="152">
                  <c:v>1</c:v>
                </c:pt>
                <c:pt idx="153">
                  <c:v>1</c:v>
                </c:pt>
                <c:pt idx="154">
                  <c:v>1</c:v>
                </c:pt>
                <c:pt idx="155">
                  <c:v>1</c:v>
                </c:pt>
                <c:pt idx="156">
                  <c:v>2</c:v>
                </c:pt>
              </c:numCache>
            </c:numRef>
          </c:xVal>
          <c:yVal>
            <c:numRef>
              <c:f>'trial design'!$B$2:$B$167</c:f>
              <c:numCache>
                <c:formatCode>General</c:formatCode>
                <c:ptCount val="164"/>
                <c:pt idx="0">
                  <c:v>228</c:v>
                </c:pt>
                <c:pt idx="1">
                  <c:v>160</c:v>
                </c:pt>
                <c:pt idx="2">
                  <c:v>108</c:v>
                </c:pt>
                <c:pt idx="3">
                  <c:v>145</c:v>
                </c:pt>
                <c:pt idx="4">
                  <c:v>77</c:v>
                </c:pt>
                <c:pt idx="5">
                  <c:v>228</c:v>
                </c:pt>
                <c:pt idx="6">
                  <c:v>168</c:v>
                </c:pt>
                <c:pt idx="7">
                  <c:v>750</c:v>
                </c:pt>
                <c:pt idx="8">
                  <c:v>73</c:v>
                </c:pt>
                <c:pt idx="9">
                  <c:v>95</c:v>
                </c:pt>
                <c:pt idx="10">
                  <c:v>75</c:v>
                </c:pt>
                <c:pt idx="11">
                  <c:v>120</c:v>
                </c:pt>
                <c:pt idx="12">
                  <c:v>8323</c:v>
                </c:pt>
                <c:pt idx="13">
                  <c:v>941</c:v>
                </c:pt>
                <c:pt idx="14">
                  <c:v>871</c:v>
                </c:pt>
                <c:pt idx="15">
                  <c:v>150</c:v>
                </c:pt>
                <c:pt idx="16">
                  <c:v>335</c:v>
                </c:pt>
                <c:pt idx="17">
                  <c:v>899</c:v>
                </c:pt>
                <c:pt idx="18">
                  <c:v>320</c:v>
                </c:pt>
                <c:pt idx="19">
                  <c:v>428</c:v>
                </c:pt>
                <c:pt idx="20">
                  <c:v>617</c:v>
                </c:pt>
                <c:pt idx="21">
                  <c:v>300</c:v>
                </c:pt>
                <c:pt idx="22">
                  <c:v>1438</c:v>
                </c:pt>
                <c:pt idx="23">
                  <c:v>364</c:v>
                </c:pt>
                <c:pt idx="24">
                  <c:v>150</c:v>
                </c:pt>
                <c:pt idx="25">
                  <c:v>36</c:v>
                </c:pt>
                <c:pt idx="26">
                  <c:v>455</c:v>
                </c:pt>
                <c:pt idx="27">
                  <c:v>5</c:v>
                </c:pt>
                <c:pt idx="28">
                  <c:v>108</c:v>
                </c:pt>
                <c:pt idx="29">
                  <c:v>294</c:v>
                </c:pt>
                <c:pt idx="30">
                  <c:v>72</c:v>
                </c:pt>
                <c:pt idx="31">
                  <c:v>184</c:v>
                </c:pt>
                <c:pt idx="32">
                  <c:v>244</c:v>
                </c:pt>
                <c:pt idx="33">
                  <c:v>43</c:v>
                </c:pt>
                <c:pt idx="34">
                  <c:v>471</c:v>
                </c:pt>
                <c:pt idx="35">
                  <c:v>281</c:v>
                </c:pt>
                <c:pt idx="36">
                  <c:v>122</c:v>
                </c:pt>
                <c:pt idx="37">
                  <c:v>60</c:v>
                </c:pt>
                <c:pt idx="38">
                  <c:v>85</c:v>
                </c:pt>
                <c:pt idx="39">
                  <c:v>20</c:v>
                </c:pt>
                <c:pt idx="40">
                  <c:v>35</c:v>
                </c:pt>
                <c:pt idx="41">
                  <c:v>7</c:v>
                </c:pt>
                <c:pt idx="42">
                  <c:v>8</c:v>
                </c:pt>
                <c:pt idx="43">
                  <c:v>62</c:v>
                </c:pt>
                <c:pt idx="44">
                  <c:v>286</c:v>
                </c:pt>
                <c:pt idx="45">
                  <c:v>307</c:v>
                </c:pt>
                <c:pt idx="46">
                  <c:v>93</c:v>
                </c:pt>
                <c:pt idx="47">
                  <c:v>8</c:v>
                </c:pt>
                <c:pt idx="48">
                  <c:v>375</c:v>
                </c:pt>
                <c:pt idx="49">
                  <c:v>18</c:v>
                </c:pt>
                <c:pt idx="50">
                  <c:v>48</c:v>
                </c:pt>
                <c:pt idx="51">
                  <c:v>160</c:v>
                </c:pt>
                <c:pt idx="52">
                  <c:v>59</c:v>
                </c:pt>
                <c:pt idx="53">
                  <c:v>204</c:v>
                </c:pt>
                <c:pt idx="54">
                  <c:v>284</c:v>
                </c:pt>
                <c:pt idx="55">
                  <c:v>220</c:v>
                </c:pt>
                <c:pt idx="56">
                  <c:v>160</c:v>
                </c:pt>
                <c:pt idx="57">
                  <c:v>84</c:v>
                </c:pt>
                <c:pt idx="58">
                  <c:v>50</c:v>
                </c:pt>
                <c:pt idx="59">
                  <c:v>144</c:v>
                </c:pt>
                <c:pt idx="60">
                  <c:v>81</c:v>
                </c:pt>
                <c:pt idx="61">
                  <c:v>14</c:v>
                </c:pt>
                <c:pt idx="62">
                  <c:v>120</c:v>
                </c:pt>
                <c:pt idx="63">
                  <c:v>132</c:v>
                </c:pt>
                <c:pt idx="64">
                  <c:v>34</c:v>
                </c:pt>
                <c:pt idx="65">
                  <c:v>6</c:v>
                </c:pt>
                <c:pt idx="66">
                  <c:v>17</c:v>
                </c:pt>
                <c:pt idx="67">
                  <c:v>96</c:v>
                </c:pt>
                <c:pt idx="68">
                  <c:v>26</c:v>
                </c:pt>
                <c:pt idx="69">
                  <c:v>225</c:v>
                </c:pt>
                <c:pt idx="70">
                  <c:v>164</c:v>
                </c:pt>
                <c:pt idx="71">
                  <c:v>94</c:v>
                </c:pt>
                <c:pt idx="72">
                  <c:v>75</c:v>
                </c:pt>
                <c:pt idx="73">
                  <c:v>39</c:v>
                </c:pt>
                <c:pt idx="74">
                  <c:v>18</c:v>
                </c:pt>
                <c:pt idx="75">
                  <c:v>21</c:v>
                </c:pt>
                <c:pt idx="76">
                  <c:v>1617</c:v>
                </c:pt>
                <c:pt idx="77">
                  <c:v>482</c:v>
                </c:pt>
                <c:pt idx="78">
                  <c:v>1561</c:v>
                </c:pt>
                <c:pt idx="79">
                  <c:v>120</c:v>
                </c:pt>
                <c:pt idx="80">
                  <c:v>60</c:v>
                </c:pt>
                <c:pt idx="81">
                  <c:v>360</c:v>
                </c:pt>
                <c:pt idx="82">
                  <c:v>655</c:v>
                </c:pt>
                <c:pt idx="83">
                  <c:v>7297</c:v>
                </c:pt>
                <c:pt idx="84">
                  <c:v>405</c:v>
                </c:pt>
                <c:pt idx="85">
                  <c:v>75</c:v>
                </c:pt>
                <c:pt idx="86">
                  <c:v>12500</c:v>
                </c:pt>
                <c:pt idx="87">
                  <c:v>9</c:v>
                </c:pt>
                <c:pt idx="88">
                  <c:v>51</c:v>
                </c:pt>
                <c:pt idx="89">
                  <c:v>141</c:v>
                </c:pt>
                <c:pt idx="90">
                  <c:v>13</c:v>
                </c:pt>
                <c:pt idx="91">
                  <c:v>17004</c:v>
                </c:pt>
                <c:pt idx="92">
                  <c:v>9</c:v>
                </c:pt>
                <c:pt idx="93">
                  <c:v>51</c:v>
                </c:pt>
                <c:pt idx="94">
                  <c:v>330</c:v>
                </c:pt>
                <c:pt idx="95">
                  <c:v>160</c:v>
                </c:pt>
                <c:pt idx="96">
                  <c:v>50</c:v>
                </c:pt>
                <c:pt idx="97">
                  <c:v>235</c:v>
                </c:pt>
                <c:pt idx="98">
                  <c:v>750</c:v>
                </c:pt>
                <c:pt idx="99">
                  <c:v>190</c:v>
                </c:pt>
                <c:pt idx="100">
                  <c:v>202</c:v>
                </c:pt>
                <c:pt idx="101">
                  <c:v>390</c:v>
                </c:pt>
                <c:pt idx="102">
                  <c:v>353</c:v>
                </c:pt>
                <c:pt idx="103">
                  <c:v>204</c:v>
                </c:pt>
                <c:pt idx="104">
                  <c:v>18</c:v>
                </c:pt>
                <c:pt idx="105">
                  <c:v>280</c:v>
                </c:pt>
                <c:pt idx="106">
                  <c:v>271</c:v>
                </c:pt>
                <c:pt idx="107">
                  <c:v>48</c:v>
                </c:pt>
                <c:pt idx="108">
                  <c:v>281</c:v>
                </c:pt>
                <c:pt idx="109">
                  <c:v>52</c:v>
                </c:pt>
                <c:pt idx="110">
                  <c:v>35</c:v>
                </c:pt>
                <c:pt idx="111">
                  <c:v>120</c:v>
                </c:pt>
                <c:pt idx="112">
                  <c:v>48</c:v>
                </c:pt>
                <c:pt idx="113">
                  <c:v>258</c:v>
                </c:pt>
                <c:pt idx="114">
                  <c:v>120</c:v>
                </c:pt>
                <c:pt idx="115">
                  <c:v>180</c:v>
                </c:pt>
                <c:pt idx="116">
                  <c:v>32</c:v>
                </c:pt>
                <c:pt idx="117">
                  <c:v>44</c:v>
                </c:pt>
                <c:pt idx="118">
                  <c:v>90</c:v>
                </c:pt>
                <c:pt idx="119">
                  <c:v>10</c:v>
                </c:pt>
                <c:pt idx="120">
                  <c:v>200</c:v>
                </c:pt>
                <c:pt idx="121">
                  <c:v>22</c:v>
                </c:pt>
                <c:pt idx="122">
                  <c:v>24</c:v>
                </c:pt>
                <c:pt idx="123">
                  <c:v>45</c:v>
                </c:pt>
                <c:pt idx="124">
                  <c:v>157</c:v>
                </c:pt>
                <c:pt idx="125">
                  <c:v>51</c:v>
                </c:pt>
                <c:pt idx="126">
                  <c:v>41</c:v>
                </c:pt>
                <c:pt idx="127">
                  <c:v>126</c:v>
                </c:pt>
                <c:pt idx="128">
                  <c:v>55</c:v>
                </c:pt>
                <c:pt idx="129">
                  <c:v>67</c:v>
                </c:pt>
                <c:pt idx="130">
                  <c:v>13</c:v>
                </c:pt>
                <c:pt idx="131">
                  <c:v>31</c:v>
                </c:pt>
                <c:pt idx="132">
                  <c:v>144</c:v>
                </c:pt>
                <c:pt idx="133">
                  <c:v>22</c:v>
                </c:pt>
                <c:pt idx="134">
                  <c:v>32</c:v>
                </c:pt>
                <c:pt idx="135">
                  <c:v>52</c:v>
                </c:pt>
                <c:pt idx="136">
                  <c:v>263</c:v>
                </c:pt>
                <c:pt idx="137">
                  <c:v>50</c:v>
                </c:pt>
                <c:pt idx="138">
                  <c:v>15</c:v>
                </c:pt>
                <c:pt idx="139">
                  <c:v>39</c:v>
                </c:pt>
                <c:pt idx="140">
                  <c:v>37</c:v>
                </c:pt>
                <c:pt idx="141">
                  <c:v>160</c:v>
                </c:pt>
                <c:pt idx="142">
                  <c:v>122</c:v>
                </c:pt>
                <c:pt idx="143">
                  <c:v>53</c:v>
                </c:pt>
                <c:pt idx="144">
                  <c:v>660</c:v>
                </c:pt>
                <c:pt idx="145">
                  <c:v>75</c:v>
                </c:pt>
                <c:pt idx="146">
                  <c:v>48</c:v>
                </c:pt>
                <c:pt idx="147">
                  <c:v>69</c:v>
                </c:pt>
                <c:pt idx="148">
                  <c:v>24</c:v>
                </c:pt>
                <c:pt idx="149">
                  <c:v>12</c:v>
                </c:pt>
                <c:pt idx="150">
                  <c:v>305</c:v>
                </c:pt>
                <c:pt idx="151">
                  <c:v>100</c:v>
                </c:pt>
                <c:pt idx="152">
                  <c:v>87</c:v>
                </c:pt>
                <c:pt idx="153">
                  <c:v>72</c:v>
                </c:pt>
                <c:pt idx="154">
                  <c:v>150</c:v>
                </c:pt>
                <c:pt idx="155">
                  <c:v>187</c:v>
                </c:pt>
                <c:pt idx="156">
                  <c:v>27</c:v>
                </c:pt>
                <c:pt idx="157">
                  <c:v>45</c:v>
                </c:pt>
                <c:pt idx="158">
                  <c:v>15</c:v>
                </c:pt>
                <c:pt idx="159">
                  <c:v>15</c:v>
                </c:pt>
                <c:pt idx="160">
                  <c:v>60</c:v>
                </c:pt>
                <c:pt idx="161">
                  <c:v>765</c:v>
                </c:pt>
                <c:pt idx="162">
                  <c:v>50</c:v>
                </c:pt>
                <c:pt idx="163">
                  <c:v>15</c:v>
                </c:pt>
              </c:numCache>
            </c:numRef>
          </c:yVal>
          <c:smooth val="0"/>
          <c:extLst>
            <c:ext xmlns:c16="http://schemas.microsoft.com/office/drawing/2014/chart" uri="{C3380CC4-5D6E-409C-BE32-E72D297353CC}">
              <c16:uniqueId val="{00000000-0BF8-44EE-B9EB-DFF974CE2239}"/>
            </c:ext>
          </c:extLst>
        </c:ser>
        <c:dLbls>
          <c:showLegendKey val="0"/>
          <c:showVal val="0"/>
          <c:showCatName val="0"/>
          <c:showSerName val="0"/>
          <c:showPercent val="0"/>
          <c:showBubbleSize val="0"/>
        </c:dLbls>
        <c:axId val="10276223"/>
        <c:axId val="10275743"/>
      </c:scatterChart>
      <c:valAx>
        <c:axId val="10276223"/>
        <c:scaling>
          <c:orientation val="minMax"/>
        </c:scaling>
        <c:delete val="1"/>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sz="1000" b="1" i="0" u="none" strike="noStrike" baseline="0"/>
                  <a:t>Disease rarity category</a:t>
                </a:r>
                <a:endParaRPr lang="en-GB"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crossAx val="10275743"/>
        <c:crosses val="autoZero"/>
        <c:crossBetween val="midCat"/>
      </c:valAx>
      <c:valAx>
        <c:axId val="10275743"/>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sz="1000" b="1" i="0" u="none" strike="noStrike" baseline="0"/>
                  <a:t>Trial sample size (log scale)</a:t>
                </a:r>
                <a:endParaRPr lang="en-GB"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276223"/>
        <c:crosses val="autoZero"/>
        <c:crossBetween val="midCat"/>
        <c:minorUnit val="5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0.27395</cdr:x>
      <cdr:y>0.19032</cdr:y>
    </cdr:from>
    <cdr:to>
      <cdr:x>0.39915</cdr:x>
      <cdr:y>0.22987</cdr:y>
    </cdr:to>
    <cdr:sp macro="" textlink="">
      <cdr:nvSpPr>
        <cdr:cNvPr id="2" name="TextBox 1">
          <a:extLst xmlns:a="http://schemas.openxmlformats.org/drawingml/2006/main">
            <a:ext uri="{FF2B5EF4-FFF2-40B4-BE49-F238E27FC236}">
              <a16:creationId xmlns:a16="http://schemas.microsoft.com/office/drawing/2014/main" id="{E3A174C8-DE5D-CA07-4FB4-4204FD1D6D2C}"/>
            </a:ext>
          </a:extLst>
        </cdr:cNvPr>
        <cdr:cNvSpPr txBox="1"/>
      </cdr:nvSpPr>
      <cdr:spPr>
        <a:xfrm xmlns:a="http://schemas.openxmlformats.org/drawingml/2006/main">
          <a:off x="1444898" y="721866"/>
          <a:ext cx="660349" cy="150003"/>
        </a:xfrm>
        <a:prstGeom xmlns:a="http://schemas.openxmlformats.org/drawingml/2006/main" prst="rect">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r>
            <a:rPr lang="en-GB" sz="800" b="1" kern="1200"/>
            <a:t>Not rare</a:t>
          </a:r>
        </a:p>
      </cdr:txBody>
    </cdr:sp>
  </cdr:relSizeAnchor>
  <cdr:relSizeAnchor xmlns:cdr="http://schemas.openxmlformats.org/drawingml/2006/chartDrawing">
    <cdr:from>
      <cdr:x>0.40831</cdr:x>
      <cdr:y>0.41545</cdr:y>
    </cdr:from>
    <cdr:to>
      <cdr:x>0.54429</cdr:x>
      <cdr:y>0.45921</cdr:y>
    </cdr:to>
    <cdr:sp macro="" textlink="">
      <cdr:nvSpPr>
        <cdr:cNvPr id="3" name="TextBox 1">
          <a:extLst xmlns:a="http://schemas.openxmlformats.org/drawingml/2006/main">
            <a:ext uri="{FF2B5EF4-FFF2-40B4-BE49-F238E27FC236}">
              <a16:creationId xmlns:a16="http://schemas.microsoft.com/office/drawing/2014/main" id="{12C44F2A-DFC8-0B98-54E6-E33B5B261081}"/>
            </a:ext>
          </a:extLst>
        </cdr:cNvPr>
        <cdr:cNvSpPr txBox="1"/>
      </cdr:nvSpPr>
      <cdr:spPr>
        <a:xfrm xmlns:a="http://schemas.openxmlformats.org/drawingml/2006/main">
          <a:off x="3336925" y="2441575"/>
          <a:ext cx="1111250" cy="257175"/>
        </a:xfrm>
        <a:prstGeom xmlns:a="http://schemas.openxmlformats.org/drawingml/2006/main" prst="rect">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800" b="1" kern="1200"/>
            <a:t>Rare &lt;1 in 2,000</a:t>
          </a:r>
        </a:p>
      </cdr:txBody>
    </cdr:sp>
  </cdr:relSizeAnchor>
  <cdr:relSizeAnchor xmlns:cdr="http://schemas.openxmlformats.org/drawingml/2006/chartDrawing">
    <cdr:from>
      <cdr:x>0.5843</cdr:x>
      <cdr:y>0.349</cdr:y>
    </cdr:from>
    <cdr:to>
      <cdr:x>0.76457</cdr:x>
      <cdr:y>0.39276</cdr:y>
    </cdr:to>
    <cdr:sp macro="" textlink="">
      <cdr:nvSpPr>
        <cdr:cNvPr id="4" name="TextBox 1">
          <a:extLst xmlns:a="http://schemas.openxmlformats.org/drawingml/2006/main">
            <a:ext uri="{FF2B5EF4-FFF2-40B4-BE49-F238E27FC236}">
              <a16:creationId xmlns:a16="http://schemas.microsoft.com/office/drawing/2014/main" id="{CA017D8E-DB1C-2F7C-1D0F-14DE450939C7}"/>
            </a:ext>
          </a:extLst>
        </cdr:cNvPr>
        <cdr:cNvSpPr txBox="1"/>
      </cdr:nvSpPr>
      <cdr:spPr>
        <a:xfrm xmlns:a="http://schemas.openxmlformats.org/drawingml/2006/main">
          <a:off x="4775200" y="2051050"/>
          <a:ext cx="1473200" cy="257175"/>
        </a:xfrm>
        <a:prstGeom xmlns:a="http://schemas.openxmlformats.org/drawingml/2006/main" prst="rect">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800" b="1" kern="1200"/>
            <a:t>Very</a:t>
          </a:r>
          <a:r>
            <a:rPr lang="en-GB" sz="800" b="1" kern="1200" baseline="0"/>
            <a:t> rare</a:t>
          </a:r>
          <a:r>
            <a:rPr lang="en-GB" sz="800" b="1" kern="1200"/>
            <a:t> &lt;1 in 10,000</a:t>
          </a:r>
        </a:p>
      </cdr:txBody>
    </cdr:sp>
  </cdr:relSizeAnchor>
  <cdr:relSizeAnchor xmlns:cdr="http://schemas.openxmlformats.org/drawingml/2006/chartDrawing">
    <cdr:from>
      <cdr:x>0.7906</cdr:x>
      <cdr:y>0.3101</cdr:y>
    </cdr:from>
    <cdr:to>
      <cdr:x>0.97086</cdr:x>
      <cdr:y>0.35386</cdr:y>
    </cdr:to>
    <cdr:sp macro="" textlink="">
      <cdr:nvSpPr>
        <cdr:cNvPr id="5" name="TextBox 1">
          <a:extLst xmlns:a="http://schemas.openxmlformats.org/drawingml/2006/main">
            <a:ext uri="{FF2B5EF4-FFF2-40B4-BE49-F238E27FC236}">
              <a16:creationId xmlns:a16="http://schemas.microsoft.com/office/drawing/2014/main" id="{DEDA961B-3981-3406-4C88-88EED423EEC0}"/>
            </a:ext>
          </a:extLst>
        </cdr:cNvPr>
        <cdr:cNvSpPr txBox="1"/>
      </cdr:nvSpPr>
      <cdr:spPr>
        <a:xfrm xmlns:a="http://schemas.openxmlformats.org/drawingml/2006/main">
          <a:off x="6461125" y="1822450"/>
          <a:ext cx="1473200" cy="257175"/>
        </a:xfrm>
        <a:prstGeom xmlns:a="http://schemas.openxmlformats.org/drawingml/2006/main" prst="rect">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800" b="1" kern="1200" baseline="0"/>
            <a:t>Ultra rare</a:t>
          </a:r>
          <a:r>
            <a:rPr lang="en-GB" sz="800" b="1" kern="1200"/>
            <a:t> &lt;1 in 50,000</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A5EF0EE184221BB11A440B2A509AE"/>
        <w:category>
          <w:name w:val="General"/>
          <w:gallery w:val="placeholder"/>
        </w:category>
        <w:types>
          <w:type w:val="bbPlcHdr"/>
        </w:types>
        <w:behaviors>
          <w:behavior w:val="content"/>
        </w:behaviors>
        <w:guid w:val="{B08C7000-BD77-4974-9F34-AC33596CD7EF}"/>
      </w:docPartPr>
      <w:docPartBody>
        <w:p w:rsidR="00EC279B" w:rsidRDefault="007E0D14" w:rsidP="007E0D14">
          <w:pPr>
            <w:pStyle w:val="FB7A5EF0EE184221BB11A440B2A509AE"/>
          </w:pPr>
          <w:r w:rsidRPr="004C4B42">
            <w:rPr>
              <w:highlight w:val="lightGray"/>
            </w:rPr>
            <w:t>[Insert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ora SemiBold">
    <w:panose1 w:val="00000000000000000000"/>
    <w:charset w:val="00"/>
    <w:family w:val="auto"/>
    <w:pitch w:val="variable"/>
    <w:sig w:usb0="A00002FF" w:usb1="5000204B" w:usb2="00000000" w:usb3="00000000" w:csb0="00000097"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B581B"/>
    <w:multiLevelType w:val="multilevel"/>
    <w:tmpl w:val="FFFFFFFF"/>
    <w:lvl w:ilvl="0">
      <w:start w:val="1"/>
      <w:numFmt w:val="decimal"/>
      <w:pStyle w:val="FB7A5EF0EE184221BB11A440B2A509A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BB5390"/>
    <w:multiLevelType w:val="multilevel"/>
    <w:tmpl w:val="0546A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4808348">
    <w:abstractNumId w:val="1"/>
  </w:num>
  <w:num w:numId="2" w16cid:durableId="10782901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A3"/>
    <w:rsid w:val="00017906"/>
    <w:rsid w:val="000454A6"/>
    <w:rsid w:val="000F3896"/>
    <w:rsid w:val="001160A2"/>
    <w:rsid w:val="001912AE"/>
    <w:rsid w:val="00210FA1"/>
    <w:rsid w:val="00217358"/>
    <w:rsid w:val="00235659"/>
    <w:rsid w:val="00283A7B"/>
    <w:rsid w:val="002910D4"/>
    <w:rsid w:val="002A0652"/>
    <w:rsid w:val="002E285B"/>
    <w:rsid w:val="004D10B4"/>
    <w:rsid w:val="004E7661"/>
    <w:rsid w:val="00501EDE"/>
    <w:rsid w:val="00534AFE"/>
    <w:rsid w:val="00535B56"/>
    <w:rsid w:val="005B1C95"/>
    <w:rsid w:val="005B6BA3"/>
    <w:rsid w:val="005C621C"/>
    <w:rsid w:val="006C2A9F"/>
    <w:rsid w:val="007063B9"/>
    <w:rsid w:val="00725CEA"/>
    <w:rsid w:val="007C5857"/>
    <w:rsid w:val="007E0D14"/>
    <w:rsid w:val="00805796"/>
    <w:rsid w:val="00852577"/>
    <w:rsid w:val="009F4FDF"/>
    <w:rsid w:val="00A65248"/>
    <w:rsid w:val="00A7290D"/>
    <w:rsid w:val="00AC4925"/>
    <w:rsid w:val="00AE3134"/>
    <w:rsid w:val="00BD6E46"/>
    <w:rsid w:val="00C143B0"/>
    <w:rsid w:val="00CB6B14"/>
    <w:rsid w:val="00D1335D"/>
    <w:rsid w:val="00D54A28"/>
    <w:rsid w:val="00EB5C2B"/>
    <w:rsid w:val="00EC279B"/>
    <w:rsid w:val="00F379F1"/>
    <w:rsid w:val="00F666D6"/>
    <w:rsid w:val="00F87F80"/>
    <w:rsid w:val="00F97763"/>
    <w:rsid w:val="00FF6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B946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279B"/>
    <w:pPr>
      <w:keepNext/>
      <w:spacing w:before="240" w:after="120" w:line="360" w:lineRule="auto"/>
      <w:outlineLvl w:val="0"/>
    </w:pPr>
    <w:rPr>
      <w:rFonts w:ascii="Arial" w:eastAsia="Times New Roman" w:hAnsi="Arial" w:cs="Arial"/>
      <w:b/>
      <w:bCs/>
      <w:kern w:val="32"/>
      <w:sz w:val="32"/>
      <w:szCs w:val="3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D14"/>
    <w:rPr>
      <w:color w:val="666666"/>
    </w:rPr>
  </w:style>
  <w:style w:type="character" w:customStyle="1" w:styleId="Heading1Char">
    <w:name w:val="Heading 1 Char"/>
    <w:link w:val="Heading1"/>
    <w:rsid w:val="00EC279B"/>
    <w:rPr>
      <w:rFonts w:ascii="Arial" w:eastAsia="Times New Roman" w:hAnsi="Arial" w:cs="Arial"/>
      <w:b/>
      <w:bCs/>
      <w:kern w:val="32"/>
      <w:sz w:val="32"/>
      <w:szCs w:val="32"/>
      <w:lang w:eastAsia="en-US"/>
      <w14:ligatures w14:val="none"/>
    </w:rPr>
  </w:style>
  <w:style w:type="paragraph" w:customStyle="1" w:styleId="FB7A5EF0EE184221BB11A440B2A509AE">
    <w:name w:val="FB7A5EF0EE184221BB11A440B2A509AE"/>
    <w:rsid w:val="007E0D14"/>
    <w:pPr>
      <w:keepNext/>
      <w:numPr>
        <w:numId w:val="2"/>
      </w:numPr>
      <w:tabs>
        <w:tab w:val="num" w:pos="1134"/>
      </w:tabs>
      <w:spacing w:before="240" w:after="120" w:line="360" w:lineRule="auto"/>
      <w:ind w:left="1134" w:hanging="1134"/>
      <w:outlineLvl w:val="0"/>
    </w:pPr>
    <w:rPr>
      <w:rFonts w:ascii="Arial" w:eastAsia="Times New Roman" w:hAnsi="Arial" w:cs="Arial"/>
      <w:b/>
      <w:bCs/>
      <w:kern w:val="32"/>
      <w:sz w:val="3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4607</Words>
  <Characters>26260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2025-12-09T10:45:00Z</dcterms:created>
  <dcterms:modified xsi:type="dcterms:W3CDTF">2025-12-09T10:45:00Z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2025-12-09T10:45:25Z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733cec69-3a49-4187-b484-6ec794a8578f</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