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2421E34E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</w:t>
      </w:r>
      <w:r w:rsidR="006A54AB">
        <w:t xml:space="preserve">terms and conditions where the total remuneration package exceeds £150k pro-rata, </w:t>
      </w:r>
      <w:r w:rsidR="00DD7917">
        <w:t>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3078ACAC" w14:textId="77777777" w:rsidR="00F13F0A" w:rsidRPr="00F13F0A" w:rsidRDefault="00F13F0A" w:rsidP="00F13F0A"/>
    <w:p w14:paraId="29EAB860" w14:textId="2CAFFB04" w:rsidR="00F13F0A" w:rsidRPr="00F13F0A" w:rsidRDefault="00F13F0A" w:rsidP="00F13F0A">
      <w:pPr>
        <w:tabs>
          <w:tab w:val="left" w:pos="1872"/>
        </w:tabs>
      </w:pPr>
      <w:r>
        <w:tab/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0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0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r>
        <w:t>During the course of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125ABD57" w:rsidR="009058C1" w:rsidRPr="00A63A74" w:rsidRDefault="009058C1" w:rsidP="00B23512">
      <w:pPr>
        <w:pStyle w:val="Paragraph"/>
      </w:pPr>
      <w:r>
        <w:t xml:space="preserve">These terms of reference and standing orders will be reviewed </w:t>
      </w:r>
      <w:r w:rsidR="006903DB">
        <w:t>annually</w:t>
      </w:r>
      <w:r>
        <w:t xml:space="preserve">. The next review date </w:t>
      </w:r>
      <w:r w:rsidR="00AF0454">
        <w:t xml:space="preserve">is </w:t>
      </w:r>
      <w:r w:rsidR="00F13F0A">
        <w:t>Jan</w:t>
      </w:r>
      <w:r w:rsidR="00A574A3">
        <w:t>uary 2027</w:t>
      </w:r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7"/>
      <w:footerReference w:type="firs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7E70" w14:textId="77777777" w:rsidR="00C27C03" w:rsidRDefault="00C27C03" w:rsidP="00446BEE">
      <w:r>
        <w:separator/>
      </w:r>
    </w:p>
  </w:endnote>
  <w:endnote w:type="continuationSeparator" w:id="0">
    <w:p w14:paraId="1BE686E5" w14:textId="77777777" w:rsidR="00C27C03" w:rsidRDefault="00C27C0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7827" w14:textId="461A5725" w:rsidR="00B1675F" w:rsidRDefault="001B44CC" w:rsidP="00446BEE">
    <w:pPr>
      <w:pStyle w:val="Footer"/>
    </w:pPr>
    <w:r>
      <w:t>To be a</w:t>
    </w:r>
    <w:r w:rsidR="005D3EA6">
      <w:t xml:space="preserve">pproved – </w:t>
    </w:r>
    <w:r>
      <w:t>March 2026</w:t>
    </w:r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r w:rsidR="00D96553">
      <w:fldChar w:fldCharType="begin"/>
    </w:r>
    <w:r w:rsidR="00D96553">
      <w:instrText xml:space="preserve"> NUMPAGES  </w:instrText>
    </w:r>
    <w:r w:rsidR="00D96553">
      <w:fldChar w:fldCharType="separate"/>
    </w:r>
    <w:r w:rsidR="00E9484E">
      <w:rPr>
        <w:noProof/>
      </w:rPr>
      <w:t>3</w:t>
    </w:r>
    <w:r w:rsidR="00D96553">
      <w:rPr>
        <w:noProof/>
      </w:rPr>
      <w:fldChar w:fldCharType="end"/>
    </w:r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D6FD" w14:textId="5EFD08BA" w:rsidR="00EF661E" w:rsidRPr="00EF661E" w:rsidRDefault="001B44CC" w:rsidP="00895EC6">
    <w:pPr>
      <w:pStyle w:val="Footer"/>
    </w:pPr>
    <w:r>
      <w:t>To be a</w:t>
    </w:r>
    <w:r w:rsidR="00895EC6">
      <w:t xml:space="preserve">pproved – </w:t>
    </w:r>
    <w:r>
      <w:t>March 2026</w:t>
    </w:r>
    <w:r w:rsidR="00895EC6">
      <w:tab/>
    </w:r>
    <w:r w:rsidR="00895EC6"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F7C" w14:textId="77777777" w:rsidR="00C27C03" w:rsidRDefault="00C27C03" w:rsidP="00446BEE">
      <w:r>
        <w:separator/>
      </w:r>
    </w:p>
  </w:footnote>
  <w:footnote w:type="continuationSeparator" w:id="0">
    <w:p w14:paraId="20E22C73" w14:textId="77777777" w:rsidR="00C27C03" w:rsidRDefault="00C27C03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25560"/>
    <w:rsid w:val="000371B6"/>
    <w:rsid w:val="00040E0C"/>
    <w:rsid w:val="00045B9A"/>
    <w:rsid w:val="0004674F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1CA0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44CC"/>
    <w:rsid w:val="001B65B3"/>
    <w:rsid w:val="001C3368"/>
    <w:rsid w:val="001C695F"/>
    <w:rsid w:val="001E4209"/>
    <w:rsid w:val="00200982"/>
    <w:rsid w:val="002038B6"/>
    <w:rsid w:val="00205053"/>
    <w:rsid w:val="00240146"/>
    <w:rsid w:val="002408EA"/>
    <w:rsid w:val="0024719D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67433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B6F89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46F56"/>
    <w:rsid w:val="00452060"/>
    <w:rsid w:val="00477C13"/>
    <w:rsid w:val="0048132A"/>
    <w:rsid w:val="00490275"/>
    <w:rsid w:val="004917F3"/>
    <w:rsid w:val="004960DB"/>
    <w:rsid w:val="004A1885"/>
    <w:rsid w:val="004F518B"/>
    <w:rsid w:val="005025A1"/>
    <w:rsid w:val="00502C4B"/>
    <w:rsid w:val="00521EC1"/>
    <w:rsid w:val="005266E5"/>
    <w:rsid w:val="00553C5F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44092"/>
    <w:rsid w:val="00653991"/>
    <w:rsid w:val="00674016"/>
    <w:rsid w:val="00686F3E"/>
    <w:rsid w:val="006903DB"/>
    <w:rsid w:val="006921E1"/>
    <w:rsid w:val="006922EA"/>
    <w:rsid w:val="006934B9"/>
    <w:rsid w:val="006A526B"/>
    <w:rsid w:val="006A54AB"/>
    <w:rsid w:val="006D3ADD"/>
    <w:rsid w:val="006D55A6"/>
    <w:rsid w:val="00703B73"/>
    <w:rsid w:val="00712087"/>
    <w:rsid w:val="00731243"/>
    <w:rsid w:val="00736348"/>
    <w:rsid w:val="00741BA2"/>
    <w:rsid w:val="0075281D"/>
    <w:rsid w:val="00770B9A"/>
    <w:rsid w:val="007A7961"/>
    <w:rsid w:val="007C7D01"/>
    <w:rsid w:val="007E42DD"/>
    <w:rsid w:val="007F4915"/>
    <w:rsid w:val="00813C24"/>
    <w:rsid w:val="008409F3"/>
    <w:rsid w:val="0084199E"/>
    <w:rsid w:val="008440F2"/>
    <w:rsid w:val="00847570"/>
    <w:rsid w:val="00861ABB"/>
    <w:rsid w:val="00862EE1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32D1A"/>
    <w:rsid w:val="009405B7"/>
    <w:rsid w:val="009445D3"/>
    <w:rsid w:val="00945049"/>
    <w:rsid w:val="009456F0"/>
    <w:rsid w:val="009576B1"/>
    <w:rsid w:val="0096298F"/>
    <w:rsid w:val="00964B34"/>
    <w:rsid w:val="009660AE"/>
    <w:rsid w:val="00980BD8"/>
    <w:rsid w:val="00994A9B"/>
    <w:rsid w:val="009A358A"/>
    <w:rsid w:val="009A6672"/>
    <w:rsid w:val="009B140E"/>
    <w:rsid w:val="009C00BF"/>
    <w:rsid w:val="009C31EC"/>
    <w:rsid w:val="009D351D"/>
    <w:rsid w:val="009E680B"/>
    <w:rsid w:val="009E73B7"/>
    <w:rsid w:val="009F1510"/>
    <w:rsid w:val="009F7239"/>
    <w:rsid w:val="00A15A1F"/>
    <w:rsid w:val="00A276BE"/>
    <w:rsid w:val="00A3325A"/>
    <w:rsid w:val="00A37A85"/>
    <w:rsid w:val="00A4196D"/>
    <w:rsid w:val="00A42C77"/>
    <w:rsid w:val="00A55E1F"/>
    <w:rsid w:val="00A574A3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26AE5"/>
    <w:rsid w:val="00B32158"/>
    <w:rsid w:val="00B55F15"/>
    <w:rsid w:val="00B570BA"/>
    <w:rsid w:val="00B731C3"/>
    <w:rsid w:val="00B8205D"/>
    <w:rsid w:val="00B9594A"/>
    <w:rsid w:val="00BA0E31"/>
    <w:rsid w:val="00BA18DA"/>
    <w:rsid w:val="00BA3972"/>
    <w:rsid w:val="00BB19F0"/>
    <w:rsid w:val="00BB4DA1"/>
    <w:rsid w:val="00BE5835"/>
    <w:rsid w:val="00BF7FE0"/>
    <w:rsid w:val="00C11A60"/>
    <w:rsid w:val="00C27C03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96553"/>
    <w:rsid w:val="00DD7917"/>
    <w:rsid w:val="00E035C1"/>
    <w:rsid w:val="00E102E4"/>
    <w:rsid w:val="00E23DF3"/>
    <w:rsid w:val="00E335EA"/>
    <w:rsid w:val="00E35E6B"/>
    <w:rsid w:val="00E51828"/>
    <w:rsid w:val="00E51920"/>
    <w:rsid w:val="00E60BE8"/>
    <w:rsid w:val="00E629C8"/>
    <w:rsid w:val="00E64120"/>
    <w:rsid w:val="00E67176"/>
    <w:rsid w:val="00E7337A"/>
    <w:rsid w:val="00E7607A"/>
    <w:rsid w:val="00E9484E"/>
    <w:rsid w:val="00EC002B"/>
    <w:rsid w:val="00EC1BA9"/>
    <w:rsid w:val="00EE455F"/>
    <w:rsid w:val="00EE5C02"/>
    <w:rsid w:val="00EF661E"/>
    <w:rsid w:val="00F01841"/>
    <w:rsid w:val="00F05459"/>
    <w:rsid w:val="00F055F1"/>
    <w:rsid w:val="00F13F0A"/>
    <w:rsid w:val="00F13F9B"/>
    <w:rsid w:val="00F171A1"/>
    <w:rsid w:val="00F24FA7"/>
    <w:rsid w:val="00F5117B"/>
    <w:rsid w:val="00F63344"/>
    <w:rsid w:val="00F6426F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2026-04-08T12:03:00Z</dcterms:created>
  <dcterms:modified xsi:type="dcterms:W3CDTF">2026-04-08T12:04:00Z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2026-04-08T12:04:06Z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7f9ad169-0863-46e0-8c00-717ea89b82be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