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B2EA4" w14:textId="3B95339D" w:rsidR="007400D7" w:rsidRDefault="6E57B7E2" w:rsidP="00E24567">
      <w:pPr>
        <w:pStyle w:val="Title"/>
        <w:spacing w:line="259" w:lineRule="auto"/>
        <w:ind w:left="720" w:hanging="720"/>
      </w:pPr>
      <w:bookmarkStart w:id="0" w:name="_Toc177990550"/>
      <w:bookmarkStart w:id="1" w:name="_Toc177994673"/>
      <w:bookmarkStart w:id="2" w:name="_Toc177995078"/>
      <w:bookmarkStart w:id="3" w:name="_Toc216279656"/>
      <w:bookmarkStart w:id="4" w:name="_Toc216438708"/>
      <w:bookmarkStart w:id="5" w:name="_Toc216444254"/>
      <w:bookmarkStart w:id="6" w:name="_Toc216792195"/>
      <w:bookmarkStart w:id="7" w:name="_Toc216809645"/>
      <w:bookmarkStart w:id="8" w:name="_Toc216819131"/>
      <w:bookmarkStart w:id="9" w:name="_Toc218781326"/>
      <w:bookmarkStart w:id="10" w:name="_Toc221098019"/>
      <w:r>
        <w:t>Infrastructure and service redesign:</w:t>
      </w:r>
      <w:r w:rsidR="00845ECD">
        <w:t xml:space="preserve"> </w:t>
      </w:r>
      <w:r>
        <w:t>examining the methods for capturing implementation costs</w:t>
      </w:r>
      <w:bookmarkEnd w:id="0"/>
      <w:bookmarkEnd w:id="1"/>
      <w:bookmarkEnd w:id="2"/>
      <w:bookmarkEnd w:id="3"/>
      <w:bookmarkEnd w:id="4"/>
      <w:bookmarkEnd w:id="5"/>
      <w:bookmarkEnd w:id="6"/>
      <w:bookmarkEnd w:id="7"/>
      <w:bookmarkEnd w:id="8"/>
      <w:bookmarkEnd w:id="9"/>
      <w:bookmarkEnd w:id="10"/>
    </w:p>
    <w:p w14:paraId="006EDBE8" w14:textId="0AA2498C" w:rsidR="00E54FB7" w:rsidRPr="00E54FB7" w:rsidRDefault="00E54FB7" w:rsidP="006A50E3">
      <w:pPr>
        <w:pStyle w:val="Heading1"/>
        <w:ind w:left="720" w:hanging="720"/>
        <w:rPr>
          <w:lang w:eastAsia="en-GB"/>
        </w:rPr>
      </w:pPr>
      <w:bookmarkStart w:id="11" w:name="_Toc216444255"/>
      <w:bookmarkStart w:id="12" w:name="_Toc216792196"/>
      <w:bookmarkStart w:id="13" w:name="_Toc216809646"/>
      <w:bookmarkStart w:id="14" w:name="_Toc216819132"/>
      <w:bookmarkStart w:id="15" w:name="_Toc218781327"/>
      <w:bookmarkStart w:id="16" w:name="_Toc221098020"/>
      <w:r>
        <w:rPr>
          <w:lang w:eastAsia="en-GB"/>
        </w:rPr>
        <w:t xml:space="preserve">Appendix </w:t>
      </w:r>
      <w:r w:rsidR="373984EC" w:rsidRPr="418E7841">
        <w:rPr>
          <w:lang w:eastAsia="en-GB"/>
        </w:rPr>
        <w:t>B</w:t>
      </w:r>
      <w:r>
        <w:rPr>
          <w:lang w:eastAsia="en-GB"/>
        </w:rPr>
        <w:t>. Review of p</w:t>
      </w:r>
      <w:r w:rsidR="002E5713">
        <w:rPr>
          <w:lang w:eastAsia="en-GB"/>
        </w:rPr>
        <w:t>revious</w:t>
      </w:r>
      <w:r>
        <w:rPr>
          <w:lang w:eastAsia="en-GB"/>
        </w:rPr>
        <w:t xml:space="preserve"> </w:t>
      </w:r>
      <w:r w:rsidR="004B675C">
        <w:rPr>
          <w:lang w:eastAsia="en-GB"/>
        </w:rPr>
        <w:t>NICE</w:t>
      </w:r>
      <w:bookmarkEnd w:id="11"/>
      <w:bookmarkEnd w:id="12"/>
      <w:bookmarkEnd w:id="13"/>
      <w:bookmarkEnd w:id="14"/>
      <w:bookmarkEnd w:id="15"/>
      <w:r w:rsidR="006A6D60">
        <w:rPr>
          <w:lang w:eastAsia="en-GB"/>
        </w:rPr>
        <w:t xml:space="preserve"> evaluations</w:t>
      </w:r>
      <w:bookmarkEnd w:id="16"/>
    </w:p>
    <w:p w14:paraId="6F0EB1E7" w14:textId="4F9D5E6D" w:rsidR="006A14A8" w:rsidRPr="00662EC0" w:rsidRDefault="12ADDAF3" w:rsidP="00662EC0">
      <w:pPr>
        <w:pStyle w:val="Title"/>
      </w:pPr>
      <w:bookmarkStart w:id="17" w:name="_Toc177990551"/>
      <w:bookmarkStart w:id="18" w:name="_Toc177994674"/>
      <w:bookmarkStart w:id="19" w:name="_Toc177995079"/>
      <w:bookmarkStart w:id="20" w:name="_Toc216279657"/>
      <w:bookmarkStart w:id="21" w:name="_Toc216438709"/>
      <w:bookmarkStart w:id="22" w:name="_Toc216444256"/>
      <w:bookmarkStart w:id="23" w:name="_Toc216792197"/>
      <w:bookmarkStart w:id="24" w:name="_Toc216809647"/>
      <w:bookmarkStart w:id="25" w:name="_Toc216819133"/>
      <w:bookmarkStart w:id="26" w:name="_Toc218781328"/>
      <w:bookmarkStart w:id="27" w:name="_Toc221098021"/>
      <w:r w:rsidRPr="00662EC0">
        <w:t>HTA Innovation Laborator</w:t>
      </w:r>
      <w:r w:rsidR="5E261F86" w:rsidRPr="00662EC0">
        <w:t>y</w:t>
      </w:r>
      <w:bookmarkEnd w:id="17"/>
      <w:bookmarkEnd w:id="18"/>
      <w:bookmarkEnd w:id="19"/>
      <w:bookmarkEnd w:id="20"/>
      <w:bookmarkEnd w:id="21"/>
      <w:bookmarkEnd w:id="22"/>
      <w:bookmarkEnd w:id="23"/>
      <w:bookmarkEnd w:id="24"/>
      <w:bookmarkEnd w:id="25"/>
      <w:bookmarkEnd w:id="26"/>
      <w:bookmarkEnd w:id="27"/>
    </w:p>
    <w:p w14:paraId="043B811B" w14:textId="625F4A08" w:rsidR="006A14A8" w:rsidRPr="00662EC0" w:rsidRDefault="006A14A8" w:rsidP="00662EC0"/>
    <w:p w14:paraId="3D63C4DE" w14:textId="77777777" w:rsidR="007400D7" w:rsidRDefault="007400D7" w:rsidP="006A50E3">
      <w:pPr>
        <w:pStyle w:val="Paragraph"/>
        <w:ind w:left="720" w:hanging="720"/>
        <w:rPr>
          <w:lang w:eastAsia="en-GB"/>
        </w:rPr>
      </w:pPr>
    </w:p>
    <w:p w14:paraId="1BA865C3" w14:textId="571C54B7" w:rsidR="007400D7" w:rsidRDefault="008C3E2E" w:rsidP="006A50E3">
      <w:pPr>
        <w:pStyle w:val="Paragraph"/>
        <w:ind w:left="720" w:hanging="720"/>
        <w:rPr>
          <w:lang w:eastAsia="en-GB"/>
        </w:rPr>
      </w:pPr>
      <w:proofErr w:type="gramStart"/>
      <w:r>
        <w:rPr>
          <w:lang w:eastAsia="en-GB"/>
        </w:rPr>
        <w:t xml:space="preserve">June </w:t>
      </w:r>
      <w:r w:rsidR="007E0416">
        <w:rPr>
          <w:lang w:eastAsia="en-GB"/>
        </w:rPr>
        <w:t xml:space="preserve"> 2026</w:t>
      </w:r>
      <w:proofErr w:type="gramEnd"/>
    </w:p>
    <w:p w14:paraId="553275F0" w14:textId="77777777" w:rsidR="004B675C" w:rsidRDefault="004B675C" w:rsidP="006A50E3">
      <w:pPr>
        <w:pStyle w:val="Paragraph"/>
        <w:ind w:left="720" w:hanging="720"/>
        <w:rPr>
          <w:lang w:eastAsia="en-GB"/>
        </w:rPr>
      </w:pPr>
    </w:p>
    <w:p w14:paraId="44721E41" w14:textId="4CC7C89B" w:rsidR="007400D7" w:rsidRPr="007400D7" w:rsidRDefault="007400D7" w:rsidP="006A50E3">
      <w:pPr>
        <w:pStyle w:val="Heading1"/>
        <w:ind w:left="720" w:hanging="720"/>
      </w:pPr>
      <w:bookmarkStart w:id="28" w:name="_Toc146884454"/>
      <w:bookmarkStart w:id="29" w:name="_Toc146976372"/>
      <w:bookmarkStart w:id="30" w:name="_Toc177990552"/>
      <w:bookmarkStart w:id="31" w:name="_Toc177994675"/>
      <w:bookmarkStart w:id="32" w:name="_Toc177995080"/>
      <w:bookmarkStart w:id="33" w:name="_Toc216279658"/>
      <w:bookmarkStart w:id="34" w:name="_Toc216438710"/>
      <w:bookmarkStart w:id="35" w:name="_Toc216444257"/>
      <w:bookmarkStart w:id="36" w:name="_Toc216792198"/>
      <w:bookmarkStart w:id="37" w:name="_Toc216809648"/>
      <w:bookmarkStart w:id="38" w:name="_Toc216819134"/>
      <w:bookmarkStart w:id="39" w:name="_Toc218781329"/>
      <w:bookmarkStart w:id="40" w:name="_Toc221098022"/>
      <w:r w:rsidRPr="007400D7">
        <w:t>Disclaimer</w:t>
      </w:r>
      <w:bookmarkEnd w:id="28"/>
      <w:bookmarkEnd w:id="29"/>
      <w:bookmarkEnd w:id="30"/>
      <w:bookmarkEnd w:id="31"/>
      <w:bookmarkEnd w:id="32"/>
      <w:bookmarkEnd w:id="33"/>
      <w:bookmarkEnd w:id="34"/>
      <w:bookmarkEnd w:id="35"/>
      <w:bookmarkEnd w:id="36"/>
      <w:bookmarkEnd w:id="37"/>
      <w:bookmarkEnd w:id="38"/>
      <w:bookmarkEnd w:id="39"/>
      <w:bookmarkEnd w:id="40"/>
    </w:p>
    <w:p w14:paraId="68FF8B17" w14:textId="77777777" w:rsidR="007400D7" w:rsidRPr="00042580" w:rsidRDefault="007400D7" w:rsidP="000A0D61">
      <w:pPr>
        <w:pStyle w:val="NICEnormalsinglespacing"/>
        <w:rPr>
          <w:rFonts w:eastAsia="Calibri"/>
        </w:rPr>
      </w:pPr>
      <w:bookmarkStart w:id="41" w:name="_Hlk146880619"/>
      <w:r>
        <w:t xml:space="preserve">Readers </w:t>
      </w:r>
      <w:r w:rsidRPr="00042580">
        <w:t xml:space="preserve">should be aware that issues and considerations outlined in HTA </w:t>
      </w:r>
      <w:r>
        <w:t>L</w:t>
      </w:r>
      <w:r w:rsidRPr="00042580">
        <w:t>ab reports cannot be taken as indicative or suggestive of any future position and will not be regarded as relevant to any future decision that may be taken by NICE.</w:t>
      </w:r>
    </w:p>
    <w:p w14:paraId="0C82D6BB" w14:textId="0F07C519" w:rsidR="006D4C33" w:rsidRDefault="3FAAC695" w:rsidP="000A0D61">
      <w:pPr>
        <w:pStyle w:val="Paragraph"/>
        <w:spacing w:line="240" w:lineRule="auto"/>
        <w:rPr>
          <w:lang w:eastAsia="en-GB"/>
        </w:rPr>
        <w:sectPr w:rsidR="006D4C33" w:rsidSect="002B4F3E">
          <w:headerReference w:type="default" r:id="rId7"/>
          <w:footerReference w:type="default" r:id="rId8"/>
          <w:headerReference w:type="first" r:id="rId9"/>
          <w:footerReference w:type="first" r:id="rId10"/>
          <w:pgSz w:w="11906" w:h="16838"/>
          <w:pgMar w:top="1440" w:right="1800" w:bottom="1440" w:left="1800" w:header="708" w:footer="708" w:gutter="0"/>
          <w:cols w:space="708"/>
          <w:docGrid w:linePitch="360"/>
        </w:sectPr>
      </w:pPr>
      <w:r>
        <w:t>The contents of HTA Lab reports are based on scientific knowledge that is publicly available and engagement with stakeholders at the time of writing the reports and cannot account for future changes and developments in scientific knowledge or any referenced material from external sources.</w:t>
      </w:r>
      <w:bookmarkEnd w:id="41"/>
    </w:p>
    <w:p w14:paraId="3C9817CA" w14:textId="13CA0846" w:rsidR="009B780D" w:rsidRPr="004B675C" w:rsidRDefault="007400D7" w:rsidP="006A50E3">
      <w:pPr>
        <w:pStyle w:val="Heading1"/>
        <w:ind w:left="720" w:hanging="720"/>
      </w:pPr>
      <w:bookmarkStart w:id="42" w:name="_Toc177990553"/>
      <w:bookmarkStart w:id="43" w:name="_Toc177994676"/>
      <w:bookmarkStart w:id="44" w:name="_Toc177995081"/>
      <w:bookmarkStart w:id="45" w:name="_Toc216279659"/>
      <w:bookmarkStart w:id="46" w:name="_Toc216438711"/>
      <w:bookmarkStart w:id="47" w:name="_Toc216444258"/>
      <w:bookmarkStart w:id="48" w:name="_Toc216792199"/>
      <w:bookmarkStart w:id="49" w:name="_Toc216809649"/>
      <w:bookmarkStart w:id="50" w:name="_Toc216819135"/>
      <w:bookmarkStart w:id="51" w:name="_Toc218781330"/>
      <w:bookmarkStart w:id="52" w:name="_Toc221098023"/>
      <w:r>
        <w:t>Contents</w:t>
      </w:r>
      <w:bookmarkEnd w:id="42"/>
      <w:bookmarkEnd w:id="43"/>
      <w:bookmarkEnd w:id="44"/>
      <w:bookmarkEnd w:id="45"/>
      <w:bookmarkEnd w:id="46"/>
      <w:bookmarkEnd w:id="47"/>
      <w:bookmarkEnd w:id="48"/>
      <w:bookmarkEnd w:id="49"/>
      <w:bookmarkEnd w:id="50"/>
      <w:bookmarkEnd w:id="51"/>
      <w:bookmarkEnd w:id="52"/>
    </w:p>
    <w:sdt>
      <w:sdtPr>
        <w:id w:val="-1273156239"/>
        <w:docPartObj>
          <w:docPartGallery w:val="Table of Contents"/>
          <w:docPartUnique/>
        </w:docPartObj>
      </w:sdtPr>
      <w:sdtContent>
        <w:p w14:paraId="2C1B9817" w14:textId="664D7080" w:rsidR="00FA0137" w:rsidRDefault="007627BF" w:rsidP="00FA0137">
          <w:pPr>
            <w:pStyle w:val="TOC1"/>
            <w:tabs>
              <w:tab w:val="right" w:leader="dot" w:pos="8296"/>
            </w:tabs>
            <w:rPr>
              <w:rFonts w:asciiTheme="minorHAnsi" w:eastAsiaTheme="minorEastAsia" w:hAnsiTheme="minorHAnsi" w:cstheme="minorBidi"/>
              <w:noProof/>
              <w:kern w:val="2"/>
              <w:lang w:eastAsia="en-GB"/>
              <w14:ligatures w14:val="standardContextual"/>
            </w:rPr>
          </w:pPr>
          <w:r>
            <w:rPr>
              <w:rFonts w:ascii="Arial" w:hAnsi="Arial"/>
            </w:rPr>
            <w:fldChar w:fldCharType="begin"/>
          </w:r>
          <w:r>
            <w:instrText xml:space="preserve"> TOC \o "1-3" \h \z \u </w:instrText>
          </w:r>
          <w:r>
            <w:rPr>
              <w:rFonts w:ascii="Arial" w:hAnsi="Arial"/>
            </w:rPr>
            <w:fldChar w:fldCharType="separate"/>
          </w:r>
        </w:p>
        <w:p w14:paraId="42AED4E8" w14:textId="7189EFB5" w:rsidR="00FA0137" w:rsidRPr="00B16AD9" w:rsidRDefault="00FA0137">
          <w:pPr>
            <w:pStyle w:val="TOC1"/>
            <w:tabs>
              <w:tab w:val="left" w:pos="480"/>
              <w:tab w:val="right" w:leader="dot" w:pos="8296"/>
            </w:tabs>
            <w:rPr>
              <w:rFonts w:ascii="Arial" w:eastAsiaTheme="minorEastAsia" w:hAnsi="Arial" w:cs="Arial"/>
              <w:noProof/>
              <w:kern w:val="2"/>
              <w:lang w:eastAsia="en-GB"/>
              <w14:ligatures w14:val="standardContextual"/>
            </w:rPr>
          </w:pPr>
          <w:hyperlink w:anchor="_Toc221098024" w:history="1">
            <w:r w:rsidRPr="00B16AD9">
              <w:rPr>
                <w:rStyle w:val="Hyperlink"/>
                <w:rFonts w:ascii="Arial" w:hAnsi="Arial" w:cs="Arial"/>
                <w:noProof/>
              </w:rPr>
              <w:t>1</w:t>
            </w:r>
            <w:r w:rsidRPr="00B16AD9">
              <w:rPr>
                <w:rFonts w:ascii="Arial" w:eastAsiaTheme="minorEastAsia" w:hAnsi="Arial" w:cs="Arial"/>
                <w:noProof/>
                <w:kern w:val="2"/>
                <w:lang w:eastAsia="en-GB"/>
                <w14:ligatures w14:val="standardContextual"/>
              </w:rPr>
              <w:tab/>
            </w:r>
            <w:r w:rsidRPr="00B16AD9">
              <w:rPr>
                <w:rStyle w:val="Hyperlink"/>
                <w:rFonts w:ascii="Arial" w:hAnsi="Arial" w:cs="Arial"/>
                <w:noProof/>
              </w:rPr>
              <w:t>The rationale for this review</w:t>
            </w:r>
            <w:r w:rsidRPr="00B16AD9">
              <w:rPr>
                <w:rFonts w:ascii="Arial" w:hAnsi="Arial" w:cs="Arial"/>
                <w:noProof/>
                <w:webHidden/>
              </w:rPr>
              <w:tab/>
            </w:r>
            <w:r w:rsidRPr="00B16AD9">
              <w:rPr>
                <w:rFonts w:ascii="Arial" w:hAnsi="Arial" w:cs="Arial"/>
                <w:noProof/>
                <w:webHidden/>
              </w:rPr>
              <w:fldChar w:fldCharType="begin"/>
            </w:r>
            <w:r w:rsidRPr="00B16AD9">
              <w:rPr>
                <w:rFonts w:ascii="Arial" w:hAnsi="Arial" w:cs="Arial"/>
                <w:noProof/>
                <w:webHidden/>
              </w:rPr>
              <w:instrText xml:space="preserve"> PAGEREF _Toc221098024 \h </w:instrText>
            </w:r>
            <w:r w:rsidRPr="00B16AD9">
              <w:rPr>
                <w:rFonts w:ascii="Arial" w:hAnsi="Arial" w:cs="Arial"/>
                <w:noProof/>
                <w:webHidden/>
              </w:rPr>
            </w:r>
            <w:r w:rsidRPr="00B16AD9">
              <w:rPr>
                <w:rFonts w:ascii="Arial" w:hAnsi="Arial" w:cs="Arial"/>
                <w:noProof/>
                <w:webHidden/>
              </w:rPr>
              <w:fldChar w:fldCharType="separate"/>
            </w:r>
            <w:r w:rsidR="002D398F">
              <w:rPr>
                <w:rFonts w:ascii="Arial" w:hAnsi="Arial" w:cs="Arial"/>
                <w:noProof/>
                <w:webHidden/>
              </w:rPr>
              <w:t>3</w:t>
            </w:r>
            <w:r w:rsidRPr="00B16AD9">
              <w:rPr>
                <w:rFonts w:ascii="Arial" w:hAnsi="Arial" w:cs="Arial"/>
                <w:noProof/>
                <w:webHidden/>
              </w:rPr>
              <w:fldChar w:fldCharType="end"/>
            </w:r>
          </w:hyperlink>
        </w:p>
        <w:p w14:paraId="482AA890" w14:textId="3652B307" w:rsidR="00FA0137" w:rsidRPr="00B16AD9" w:rsidRDefault="00FA0137">
          <w:pPr>
            <w:pStyle w:val="TOC1"/>
            <w:tabs>
              <w:tab w:val="left" w:pos="480"/>
              <w:tab w:val="right" w:leader="dot" w:pos="8296"/>
            </w:tabs>
            <w:rPr>
              <w:rFonts w:ascii="Arial" w:eastAsiaTheme="minorEastAsia" w:hAnsi="Arial" w:cs="Arial"/>
              <w:noProof/>
              <w:kern w:val="2"/>
              <w:lang w:eastAsia="en-GB"/>
              <w14:ligatures w14:val="standardContextual"/>
            </w:rPr>
          </w:pPr>
          <w:hyperlink w:anchor="_Toc221098025" w:history="1">
            <w:r w:rsidRPr="00B16AD9">
              <w:rPr>
                <w:rStyle w:val="Hyperlink"/>
                <w:rFonts w:ascii="Arial" w:hAnsi="Arial" w:cs="Arial"/>
                <w:noProof/>
              </w:rPr>
              <w:t>2</w:t>
            </w:r>
            <w:r w:rsidRPr="00B16AD9">
              <w:rPr>
                <w:rFonts w:ascii="Arial" w:eastAsiaTheme="minorEastAsia" w:hAnsi="Arial" w:cs="Arial"/>
                <w:noProof/>
                <w:kern w:val="2"/>
                <w:lang w:eastAsia="en-GB"/>
                <w14:ligatures w14:val="standardContextual"/>
              </w:rPr>
              <w:tab/>
            </w:r>
            <w:r w:rsidRPr="00B16AD9">
              <w:rPr>
                <w:rStyle w:val="Hyperlink"/>
                <w:rFonts w:ascii="Arial" w:hAnsi="Arial" w:cs="Arial"/>
                <w:noProof/>
              </w:rPr>
              <w:t>Methods</w:t>
            </w:r>
            <w:r w:rsidRPr="00B16AD9">
              <w:rPr>
                <w:rFonts w:ascii="Arial" w:hAnsi="Arial" w:cs="Arial"/>
                <w:noProof/>
                <w:webHidden/>
              </w:rPr>
              <w:tab/>
            </w:r>
            <w:r w:rsidRPr="00B16AD9">
              <w:rPr>
                <w:rFonts w:ascii="Arial" w:hAnsi="Arial" w:cs="Arial"/>
                <w:noProof/>
                <w:webHidden/>
              </w:rPr>
              <w:fldChar w:fldCharType="begin"/>
            </w:r>
            <w:r w:rsidRPr="00B16AD9">
              <w:rPr>
                <w:rFonts w:ascii="Arial" w:hAnsi="Arial" w:cs="Arial"/>
                <w:noProof/>
                <w:webHidden/>
              </w:rPr>
              <w:instrText xml:space="preserve"> PAGEREF _Toc221098025 \h </w:instrText>
            </w:r>
            <w:r w:rsidRPr="00B16AD9">
              <w:rPr>
                <w:rFonts w:ascii="Arial" w:hAnsi="Arial" w:cs="Arial"/>
                <w:noProof/>
                <w:webHidden/>
              </w:rPr>
            </w:r>
            <w:r w:rsidRPr="00B16AD9">
              <w:rPr>
                <w:rFonts w:ascii="Arial" w:hAnsi="Arial" w:cs="Arial"/>
                <w:noProof/>
                <w:webHidden/>
              </w:rPr>
              <w:fldChar w:fldCharType="separate"/>
            </w:r>
            <w:r w:rsidR="002D398F">
              <w:rPr>
                <w:rFonts w:ascii="Arial" w:hAnsi="Arial" w:cs="Arial"/>
                <w:noProof/>
                <w:webHidden/>
              </w:rPr>
              <w:t>3</w:t>
            </w:r>
            <w:r w:rsidRPr="00B16AD9">
              <w:rPr>
                <w:rFonts w:ascii="Arial" w:hAnsi="Arial" w:cs="Arial"/>
                <w:noProof/>
                <w:webHidden/>
              </w:rPr>
              <w:fldChar w:fldCharType="end"/>
            </w:r>
          </w:hyperlink>
        </w:p>
        <w:p w14:paraId="279185D0" w14:textId="41F433AE" w:rsidR="00FA0137" w:rsidRPr="00B16AD9" w:rsidRDefault="00FA0137">
          <w:pPr>
            <w:pStyle w:val="TOC1"/>
            <w:tabs>
              <w:tab w:val="left" w:pos="480"/>
              <w:tab w:val="right" w:leader="dot" w:pos="8296"/>
            </w:tabs>
            <w:rPr>
              <w:rFonts w:ascii="Arial" w:eastAsiaTheme="minorEastAsia" w:hAnsi="Arial" w:cs="Arial"/>
              <w:noProof/>
              <w:kern w:val="2"/>
              <w:lang w:eastAsia="en-GB"/>
              <w14:ligatures w14:val="standardContextual"/>
            </w:rPr>
          </w:pPr>
          <w:hyperlink w:anchor="_Toc221098026" w:history="1">
            <w:r w:rsidRPr="00B16AD9">
              <w:rPr>
                <w:rStyle w:val="Hyperlink"/>
                <w:rFonts w:ascii="Arial" w:hAnsi="Arial" w:cs="Arial"/>
                <w:noProof/>
              </w:rPr>
              <w:t>3</w:t>
            </w:r>
            <w:r w:rsidRPr="00B16AD9">
              <w:rPr>
                <w:rFonts w:ascii="Arial" w:eastAsiaTheme="minorEastAsia" w:hAnsi="Arial" w:cs="Arial"/>
                <w:noProof/>
                <w:kern w:val="2"/>
                <w:lang w:eastAsia="en-GB"/>
                <w14:ligatures w14:val="standardContextual"/>
              </w:rPr>
              <w:tab/>
            </w:r>
            <w:r w:rsidRPr="00B16AD9">
              <w:rPr>
                <w:rStyle w:val="Hyperlink"/>
                <w:rFonts w:ascii="Arial" w:hAnsi="Arial" w:cs="Arial"/>
                <w:noProof/>
              </w:rPr>
              <w:t>Included HTA reports</w:t>
            </w:r>
            <w:r w:rsidRPr="00B16AD9">
              <w:rPr>
                <w:rFonts w:ascii="Arial" w:hAnsi="Arial" w:cs="Arial"/>
                <w:noProof/>
                <w:webHidden/>
              </w:rPr>
              <w:tab/>
            </w:r>
            <w:r w:rsidRPr="00B16AD9">
              <w:rPr>
                <w:rFonts w:ascii="Arial" w:hAnsi="Arial" w:cs="Arial"/>
                <w:noProof/>
                <w:webHidden/>
              </w:rPr>
              <w:fldChar w:fldCharType="begin"/>
            </w:r>
            <w:r w:rsidRPr="00B16AD9">
              <w:rPr>
                <w:rFonts w:ascii="Arial" w:hAnsi="Arial" w:cs="Arial"/>
                <w:noProof/>
                <w:webHidden/>
              </w:rPr>
              <w:instrText xml:space="preserve"> PAGEREF _Toc221098026 \h </w:instrText>
            </w:r>
            <w:r w:rsidRPr="00B16AD9">
              <w:rPr>
                <w:rFonts w:ascii="Arial" w:hAnsi="Arial" w:cs="Arial"/>
                <w:noProof/>
                <w:webHidden/>
              </w:rPr>
            </w:r>
            <w:r w:rsidRPr="00B16AD9">
              <w:rPr>
                <w:rFonts w:ascii="Arial" w:hAnsi="Arial" w:cs="Arial"/>
                <w:noProof/>
                <w:webHidden/>
              </w:rPr>
              <w:fldChar w:fldCharType="separate"/>
            </w:r>
            <w:r w:rsidR="002D398F">
              <w:rPr>
                <w:rFonts w:ascii="Arial" w:hAnsi="Arial" w:cs="Arial"/>
                <w:noProof/>
                <w:webHidden/>
              </w:rPr>
              <w:t>3</w:t>
            </w:r>
            <w:r w:rsidRPr="00B16AD9">
              <w:rPr>
                <w:rFonts w:ascii="Arial" w:hAnsi="Arial" w:cs="Arial"/>
                <w:noProof/>
                <w:webHidden/>
              </w:rPr>
              <w:fldChar w:fldCharType="end"/>
            </w:r>
          </w:hyperlink>
        </w:p>
        <w:p w14:paraId="14C74CD0" w14:textId="5BF268DB" w:rsidR="00FA0137" w:rsidRPr="00B16AD9" w:rsidRDefault="00FA0137">
          <w:pPr>
            <w:pStyle w:val="TOC1"/>
            <w:tabs>
              <w:tab w:val="left" w:pos="480"/>
              <w:tab w:val="right" w:leader="dot" w:pos="8296"/>
            </w:tabs>
            <w:rPr>
              <w:rFonts w:ascii="Arial" w:eastAsiaTheme="minorEastAsia" w:hAnsi="Arial" w:cs="Arial"/>
              <w:noProof/>
              <w:kern w:val="2"/>
              <w:lang w:eastAsia="en-GB"/>
              <w14:ligatures w14:val="standardContextual"/>
            </w:rPr>
          </w:pPr>
          <w:hyperlink w:anchor="_Toc221098029" w:history="1">
            <w:r w:rsidRPr="00B16AD9">
              <w:rPr>
                <w:rStyle w:val="Hyperlink"/>
                <w:rFonts w:ascii="Arial" w:hAnsi="Arial" w:cs="Arial"/>
                <w:noProof/>
              </w:rPr>
              <w:t>4</w:t>
            </w:r>
            <w:r w:rsidRPr="00B16AD9">
              <w:rPr>
                <w:rFonts w:ascii="Arial" w:eastAsiaTheme="minorEastAsia" w:hAnsi="Arial" w:cs="Arial"/>
                <w:noProof/>
                <w:kern w:val="2"/>
                <w:lang w:eastAsia="en-GB"/>
                <w14:ligatures w14:val="standardContextual"/>
              </w:rPr>
              <w:tab/>
            </w:r>
            <w:r w:rsidRPr="00B16AD9">
              <w:rPr>
                <w:rStyle w:val="Hyperlink"/>
                <w:rFonts w:ascii="Arial" w:hAnsi="Arial" w:cs="Arial"/>
                <w:noProof/>
              </w:rPr>
              <w:t>How implementation costs were considered in evaluations</w:t>
            </w:r>
            <w:r w:rsidRPr="00B16AD9">
              <w:rPr>
                <w:rFonts w:ascii="Arial" w:hAnsi="Arial" w:cs="Arial"/>
                <w:noProof/>
                <w:webHidden/>
              </w:rPr>
              <w:tab/>
            </w:r>
            <w:r w:rsidRPr="00B16AD9">
              <w:rPr>
                <w:rFonts w:ascii="Arial" w:hAnsi="Arial" w:cs="Arial"/>
                <w:noProof/>
                <w:webHidden/>
              </w:rPr>
              <w:fldChar w:fldCharType="begin"/>
            </w:r>
            <w:r w:rsidRPr="00B16AD9">
              <w:rPr>
                <w:rFonts w:ascii="Arial" w:hAnsi="Arial" w:cs="Arial"/>
                <w:noProof/>
                <w:webHidden/>
              </w:rPr>
              <w:instrText xml:space="preserve"> PAGEREF _Toc221098029 \h </w:instrText>
            </w:r>
            <w:r w:rsidRPr="00B16AD9">
              <w:rPr>
                <w:rFonts w:ascii="Arial" w:hAnsi="Arial" w:cs="Arial"/>
                <w:noProof/>
                <w:webHidden/>
              </w:rPr>
            </w:r>
            <w:r w:rsidRPr="00B16AD9">
              <w:rPr>
                <w:rFonts w:ascii="Arial" w:hAnsi="Arial" w:cs="Arial"/>
                <w:noProof/>
                <w:webHidden/>
              </w:rPr>
              <w:fldChar w:fldCharType="separate"/>
            </w:r>
            <w:r w:rsidR="002D398F">
              <w:rPr>
                <w:rFonts w:ascii="Arial" w:hAnsi="Arial" w:cs="Arial"/>
                <w:noProof/>
                <w:webHidden/>
              </w:rPr>
              <w:t>4</w:t>
            </w:r>
            <w:r w:rsidRPr="00B16AD9">
              <w:rPr>
                <w:rFonts w:ascii="Arial" w:hAnsi="Arial" w:cs="Arial"/>
                <w:noProof/>
                <w:webHidden/>
              </w:rPr>
              <w:fldChar w:fldCharType="end"/>
            </w:r>
          </w:hyperlink>
        </w:p>
        <w:p w14:paraId="3CDA8FA5" w14:textId="01E904F7" w:rsidR="00FA0137" w:rsidRPr="00B16AD9" w:rsidRDefault="00FA0137">
          <w:pPr>
            <w:pStyle w:val="TOC1"/>
            <w:tabs>
              <w:tab w:val="left" w:pos="720"/>
              <w:tab w:val="right" w:leader="dot" w:pos="8296"/>
            </w:tabs>
            <w:rPr>
              <w:rFonts w:ascii="Arial" w:eastAsiaTheme="minorEastAsia" w:hAnsi="Arial" w:cs="Arial"/>
              <w:noProof/>
              <w:kern w:val="2"/>
              <w:lang w:eastAsia="en-GB"/>
              <w14:ligatures w14:val="standardContextual"/>
            </w:rPr>
          </w:pPr>
          <w:hyperlink w:anchor="_Toc221098030" w:history="1">
            <w:r w:rsidRPr="00B16AD9">
              <w:rPr>
                <w:rStyle w:val="Hyperlink"/>
                <w:rFonts w:ascii="Arial" w:hAnsi="Arial" w:cs="Arial"/>
                <w:noProof/>
              </w:rPr>
              <w:t>4.1</w:t>
            </w:r>
            <w:r w:rsidRPr="00B16AD9">
              <w:rPr>
                <w:rFonts w:ascii="Arial" w:eastAsiaTheme="minorEastAsia" w:hAnsi="Arial" w:cs="Arial"/>
                <w:noProof/>
                <w:kern w:val="2"/>
                <w:lang w:eastAsia="en-GB"/>
                <w14:ligatures w14:val="standardContextual"/>
              </w:rPr>
              <w:tab/>
            </w:r>
            <w:r w:rsidRPr="00B16AD9">
              <w:rPr>
                <w:rStyle w:val="Hyperlink"/>
                <w:rFonts w:ascii="Arial" w:hAnsi="Arial" w:cs="Arial"/>
                <w:noProof/>
              </w:rPr>
              <w:t>Exclusion of some implementation costs</w:t>
            </w:r>
            <w:r w:rsidRPr="00B16AD9">
              <w:rPr>
                <w:rFonts w:ascii="Arial" w:hAnsi="Arial" w:cs="Arial"/>
                <w:noProof/>
                <w:webHidden/>
              </w:rPr>
              <w:tab/>
            </w:r>
            <w:r w:rsidRPr="00B16AD9">
              <w:rPr>
                <w:rFonts w:ascii="Arial" w:hAnsi="Arial" w:cs="Arial"/>
                <w:noProof/>
                <w:webHidden/>
              </w:rPr>
              <w:fldChar w:fldCharType="begin"/>
            </w:r>
            <w:r w:rsidRPr="00B16AD9">
              <w:rPr>
                <w:rFonts w:ascii="Arial" w:hAnsi="Arial" w:cs="Arial"/>
                <w:noProof/>
                <w:webHidden/>
              </w:rPr>
              <w:instrText xml:space="preserve"> PAGEREF _Toc221098030 \h </w:instrText>
            </w:r>
            <w:r w:rsidRPr="00B16AD9">
              <w:rPr>
                <w:rFonts w:ascii="Arial" w:hAnsi="Arial" w:cs="Arial"/>
                <w:noProof/>
                <w:webHidden/>
              </w:rPr>
            </w:r>
            <w:r w:rsidRPr="00B16AD9">
              <w:rPr>
                <w:rFonts w:ascii="Arial" w:hAnsi="Arial" w:cs="Arial"/>
                <w:noProof/>
                <w:webHidden/>
              </w:rPr>
              <w:fldChar w:fldCharType="separate"/>
            </w:r>
            <w:r w:rsidR="002D398F">
              <w:rPr>
                <w:rFonts w:ascii="Arial" w:hAnsi="Arial" w:cs="Arial"/>
                <w:noProof/>
                <w:webHidden/>
              </w:rPr>
              <w:t>5</w:t>
            </w:r>
            <w:r w:rsidRPr="00B16AD9">
              <w:rPr>
                <w:rFonts w:ascii="Arial" w:hAnsi="Arial" w:cs="Arial"/>
                <w:noProof/>
                <w:webHidden/>
              </w:rPr>
              <w:fldChar w:fldCharType="end"/>
            </w:r>
          </w:hyperlink>
        </w:p>
        <w:p w14:paraId="27C57CBE" w14:textId="5F593765" w:rsidR="00FA0137" w:rsidRPr="00B16AD9" w:rsidRDefault="00FA0137">
          <w:pPr>
            <w:pStyle w:val="TOC1"/>
            <w:tabs>
              <w:tab w:val="left" w:pos="720"/>
              <w:tab w:val="right" w:leader="dot" w:pos="8296"/>
            </w:tabs>
            <w:rPr>
              <w:rFonts w:ascii="Arial" w:eastAsiaTheme="minorEastAsia" w:hAnsi="Arial" w:cs="Arial"/>
              <w:noProof/>
              <w:kern w:val="2"/>
              <w:lang w:eastAsia="en-GB"/>
              <w14:ligatures w14:val="standardContextual"/>
            </w:rPr>
          </w:pPr>
          <w:hyperlink w:anchor="_Toc221098031" w:history="1">
            <w:r w:rsidRPr="00B16AD9">
              <w:rPr>
                <w:rStyle w:val="Hyperlink"/>
                <w:rFonts w:ascii="Arial" w:hAnsi="Arial" w:cs="Arial"/>
                <w:noProof/>
              </w:rPr>
              <w:t>4.2</w:t>
            </w:r>
            <w:r w:rsidRPr="00B16AD9">
              <w:rPr>
                <w:rFonts w:ascii="Arial" w:eastAsiaTheme="minorEastAsia" w:hAnsi="Arial" w:cs="Arial"/>
                <w:noProof/>
                <w:kern w:val="2"/>
                <w:lang w:eastAsia="en-GB"/>
                <w14:ligatures w14:val="standardContextual"/>
              </w:rPr>
              <w:tab/>
            </w:r>
            <w:r w:rsidRPr="00B16AD9">
              <w:rPr>
                <w:rStyle w:val="Hyperlink"/>
                <w:rFonts w:ascii="Arial" w:hAnsi="Arial" w:cs="Arial"/>
                <w:noProof/>
              </w:rPr>
              <w:t>Existing infrastructure and services sometimes deemed sufficient for new technologies</w:t>
            </w:r>
            <w:r w:rsidRPr="00B16AD9">
              <w:rPr>
                <w:rFonts w:ascii="Arial" w:hAnsi="Arial" w:cs="Arial"/>
                <w:noProof/>
                <w:webHidden/>
              </w:rPr>
              <w:tab/>
            </w:r>
            <w:r w:rsidRPr="00B16AD9">
              <w:rPr>
                <w:rFonts w:ascii="Arial" w:hAnsi="Arial" w:cs="Arial"/>
                <w:noProof/>
                <w:webHidden/>
              </w:rPr>
              <w:fldChar w:fldCharType="begin"/>
            </w:r>
            <w:r w:rsidRPr="00B16AD9">
              <w:rPr>
                <w:rFonts w:ascii="Arial" w:hAnsi="Arial" w:cs="Arial"/>
                <w:noProof/>
                <w:webHidden/>
              </w:rPr>
              <w:instrText xml:space="preserve"> PAGEREF _Toc221098031 \h </w:instrText>
            </w:r>
            <w:r w:rsidRPr="00B16AD9">
              <w:rPr>
                <w:rFonts w:ascii="Arial" w:hAnsi="Arial" w:cs="Arial"/>
                <w:noProof/>
                <w:webHidden/>
              </w:rPr>
            </w:r>
            <w:r w:rsidRPr="00B16AD9">
              <w:rPr>
                <w:rFonts w:ascii="Arial" w:hAnsi="Arial" w:cs="Arial"/>
                <w:noProof/>
                <w:webHidden/>
              </w:rPr>
              <w:fldChar w:fldCharType="separate"/>
            </w:r>
            <w:r w:rsidR="002D398F">
              <w:rPr>
                <w:rFonts w:ascii="Arial" w:hAnsi="Arial" w:cs="Arial"/>
                <w:noProof/>
                <w:webHidden/>
              </w:rPr>
              <w:t>5</w:t>
            </w:r>
            <w:r w:rsidRPr="00B16AD9">
              <w:rPr>
                <w:rFonts w:ascii="Arial" w:hAnsi="Arial" w:cs="Arial"/>
                <w:noProof/>
                <w:webHidden/>
              </w:rPr>
              <w:fldChar w:fldCharType="end"/>
            </w:r>
          </w:hyperlink>
        </w:p>
        <w:p w14:paraId="5E4F49A8" w14:textId="61C4F245" w:rsidR="00FA0137" w:rsidRPr="00B16AD9" w:rsidRDefault="00FA0137">
          <w:pPr>
            <w:pStyle w:val="TOC1"/>
            <w:tabs>
              <w:tab w:val="left" w:pos="720"/>
              <w:tab w:val="right" w:leader="dot" w:pos="8296"/>
            </w:tabs>
            <w:rPr>
              <w:rFonts w:ascii="Arial" w:eastAsiaTheme="minorEastAsia" w:hAnsi="Arial" w:cs="Arial"/>
              <w:noProof/>
              <w:kern w:val="2"/>
              <w:lang w:eastAsia="en-GB"/>
              <w14:ligatures w14:val="standardContextual"/>
            </w:rPr>
          </w:pPr>
          <w:hyperlink w:anchor="_Toc221098032" w:history="1">
            <w:r w:rsidRPr="00B16AD9">
              <w:rPr>
                <w:rStyle w:val="Hyperlink"/>
                <w:rFonts w:ascii="Arial" w:hAnsi="Arial" w:cs="Arial"/>
                <w:noProof/>
              </w:rPr>
              <w:t>4.3</w:t>
            </w:r>
            <w:r w:rsidRPr="00B16AD9">
              <w:rPr>
                <w:rFonts w:ascii="Arial" w:eastAsiaTheme="minorEastAsia" w:hAnsi="Arial" w:cs="Arial"/>
                <w:noProof/>
                <w:kern w:val="2"/>
                <w:lang w:eastAsia="en-GB"/>
                <w14:ligatures w14:val="standardContextual"/>
              </w:rPr>
              <w:tab/>
            </w:r>
            <w:r w:rsidRPr="00B16AD9">
              <w:rPr>
                <w:rStyle w:val="Hyperlink"/>
                <w:rFonts w:ascii="Arial" w:hAnsi="Arial" w:cs="Arial"/>
                <w:noProof/>
              </w:rPr>
              <w:t>Challenges of using tariffs for new services or estimates borrowed from other clinical areas</w:t>
            </w:r>
            <w:r w:rsidRPr="00B16AD9">
              <w:rPr>
                <w:rFonts w:ascii="Arial" w:hAnsi="Arial" w:cs="Arial"/>
                <w:noProof/>
                <w:webHidden/>
              </w:rPr>
              <w:tab/>
            </w:r>
            <w:r w:rsidRPr="00B16AD9">
              <w:rPr>
                <w:rFonts w:ascii="Arial" w:hAnsi="Arial" w:cs="Arial"/>
                <w:noProof/>
                <w:webHidden/>
              </w:rPr>
              <w:fldChar w:fldCharType="begin"/>
            </w:r>
            <w:r w:rsidRPr="00B16AD9">
              <w:rPr>
                <w:rFonts w:ascii="Arial" w:hAnsi="Arial" w:cs="Arial"/>
                <w:noProof/>
                <w:webHidden/>
              </w:rPr>
              <w:instrText xml:space="preserve"> PAGEREF _Toc221098032 \h </w:instrText>
            </w:r>
            <w:r w:rsidRPr="00B16AD9">
              <w:rPr>
                <w:rFonts w:ascii="Arial" w:hAnsi="Arial" w:cs="Arial"/>
                <w:noProof/>
                <w:webHidden/>
              </w:rPr>
            </w:r>
            <w:r w:rsidRPr="00B16AD9">
              <w:rPr>
                <w:rFonts w:ascii="Arial" w:hAnsi="Arial" w:cs="Arial"/>
                <w:noProof/>
                <w:webHidden/>
              </w:rPr>
              <w:fldChar w:fldCharType="separate"/>
            </w:r>
            <w:r w:rsidR="002D398F">
              <w:rPr>
                <w:rFonts w:ascii="Arial" w:hAnsi="Arial" w:cs="Arial"/>
                <w:noProof/>
                <w:webHidden/>
              </w:rPr>
              <w:t>6</w:t>
            </w:r>
            <w:r w:rsidRPr="00B16AD9">
              <w:rPr>
                <w:rFonts w:ascii="Arial" w:hAnsi="Arial" w:cs="Arial"/>
                <w:noProof/>
                <w:webHidden/>
              </w:rPr>
              <w:fldChar w:fldCharType="end"/>
            </w:r>
          </w:hyperlink>
        </w:p>
        <w:p w14:paraId="22C99A8F" w14:textId="212C8CB9" w:rsidR="00FA0137" w:rsidRPr="00B16AD9" w:rsidRDefault="00FA0137">
          <w:pPr>
            <w:pStyle w:val="TOC1"/>
            <w:tabs>
              <w:tab w:val="left" w:pos="720"/>
              <w:tab w:val="right" w:leader="dot" w:pos="8296"/>
            </w:tabs>
            <w:rPr>
              <w:rFonts w:ascii="Arial" w:eastAsiaTheme="minorEastAsia" w:hAnsi="Arial" w:cs="Arial"/>
              <w:noProof/>
              <w:kern w:val="2"/>
              <w:lang w:eastAsia="en-GB"/>
              <w14:ligatures w14:val="standardContextual"/>
            </w:rPr>
          </w:pPr>
          <w:hyperlink w:anchor="_Toc221098033" w:history="1">
            <w:r w:rsidRPr="00B16AD9">
              <w:rPr>
                <w:rStyle w:val="Hyperlink"/>
                <w:rFonts w:ascii="Arial" w:hAnsi="Arial" w:cs="Arial"/>
                <w:noProof/>
              </w:rPr>
              <w:t>4.4</w:t>
            </w:r>
            <w:r w:rsidRPr="00B16AD9">
              <w:rPr>
                <w:rFonts w:ascii="Arial" w:eastAsiaTheme="minorEastAsia" w:hAnsi="Arial" w:cs="Arial"/>
                <w:noProof/>
                <w:kern w:val="2"/>
                <w:lang w:eastAsia="en-GB"/>
                <w14:ligatures w14:val="standardContextual"/>
              </w:rPr>
              <w:tab/>
            </w:r>
            <w:r w:rsidRPr="00B16AD9">
              <w:rPr>
                <w:rStyle w:val="Hyperlink"/>
                <w:rFonts w:ascii="Arial" w:hAnsi="Arial" w:cs="Arial"/>
                <w:noProof/>
              </w:rPr>
              <w:t>Implementation costs within changing NHS services or when there is uncertainty</w:t>
            </w:r>
            <w:r w:rsidRPr="00B16AD9">
              <w:rPr>
                <w:rFonts w:ascii="Arial" w:hAnsi="Arial" w:cs="Arial"/>
                <w:noProof/>
                <w:webHidden/>
              </w:rPr>
              <w:tab/>
            </w:r>
            <w:r w:rsidRPr="00B16AD9">
              <w:rPr>
                <w:rFonts w:ascii="Arial" w:hAnsi="Arial" w:cs="Arial"/>
                <w:noProof/>
                <w:webHidden/>
              </w:rPr>
              <w:fldChar w:fldCharType="begin"/>
            </w:r>
            <w:r w:rsidRPr="00B16AD9">
              <w:rPr>
                <w:rFonts w:ascii="Arial" w:hAnsi="Arial" w:cs="Arial"/>
                <w:noProof/>
                <w:webHidden/>
              </w:rPr>
              <w:instrText xml:space="preserve"> PAGEREF _Toc221098033 \h </w:instrText>
            </w:r>
            <w:r w:rsidRPr="00B16AD9">
              <w:rPr>
                <w:rFonts w:ascii="Arial" w:hAnsi="Arial" w:cs="Arial"/>
                <w:noProof/>
                <w:webHidden/>
              </w:rPr>
            </w:r>
            <w:r w:rsidRPr="00B16AD9">
              <w:rPr>
                <w:rFonts w:ascii="Arial" w:hAnsi="Arial" w:cs="Arial"/>
                <w:noProof/>
                <w:webHidden/>
              </w:rPr>
              <w:fldChar w:fldCharType="separate"/>
            </w:r>
            <w:r w:rsidR="002D398F">
              <w:rPr>
                <w:rFonts w:ascii="Arial" w:hAnsi="Arial" w:cs="Arial"/>
                <w:noProof/>
                <w:webHidden/>
              </w:rPr>
              <w:t>8</w:t>
            </w:r>
            <w:r w:rsidRPr="00B16AD9">
              <w:rPr>
                <w:rFonts w:ascii="Arial" w:hAnsi="Arial" w:cs="Arial"/>
                <w:noProof/>
                <w:webHidden/>
              </w:rPr>
              <w:fldChar w:fldCharType="end"/>
            </w:r>
          </w:hyperlink>
        </w:p>
        <w:p w14:paraId="2B3B2256" w14:textId="60BD7EFF" w:rsidR="00FA0137" w:rsidRPr="00B16AD9" w:rsidRDefault="00FA0137">
          <w:pPr>
            <w:pStyle w:val="TOC1"/>
            <w:tabs>
              <w:tab w:val="left" w:pos="720"/>
              <w:tab w:val="right" w:leader="dot" w:pos="8296"/>
            </w:tabs>
            <w:rPr>
              <w:rFonts w:ascii="Arial" w:eastAsiaTheme="minorEastAsia" w:hAnsi="Arial" w:cs="Arial"/>
              <w:noProof/>
              <w:kern w:val="2"/>
              <w:lang w:eastAsia="en-GB"/>
              <w14:ligatures w14:val="standardContextual"/>
            </w:rPr>
          </w:pPr>
          <w:hyperlink w:anchor="_Toc221098034" w:history="1">
            <w:r w:rsidRPr="00B16AD9">
              <w:rPr>
                <w:rStyle w:val="Hyperlink"/>
                <w:rFonts w:ascii="Arial" w:hAnsi="Arial" w:cs="Arial"/>
                <w:noProof/>
              </w:rPr>
              <w:t>4.5</w:t>
            </w:r>
            <w:r w:rsidRPr="00B16AD9">
              <w:rPr>
                <w:rFonts w:ascii="Arial" w:eastAsiaTheme="minorEastAsia" w:hAnsi="Arial" w:cs="Arial"/>
                <w:noProof/>
                <w:kern w:val="2"/>
                <w:lang w:eastAsia="en-GB"/>
                <w14:ligatures w14:val="standardContextual"/>
              </w:rPr>
              <w:tab/>
            </w:r>
            <w:r w:rsidRPr="00B16AD9">
              <w:rPr>
                <w:rStyle w:val="Hyperlink"/>
                <w:rFonts w:ascii="Arial" w:hAnsi="Arial" w:cs="Arial"/>
                <w:noProof/>
              </w:rPr>
              <w:t>Considering inequalities related to existing services</w:t>
            </w:r>
            <w:r w:rsidRPr="00B16AD9">
              <w:rPr>
                <w:rFonts w:ascii="Arial" w:hAnsi="Arial" w:cs="Arial"/>
                <w:noProof/>
                <w:webHidden/>
              </w:rPr>
              <w:tab/>
            </w:r>
            <w:r w:rsidRPr="00B16AD9">
              <w:rPr>
                <w:rFonts w:ascii="Arial" w:hAnsi="Arial" w:cs="Arial"/>
                <w:noProof/>
                <w:webHidden/>
              </w:rPr>
              <w:fldChar w:fldCharType="begin"/>
            </w:r>
            <w:r w:rsidRPr="00B16AD9">
              <w:rPr>
                <w:rFonts w:ascii="Arial" w:hAnsi="Arial" w:cs="Arial"/>
                <w:noProof/>
                <w:webHidden/>
              </w:rPr>
              <w:instrText xml:space="preserve"> PAGEREF _Toc221098034 \h </w:instrText>
            </w:r>
            <w:r w:rsidRPr="00B16AD9">
              <w:rPr>
                <w:rFonts w:ascii="Arial" w:hAnsi="Arial" w:cs="Arial"/>
                <w:noProof/>
                <w:webHidden/>
              </w:rPr>
            </w:r>
            <w:r w:rsidRPr="00B16AD9">
              <w:rPr>
                <w:rFonts w:ascii="Arial" w:hAnsi="Arial" w:cs="Arial"/>
                <w:noProof/>
                <w:webHidden/>
              </w:rPr>
              <w:fldChar w:fldCharType="separate"/>
            </w:r>
            <w:r w:rsidR="002D398F">
              <w:rPr>
                <w:rFonts w:ascii="Arial" w:hAnsi="Arial" w:cs="Arial"/>
                <w:noProof/>
                <w:webHidden/>
              </w:rPr>
              <w:t>8</w:t>
            </w:r>
            <w:r w:rsidRPr="00B16AD9">
              <w:rPr>
                <w:rFonts w:ascii="Arial" w:hAnsi="Arial" w:cs="Arial"/>
                <w:noProof/>
                <w:webHidden/>
              </w:rPr>
              <w:fldChar w:fldCharType="end"/>
            </w:r>
          </w:hyperlink>
        </w:p>
        <w:p w14:paraId="16A11489" w14:textId="713DF0EF" w:rsidR="00FA0137" w:rsidRPr="00B16AD9" w:rsidRDefault="00FA0137">
          <w:pPr>
            <w:pStyle w:val="TOC1"/>
            <w:tabs>
              <w:tab w:val="left" w:pos="480"/>
              <w:tab w:val="right" w:leader="dot" w:pos="8296"/>
            </w:tabs>
            <w:rPr>
              <w:rFonts w:ascii="Arial" w:eastAsiaTheme="minorEastAsia" w:hAnsi="Arial" w:cs="Arial"/>
              <w:noProof/>
              <w:kern w:val="2"/>
              <w:lang w:eastAsia="en-GB"/>
              <w14:ligatures w14:val="standardContextual"/>
            </w:rPr>
          </w:pPr>
          <w:hyperlink w:anchor="_Toc221098035" w:history="1">
            <w:r w:rsidRPr="00B16AD9">
              <w:rPr>
                <w:rStyle w:val="Hyperlink"/>
                <w:rFonts w:ascii="Arial" w:hAnsi="Arial" w:cs="Arial"/>
                <w:noProof/>
              </w:rPr>
              <w:t>5</w:t>
            </w:r>
            <w:r w:rsidRPr="00B16AD9">
              <w:rPr>
                <w:rFonts w:ascii="Arial" w:eastAsiaTheme="minorEastAsia" w:hAnsi="Arial" w:cs="Arial"/>
                <w:noProof/>
                <w:kern w:val="2"/>
                <w:lang w:eastAsia="en-GB"/>
                <w14:ligatures w14:val="standardContextual"/>
              </w:rPr>
              <w:tab/>
            </w:r>
            <w:r w:rsidRPr="00B16AD9">
              <w:rPr>
                <w:rStyle w:val="Hyperlink"/>
                <w:rFonts w:ascii="Arial" w:hAnsi="Arial" w:cs="Arial"/>
                <w:noProof/>
              </w:rPr>
              <w:t>Conclusions</w:t>
            </w:r>
            <w:r w:rsidRPr="00B16AD9">
              <w:rPr>
                <w:rFonts w:ascii="Arial" w:hAnsi="Arial" w:cs="Arial"/>
                <w:noProof/>
                <w:webHidden/>
              </w:rPr>
              <w:tab/>
            </w:r>
            <w:r w:rsidRPr="00B16AD9">
              <w:rPr>
                <w:rFonts w:ascii="Arial" w:hAnsi="Arial" w:cs="Arial"/>
                <w:noProof/>
                <w:webHidden/>
              </w:rPr>
              <w:fldChar w:fldCharType="begin"/>
            </w:r>
            <w:r w:rsidRPr="00B16AD9">
              <w:rPr>
                <w:rFonts w:ascii="Arial" w:hAnsi="Arial" w:cs="Arial"/>
                <w:noProof/>
                <w:webHidden/>
              </w:rPr>
              <w:instrText xml:space="preserve"> PAGEREF _Toc221098035 \h </w:instrText>
            </w:r>
            <w:r w:rsidRPr="00B16AD9">
              <w:rPr>
                <w:rFonts w:ascii="Arial" w:hAnsi="Arial" w:cs="Arial"/>
                <w:noProof/>
                <w:webHidden/>
              </w:rPr>
            </w:r>
            <w:r w:rsidRPr="00B16AD9">
              <w:rPr>
                <w:rFonts w:ascii="Arial" w:hAnsi="Arial" w:cs="Arial"/>
                <w:noProof/>
                <w:webHidden/>
              </w:rPr>
              <w:fldChar w:fldCharType="separate"/>
            </w:r>
            <w:r w:rsidR="002D398F">
              <w:rPr>
                <w:rFonts w:ascii="Arial" w:hAnsi="Arial" w:cs="Arial"/>
                <w:noProof/>
                <w:webHidden/>
              </w:rPr>
              <w:t>9</w:t>
            </w:r>
            <w:r w:rsidRPr="00B16AD9">
              <w:rPr>
                <w:rFonts w:ascii="Arial" w:hAnsi="Arial" w:cs="Arial"/>
                <w:noProof/>
                <w:webHidden/>
              </w:rPr>
              <w:fldChar w:fldCharType="end"/>
            </w:r>
          </w:hyperlink>
        </w:p>
        <w:p w14:paraId="49C18BAC" w14:textId="570A5D8D" w:rsidR="00443FFA" w:rsidRDefault="007627BF" w:rsidP="00BF3E96">
          <w:pPr>
            <w:ind w:left="720" w:hanging="720"/>
            <w:sectPr w:rsidR="00443FFA" w:rsidSect="002B4F3E">
              <w:headerReference w:type="default" r:id="rId11"/>
              <w:pgSz w:w="11906" w:h="16838"/>
              <w:pgMar w:top="1440" w:right="1800" w:bottom="1440" w:left="1800" w:header="708" w:footer="708" w:gutter="0"/>
              <w:cols w:space="708"/>
              <w:docGrid w:linePitch="360"/>
            </w:sectPr>
          </w:pPr>
          <w:r>
            <w:rPr>
              <w:b/>
              <w:bCs/>
              <w:noProof/>
            </w:rPr>
            <w:fldChar w:fldCharType="end"/>
          </w:r>
        </w:p>
      </w:sdtContent>
    </w:sdt>
    <w:p w14:paraId="35E48CD1" w14:textId="0F3B42DD" w:rsidR="00C41A0D" w:rsidRDefault="0011544F" w:rsidP="006A50E3">
      <w:pPr>
        <w:pStyle w:val="Numberedheading1"/>
        <w:ind w:left="720" w:hanging="720"/>
      </w:pPr>
      <w:bookmarkStart w:id="53" w:name="_Toc221098024"/>
      <w:r w:rsidRPr="0011544F">
        <w:t xml:space="preserve">The </w:t>
      </w:r>
      <w:r w:rsidR="00E57AE6">
        <w:t xml:space="preserve">rationale </w:t>
      </w:r>
      <w:r w:rsidRPr="0011544F">
        <w:t xml:space="preserve">for this </w:t>
      </w:r>
      <w:r w:rsidR="00790915">
        <w:t>review</w:t>
      </w:r>
      <w:bookmarkEnd w:id="53"/>
    </w:p>
    <w:p w14:paraId="28220F75" w14:textId="2FEA1BA0" w:rsidR="00197CA3" w:rsidRDefault="008F3B36" w:rsidP="002E0005">
      <w:pPr>
        <w:pStyle w:val="Paragraph"/>
      </w:pPr>
      <w:r>
        <w:t>As part of the</w:t>
      </w:r>
      <w:r w:rsidR="00614FDF">
        <w:t xml:space="preserve"> Health Technology Assessment Innovation Laboratory (</w:t>
      </w:r>
      <w:r>
        <w:t>HTA Lab</w:t>
      </w:r>
      <w:r w:rsidR="00614FDF">
        <w:t>)</w:t>
      </w:r>
      <w:r>
        <w:t xml:space="preserve"> project on implementation costs, we </w:t>
      </w:r>
      <w:r w:rsidR="002B37FF">
        <w:t xml:space="preserve">did </w:t>
      </w:r>
      <w:r>
        <w:t>a targeted review of past NICE technology appraisals and highly specialised technology appraisals</w:t>
      </w:r>
      <w:r w:rsidR="00FC0A82">
        <w:t xml:space="preserve"> guidance</w:t>
      </w:r>
      <w:r>
        <w:t>. Th</w:t>
      </w:r>
      <w:r w:rsidR="0049373E">
        <w:t xml:space="preserve">is review </w:t>
      </w:r>
      <w:r w:rsidR="007C768C">
        <w:t>looked at</w:t>
      </w:r>
      <w:r w:rsidR="00330CBB">
        <w:t xml:space="preserve"> how infrastructure and service redesign costs have been </w:t>
      </w:r>
      <w:r w:rsidR="00B8314D">
        <w:t xml:space="preserve">considered in past </w:t>
      </w:r>
      <w:r w:rsidR="008C32D0">
        <w:t>NICE evaluations</w:t>
      </w:r>
      <w:r w:rsidR="00443FFA">
        <w:t>.</w:t>
      </w:r>
    </w:p>
    <w:bookmarkStart w:id="54" w:name="_Toc221098025"/>
    <w:p w14:paraId="127EA055" w14:textId="45358DBA" w:rsidR="002B66B6" w:rsidRPr="00F93F21" w:rsidRDefault="00000000" w:rsidP="006A50E3">
      <w:pPr>
        <w:pStyle w:val="Numberedheading1"/>
        <w:ind w:left="720" w:hanging="720"/>
      </w:pPr>
      <w:sdt>
        <w:sdtPr>
          <w:id w:val="1371190021"/>
          <w:placeholder>
            <w:docPart w:val="FB7A5EF0EE184221BB11A440B2A509AE"/>
          </w:placeholder>
          <w:text/>
        </w:sdtPr>
        <w:sdtContent>
          <w:r w:rsidR="2BC96EC6">
            <w:t>Methods</w:t>
          </w:r>
        </w:sdtContent>
      </w:sdt>
      <w:bookmarkEnd w:id="54"/>
    </w:p>
    <w:p w14:paraId="012EB615" w14:textId="2F13FAEE" w:rsidR="00B70CA8" w:rsidRDefault="00745ABE" w:rsidP="004C70F4">
      <w:pPr>
        <w:pStyle w:val="Paragraph"/>
      </w:pPr>
      <w:r>
        <w:t xml:space="preserve">We </w:t>
      </w:r>
      <w:r w:rsidR="0047687C">
        <w:t xml:space="preserve">did </w:t>
      </w:r>
      <w:r>
        <w:t xml:space="preserve">a </w:t>
      </w:r>
      <w:r w:rsidR="00FB73B7">
        <w:t>targeted</w:t>
      </w:r>
      <w:r>
        <w:t xml:space="preserve"> search to identify </w:t>
      </w:r>
      <w:r w:rsidR="001913B0">
        <w:t>t</w:t>
      </w:r>
      <w:r w:rsidR="00E75344">
        <w:t xml:space="preserve">echnology appraisals </w:t>
      </w:r>
      <w:r>
        <w:t xml:space="preserve">and </w:t>
      </w:r>
      <w:r w:rsidR="001913B0">
        <w:t>highly specialised technologies</w:t>
      </w:r>
      <w:r>
        <w:t xml:space="preserve"> </w:t>
      </w:r>
      <w:r w:rsidR="0047687C">
        <w:t xml:space="preserve">guidance </w:t>
      </w:r>
      <w:r w:rsidR="00A62338">
        <w:t>that</w:t>
      </w:r>
      <w:r>
        <w:t xml:space="preserve"> </w:t>
      </w:r>
      <w:r w:rsidR="00A62338">
        <w:t xml:space="preserve">included discussion on </w:t>
      </w:r>
      <w:r>
        <w:t>implementation costs</w:t>
      </w:r>
      <w:r w:rsidR="00C63380">
        <w:t xml:space="preserve">. </w:t>
      </w:r>
      <w:r w:rsidR="00E8134D">
        <w:t>To identify the</w:t>
      </w:r>
      <w:r w:rsidR="006C1567">
        <w:t xml:space="preserve"> guidance</w:t>
      </w:r>
      <w:r w:rsidR="00E8134D">
        <w:t>,</w:t>
      </w:r>
      <w:r>
        <w:t xml:space="preserve"> </w:t>
      </w:r>
      <w:r w:rsidR="00E8134D">
        <w:t xml:space="preserve">we </w:t>
      </w:r>
      <w:r w:rsidR="00D236A0">
        <w:t>searched</w:t>
      </w:r>
      <w:r>
        <w:t xml:space="preserve"> on the NICE website using terms </w:t>
      </w:r>
      <w:r w:rsidR="008075E1">
        <w:t xml:space="preserve">related to </w:t>
      </w:r>
      <w:r>
        <w:t xml:space="preserve">infrastructure and service </w:t>
      </w:r>
      <w:r w:rsidR="008C3E2E">
        <w:t>redesign and</w:t>
      </w:r>
      <w:r>
        <w:t xml:space="preserve"> </w:t>
      </w:r>
      <w:r w:rsidR="00D236A0">
        <w:t xml:space="preserve">applied </w:t>
      </w:r>
      <w:r>
        <w:t xml:space="preserve">the </w:t>
      </w:r>
      <w:r w:rsidR="00D236A0">
        <w:t>‘t</w:t>
      </w:r>
      <w:r>
        <w:t>echnology appraisal guidance</w:t>
      </w:r>
      <w:r w:rsidR="00D236A0">
        <w:t>’</w:t>
      </w:r>
      <w:r>
        <w:t xml:space="preserve"> </w:t>
      </w:r>
      <w:r w:rsidR="00CC4A1B">
        <w:t>filter</w:t>
      </w:r>
      <w:r w:rsidR="00C63380">
        <w:t xml:space="preserve">. </w:t>
      </w:r>
      <w:r w:rsidR="00D3774F">
        <w:t>Also</w:t>
      </w:r>
      <w:r w:rsidR="00FD7759">
        <w:t>,</w:t>
      </w:r>
      <w:r w:rsidR="00EE1B3C">
        <w:t xml:space="preserve"> we </w:t>
      </w:r>
      <w:r w:rsidR="00D236A0">
        <w:t xml:space="preserve">asked </w:t>
      </w:r>
      <w:r w:rsidR="00E52E4D">
        <w:t>m</w:t>
      </w:r>
      <w:r w:rsidR="004C70F4" w:rsidRPr="004C70F4">
        <w:t xml:space="preserve">edicines </w:t>
      </w:r>
      <w:r w:rsidR="00E52E4D">
        <w:t>e</w:t>
      </w:r>
      <w:r w:rsidR="004C70F4" w:rsidRPr="004C70F4">
        <w:t xml:space="preserve">valuation and </w:t>
      </w:r>
      <w:r w:rsidR="00E52E4D">
        <w:t>h</w:t>
      </w:r>
      <w:r w:rsidR="004C70F4" w:rsidRPr="004C70F4">
        <w:t xml:space="preserve">ighly </w:t>
      </w:r>
      <w:r w:rsidR="00E52E4D">
        <w:t>s</w:t>
      </w:r>
      <w:r w:rsidR="004C70F4" w:rsidRPr="004C70F4">
        <w:t xml:space="preserve">pecialised </w:t>
      </w:r>
      <w:r w:rsidR="00E52E4D">
        <w:t>t</w:t>
      </w:r>
      <w:r w:rsidR="004C70F4" w:rsidRPr="004C70F4">
        <w:t>echnologies teams</w:t>
      </w:r>
      <w:r w:rsidR="004C70F4">
        <w:t xml:space="preserve"> </w:t>
      </w:r>
      <w:r w:rsidR="00A83AFA">
        <w:t xml:space="preserve">to </w:t>
      </w:r>
      <w:r w:rsidR="00D017C6">
        <w:t xml:space="preserve">share a list of </w:t>
      </w:r>
      <w:r w:rsidR="00BB034B">
        <w:t xml:space="preserve">guidance </w:t>
      </w:r>
      <w:r w:rsidR="00B56099">
        <w:t xml:space="preserve">in which implementation </w:t>
      </w:r>
      <w:r w:rsidR="00BF3E96">
        <w:t>had been discussed.</w:t>
      </w:r>
    </w:p>
    <w:p w14:paraId="1558B27D" w14:textId="65FE44F5" w:rsidR="00F14A4E" w:rsidRDefault="00745ABE" w:rsidP="002E0005">
      <w:pPr>
        <w:pStyle w:val="Paragraph"/>
      </w:pPr>
      <w:r>
        <w:t xml:space="preserve">The goal was not to </w:t>
      </w:r>
      <w:r w:rsidR="006C7519">
        <w:t xml:space="preserve">do </w:t>
      </w:r>
      <w:r>
        <w:t xml:space="preserve">a systematic search, but to identify a </w:t>
      </w:r>
      <w:r w:rsidR="00B56099">
        <w:t>sub</w:t>
      </w:r>
      <w:r>
        <w:t xml:space="preserve">set of </w:t>
      </w:r>
      <w:r w:rsidR="00BB034B">
        <w:t>guidance</w:t>
      </w:r>
      <w:r w:rsidR="006C7519">
        <w:t>.</w:t>
      </w:r>
      <w:r>
        <w:t xml:space="preserve"> </w:t>
      </w:r>
      <w:r w:rsidR="00A62338">
        <w:t>This would</w:t>
      </w:r>
      <w:r>
        <w:t xml:space="preserve"> </w:t>
      </w:r>
      <w:r w:rsidR="00B56099">
        <w:t>enable us to</w:t>
      </w:r>
      <w:r>
        <w:t xml:space="preserve"> qualitatively explore how implementation costs have been incorporated </w:t>
      </w:r>
      <w:r w:rsidR="00441221">
        <w:t xml:space="preserve">in previous NICE </w:t>
      </w:r>
      <w:r w:rsidR="00BB034B">
        <w:t>guidance</w:t>
      </w:r>
      <w:r w:rsidR="00C63380">
        <w:t>.</w:t>
      </w:r>
    </w:p>
    <w:p w14:paraId="76EBA9F2" w14:textId="63CBD224" w:rsidR="00373E7F" w:rsidRPr="00F93F21" w:rsidRDefault="003A0151" w:rsidP="006A50E3">
      <w:pPr>
        <w:pStyle w:val="Numberedheading1"/>
        <w:ind w:left="720" w:hanging="720"/>
      </w:pPr>
      <w:bookmarkStart w:id="55" w:name="_Toc221098026"/>
      <w:r>
        <w:t>I</w:t>
      </w:r>
      <w:r w:rsidR="00F33D10">
        <w:t xml:space="preserve">ncluded </w:t>
      </w:r>
      <w:r w:rsidR="00614FDF">
        <w:t>HTA</w:t>
      </w:r>
      <w:r w:rsidR="00F33D10">
        <w:t xml:space="preserve"> reports</w:t>
      </w:r>
      <w:bookmarkEnd w:id="55"/>
    </w:p>
    <w:p w14:paraId="1715071C" w14:textId="7A948E9F" w:rsidR="00141DCB" w:rsidRDefault="00D04971" w:rsidP="003F6CEC">
      <w:pPr>
        <w:pStyle w:val="Paragraph"/>
      </w:pPr>
      <w:r w:rsidRPr="00D04971">
        <w:t>We reviewed 1</w:t>
      </w:r>
      <w:r w:rsidR="006017A3">
        <w:t>2</w:t>
      </w:r>
      <w:r w:rsidRPr="00D04971">
        <w:t xml:space="preserve"> HTA reports. Of these</w:t>
      </w:r>
      <w:r w:rsidR="00213544">
        <w:t>,</w:t>
      </w:r>
      <w:r w:rsidRPr="00D04971">
        <w:t xml:space="preserve"> 1</w:t>
      </w:r>
      <w:r w:rsidR="006017A3">
        <w:t>1</w:t>
      </w:r>
      <w:r w:rsidRPr="00D04971">
        <w:t xml:space="preserve"> were </w:t>
      </w:r>
      <w:r w:rsidR="00BB034B">
        <w:t>technology appraisal</w:t>
      </w:r>
      <w:r w:rsidRPr="00D04971">
        <w:t>s</w:t>
      </w:r>
      <w:r w:rsidR="000C2D6D">
        <w:t xml:space="preserve"> guidance</w:t>
      </w:r>
      <w:r w:rsidRPr="00D04971">
        <w:t xml:space="preserve"> and 1 was a</w:t>
      </w:r>
      <w:r w:rsidR="000C2D6D">
        <w:t xml:space="preserve"> highly specialised technology guidance</w:t>
      </w:r>
      <w:r w:rsidRPr="00D04971">
        <w:t>.</w:t>
      </w:r>
      <w:r w:rsidR="000C2D6D">
        <w:t xml:space="preserve"> </w:t>
      </w:r>
      <w:r w:rsidR="00A56687">
        <w:t xml:space="preserve">The </w:t>
      </w:r>
      <w:r w:rsidR="00141DCB">
        <w:t>topics spanned</w:t>
      </w:r>
      <w:r w:rsidR="00724DFC">
        <w:t xml:space="preserve"> a diverse range of clinical areas</w:t>
      </w:r>
      <w:r w:rsidR="00141DCB">
        <w:t>:</w:t>
      </w:r>
    </w:p>
    <w:p w14:paraId="5B60F90F" w14:textId="77777777" w:rsidR="00141DCB" w:rsidRDefault="00724DFC" w:rsidP="00852B7B">
      <w:pPr>
        <w:pStyle w:val="Bulletleft1"/>
      </w:pPr>
      <w:r>
        <w:t>cancer (n=</w:t>
      </w:r>
      <w:r w:rsidR="006017A3">
        <w:t>5</w:t>
      </w:r>
      <w:r>
        <w:t>)</w:t>
      </w:r>
    </w:p>
    <w:p w14:paraId="0A1E67C7" w14:textId="30D2E7DA" w:rsidR="00141DCB" w:rsidRDefault="00724DFC" w:rsidP="00852B7B">
      <w:pPr>
        <w:pStyle w:val="Bulletleft1"/>
      </w:pPr>
      <w:r>
        <w:t>p</w:t>
      </w:r>
      <w:r w:rsidRPr="00724DFC">
        <w:t>eanut allergy</w:t>
      </w:r>
      <w:r>
        <w:t xml:space="preserve"> (n=1)</w:t>
      </w:r>
    </w:p>
    <w:p w14:paraId="2131B0B7" w14:textId="631155DE" w:rsidR="00141DCB" w:rsidRDefault="00724DFC" w:rsidP="00852B7B">
      <w:pPr>
        <w:pStyle w:val="Bulletleft1"/>
      </w:pPr>
      <w:r>
        <w:t>d</w:t>
      </w:r>
      <w:r w:rsidRPr="00724DFC">
        <w:t>epression</w:t>
      </w:r>
      <w:r>
        <w:t xml:space="preserve"> (n=1)</w:t>
      </w:r>
    </w:p>
    <w:p w14:paraId="1B5A6D98" w14:textId="4B13247E" w:rsidR="00141DCB" w:rsidRDefault="00B93EF7" w:rsidP="00852B7B">
      <w:pPr>
        <w:pStyle w:val="Bulletleft1"/>
      </w:pPr>
      <w:r>
        <w:t>COVID</w:t>
      </w:r>
      <w:r w:rsidR="00724DFC">
        <w:t>-19 (n=1</w:t>
      </w:r>
      <w:r w:rsidR="00141DCB">
        <w:t>)</w:t>
      </w:r>
    </w:p>
    <w:p w14:paraId="31FC66A6" w14:textId="071E3E17" w:rsidR="00141DCB" w:rsidRDefault="00724DFC" w:rsidP="00852B7B">
      <w:pPr>
        <w:pStyle w:val="Bulletleft1"/>
      </w:pPr>
      <w:r>
        <w:t>o</w:t>
      </w:r>
      <w:r w:rsidRPr="00724DFC">
        <w:t>verweight</w:t>
      </w:r>
      <w:r w:rsidR="00141DCB">
        <w:t xml:space="preserve"> and </w:t>
      </w:r>
      <w:r w:rsidRPr="00724DFC">
        <w:t xml:space="preserve">obesity </w:t>
      </w:r>
      <w:r>
        <w:t>(n=2)</w:t>
      </w:r>
    </w:p>
    <w:p w14:paraId="0ACAD076" w14:textId="626AD938" w:rsidR="00141DCB" w:rsidRDefault="00724DFC" w:rsidP="00852B7B">
      <w:pPr>
        <w:pStyle w:val="Bulletleft1last"/>
      </w:pPr>
      <w:r>
        <w:t>Alzheimer’s disease (n=2).</w:t>
      </w:r>
    </w:p>
    <w:p w14:paraId="1B76C6CB" w14:textId="0B6FF6AC" w:rsidR="00CE10B2" w:rsidRPr="00D04971" w:rsidRDefault="00CE10B2" w:rsidP="000823AE">
      <w:pPr>
        <w:pStyle w:val="Paragraph"/>
      </w:pPr>
      <w:r>
        <w:t>The complete list of</w:t>
      </w:r>
      <w:r w:rsidR="000823AE" w:rsidRPr="000823AE">
        <w:t xml:space="preserve"> </w:t>
      </w:r>
      <w:r w:rsidR="00E42A94">
        <w:t xml:space="preserve">reviewed </w:t>
      </w:r>
      <w:r w:rsidR="000823AE" w:rsidRPr="000823AE">
        <w:t>technology appraisals and highly specialised technology guidance</w:t>
      </w:r>
      <w:r w:rsidR="000823AE">
        <w:t xml:space="preserve"> </w:t>
      </w:r>
      <w:r>
        <w:t xml:space="preserve">is included in </w:t>
      </w:r>
      <w:r w:rsidR="00141DCB">
        <w:t>t</w:t>
      </w:r>
      <w:r>
        <w:t>able 1.</w:t>
      </w:r>
      <w:r w:rsidR="000823AE">
        <w:t xml:space="preserve"> </w:t>
      </w:r>
      <w:r w:rsidRPr="007B4AD8">
        <w:t xml:space="preserve">Table 1 </w:t>
      </w:r>
      <w:r w:rsidR="007B4AD8" w:rsidRPr="007B4AD8">
        <w:t>List of reviewed</w:t>
      </w:r>
      <w:r w:rsidR="008C3E2E">
        <w:t xml:space="preserve"> technology appraisals and highly specialised </w:t>
      </w:r>
      <w:r w:rsidR="000823AE">
        <w:t xml:space="preserve">technology </w:t>
      </w:r>
      <w:r w:rsidR="00D82F9F">
        <w:t>guidance</w:t>
      </w:r>
    </w:p>
    <w:tbl>
      <w:tblPr>
        <w:tblStyle w:val="TableGrid"/>
        <w:tblW w:w="8647" w:type="dxa"/>
        <w:tblLook w:val="04A0" w:firstRow="1" w:lastRow="0" w:firstColumn="1" w:lastColumn="0" w:noHBand="0" w:noVBand="1"/>
        <w:tblCaption w:val="Table 1 List of reviewed HTA guidance"/>
        <w:tblDescription w:val="Table showing guidance number and title"/>
      </w:tblPr>
      <w:tblGrid>
        <w:gridCol w:w="2155"/>
        <w:gridCol w:w="6492"/>
      </w:tblGrid>
      <w:tr w:rsidR="007B4AD8" w:rsidRPr="002E0005" w14:paraId="64E5F792" w14:textId="77777777" w:rsidTr="00C63380">
        <w:trPr>
          <w:trHeight w:val="300"/>
        </w:trPr>
        <w:tc>
          <w:tcPr>
            <w:tcW w:w="2155" w:type="dxa"/>
            <w:hideMark/>
          </w:tcPr>
          <w:p w14:paraId="61E919C0" w14:textId="4885F9F0" w:rsidR="007B4AD8" w:rsidRPr="002E0005" w:rsidRDefault="00D82F9F" w:rsidP="00852B7B">
            <w:pPr>
              <w:pStyle w:val="Tableheading"/>
            </w:pPr>
            <w:r>
              <w:t>Guidance</w:t>
            </w:r>
            <w:r w:rsidRPr="002E0005">
              <w:t xml:space="preserve"> </w:t>
            </w:r>
            <w:r w:rsidR="007B4AD8" w:rsidRPr="002E0005">
              <w:t>number </w:t>
            </w:r>
          </w:p>
        </w:tc>
        <w:tc>
          <w:tcPr>
            <w:tcW w:w="6492" w:type="dxa"/>
            <w:hideMark/>
          </w:tcPr>
          <w:p w14:paraId="468DD1F6" w14:textId="77777777" w:rsidR="007B4AD8" w:rsidRPr="002E0005" w:rsidRDefault="007B4AD8" w:rsidP="00852B7B">
            <w:pPr>
              <w:pStyle w:val="Tableheading"/>
            </w:pPr>
            <w:r w:rsidRPr="002E0005">
              <w:t>Title </w:t>
            </w:r>
          </w:p>
        </w:tc>
      </w:tr>
      <w:tr w:rsidR="007B4AD8" w:rsidRPr="002E0005" w14:paraId="3D47A023" w14:textId="77777777" w:rsidTr="00C63380">
        <w:trPr>
          <w:trHeight w:val="300"/>
        </w:trPr>
        <w:tc>
          <w:tcPr>
            <w:tcW w:w="2155" w:type="dxa"/>
            <w:hideMark/>
          </w:tcPr>
          <w:p w14:paraId="65578A08" w14:textId="102FF1CB" w:rsidR="007B4AD8" w:rsidRPr="002E0005" w:rsidRDefault="007B4AD8" w:rsidP="00852B7B">
            <w:pPr>
              <w:pStyle w:val="Tabletext"/>
            </w:pPr>
            <w:r w:rsidRPr="002E0005">
              <w:t>TA501 </w:t>
            </w:r>
          </w:p>
        </w:tc>
        <w:tc>
          <w:tcPr>
            <w:tcW w:w="6492" w:type="dxa"/>
            <w:hideMark/>
          </w:tcPr>
          <w:p w14:paraId="6A57479F" w14:textId="1AD695A6" w:rsidR="007B4AD8" w:rsidRPr="002E0005" w:rsidRDefault="007B4AD8" w:rsidP="00852B7B">
            <w:pPr>
              <w:pStyle w:val="Tabletext"/>
            </w:pPr>
            <w:hyperlink r:id="rId12" w:tgtFrame="_blank" w:history="1">
              <w:r w:rsidRPr="002E0005">
                <w:rPr>
                  <w:rStyle w:val="Hyperlink"/>
                  <w:sz w:val="20"/>
                  <w:szCs w:val="20"/>
                </w:rPr>
                <w:t>Intrabeam</w:t>
              </w:r>
              <w:r w:rsidR="002309CA">
                <w:rPr>
                  <w:rStyle w:val="Hyperlink"/>
                  <w:sz w:val="20"/>
                  <w:szCs w:val="20"/>
                </w:rPr>
                <w:t xml:space="preserve"> </w:t>
              </w:r>
              <w:r w:rsidRPr="002E0005">
                <w:rPr>
                  <w:rStyle w:val="Hyperlink"/>
                  <w:sz w:val="20"/>
                  <w:szCs w:val="20"/>
                </w:rPr>
                <w:t>radiotherapy system for adjuvant treatment of early breast cancer</w:t>
              </w:r>
            </w:hyperlink>
          </w:p>
        </w:tc>
      </w:tr>
      <w:tr w:rsidR="007B4AD8" w:rsidRPr="002E0005" w14:paraId="5C7D67EE" w14:textId="77777777" w:rsidTr="00C63380">
        <w:trPr>
          <w:trHeight w:val="300"/>
        </w:trPr>
        <w:tc>
          <w:tcPr>
            <w:tcW w:w="2155" w:type="dxa"/>
            <w:hideMark/>
          </w:tcPr>
          <w:p w14:paraId="7FD744C3" w14:textId="07C8A572" w:rsidR="007B4AD8" w:rsidRPr="002E0005" w:rsidRDefault="007B4AD8" w:rsidP="00852B7B">
            <w:pPr>
              <w:pStyle w:val="Tabletext"/>
            </w:pPr>
            <w:r w:rsidRPr="002E0005">
              <w:t xml:space="preserve">TA688 </w:t>
            </w:r>
          </w:p>
        </w:tc>
        <w:tc>
          <w:tcPr>
            <w:tcW w:w="6492" w:type="dxa"/>
            <w:hideMark/>
          </w:tcPr>
          <w:p w14:paraId="0075FC2F" w14:textId="32864174" w:rsidR="007B4AD8" w:rsidRPr="002E0005" w:rsidRDefault="007B4AD8" w:rsidP="00852B7B">
            <w:pPr>
              <w:pStyle w:val="Tabletext"/>
            </w:pPr>
            <w:hyperlink r:id="rId13" w:tgtFrame="_blank" w:history="1">
              <w:r w:rsidRPr="002E0005">
                <w:rPr>
                  <w:rStyle w:val="Hyperlink"/>
                  <w:sz w:val="20"/>
                  <w:szCs w:val="20"/>
                </w:rPr>
                <w:t>Selective internal radiation therapies for treating</w:t>
              </w:r>
              <w:r w:rsidR="002309CA">
                <w:rPr>
                  <w:rStyle w:val="Hyperlink"/>
                  <w:sz w:val="20"/>
                  <w:szCs w:val="20"/>
                </w:rPr>
                <w:t xml:space="preserve"> </w:t>
              </w:r>
              <w:r w:rsidRPr="002E0005">
                <w:rPr>
                  <w:rStyle w:val="Hyperlink"/>
                  <w:sz w:val="20"/>
                  <w:szCs w:val="20"/>
                </w:rPr>
                <w:t>hepatocellular carcinoma</w:t>
              </w:r>
            </w:hyperlink>
          </w:p>
        </w:tc>
      </w:tr>
      <w:tr w:rsidR="007B4AD8" w:rsidRPr="002E0005" w14:paraId="4A505659" w14:textId="77777777" w:rsidTr="00C63380">
        <w:trPr>
          <w:trHeight w:val="300"/>
        </w:trPr>
        <w:tc>
          <w:tcPr>
            <w:tcW w:w="2155" w:type="dxa"/>
          </w:tcPr>
          <w:p w14:paraId="40CDBADB" w14:textId="377FCBA6" w:rsidR="007B4AD8" w:rsidRPr="002E0005" w:rsidRDefault="007B4AD8" w:rsidP="00852B7B">
            <w:pPr>
              <w:pStyle w:val="Tabletext"/>
            </w:pPr>
            <w:r w:rsidRPr="002E0005">
              <w:t>TA769 </w:t>
            </w:r>
          </w:p>
        </w:tc>
        <w:tc>
          <w:tcPr>
            <w:tcW w:w="6492" w:type="dxa"/>
          </w:tcPr>
          <w:p w14:paraId="2F86329C" w14:textId="4A07100A" w:rsidR="007B4AD8" w:rsidRPr="002E0005" w:rsidRDefault="007B4AD8" w:rsidP="00852B7B">
            <w:pPr>
              <w:pStyle w:val="Tabletext"/>
            </w:pPr>
            <w:hyperlink r:id="rId14" w:tgtFrame="_blank" w:history="1">
              <w:r w:rsidRPr="002E0005">
                <w:rPr>
                  <w:rStyle w:val="Hyperlink"/>
                  <w:sz w:val="20"/>
                  <w:szCs w:val="20"/>
                </w:rPr>
                <w:t>Palforzia</w:t>
              </w:r>
              <w:r w:rsidR="002309CA">
                <w:rPr>
                  <w:rStyle w:val="Hyperlink"/>
                  <w:sz w:val="20"/>
                  <w:szCs w:val="20"/>
                </w:rPr>
                <w:t xml:space="preserve"> </w:t>
              </w:r>
              <w:r w:rsidRPr="002E0005">
                <w:rPr>
                  <w:rStyle w:val="Hyperlink"/>
                  <w:sz w:val="20"/>
                  <w:szCs w:val="20"/>
                </w:rPr>
                <w:t>for treating peanut allergy in children and young people</w:t>
              </w:r>
            </w:hyperlink>
          </w:p>
        </w:tc>
      </w:tr>
      <w:tr w:rsidR="007B4AD8" w:rsidRPr="002E0005" w14:paraId="164B7714" w14:textId="77777777" w:rsidTr="00C63380">
        <w:trPr>
          <w:trHeight w:val="300"/>
        </w:trPr>
        <w:tc>
          <w:tcPr>
            <w:tcW w:w="2155" w:type="dxa"/>
            <w:hideMark/>
          </w:tcPr>
          <w:p w14:paraId="5208EF73" w14:textId="48973016" w:rsidR="007B4AD8" w:rsidRPr="002E0005" w:rsidRDefault="007B4AD8" w:rsidP="00852B7B">
            <w:pPr>
              <w:pStyle w:val="Tabletext"/>
            </w:pPr>
            <w:r w:rsidRPr="002E0005">
              <w:t>TA854 </w:t>
            </w:r>
          </w:p>
        </w:tc>
        <w:tc>
          <w:tcPr>
            <w:tcW w:w="6492" w:type="dxa"/>
            <w:hideMark/>
          </w:tcPr>
          <w:p w14:paraId="3BD6EE63" w14:textId="17054787" w:rsidR="007B4AD8" w:rsidRPr="002E0005" w:rsidRDefault="007B4AD8" w:rsidP="00852B7B">
            <w:pPr>
              <w:pStyle w:val="Tabletext"/>
              <w:rPr>
                <w:sz w:val="20"/>
                <w:szCs w:val="20"/>
              </w:rPr>
            </w:pPr>
            <w:hyperlink r:id="rId15" w:tgtFrame="_blank" w:history="1">
              <w:r w:rsidRPr="002E0005">
                <w:rPr>
                  <w:rStyle w:val="Hyperlink"/>
                  <w:sz w:val="20"/>
                  <w:szCs w:val="20"/>
                </w:rPr>
                <w:t>Esketamine</w:t>
              </w:r>
              <w:r w:rsidR="002309CA">
                <w:rPr>
                  <w:rStyle w:val="Hyperlink"/>
                  <w:sz w:val="20"/>
                  <w:szCs w:val="20"/>
                </w:rPr>
                <w:t xml:space="preserve"> </w:t>
              </w:r>
              <w:r w:rsidRPr="002E0005">
                <w:rPr>
                  <w:rStyle w:val="Hyperlink"/>
                  <w:sz w:val="20"/>
                  <w:szCs w:val="20"/>
                </w:rPr>
                <w:t>nasal spray for treatment-resistant depression</w:t>
              </w:r>
            </w:hyperlink>
          </w:p>
        </w:tc>
      </w:tr>
      <w:tr w:rsidR="007B4AD8" w:rsidRPr="002E0005" w14:paraId="4AC501C4" w14:textId="77777777" w:rsidTr="00C63380">
        <w:trPr>
          <w:trHeight w:val="300"/>
        </w:trPr>
        <w:tc>
          <w:tcPr>
            <w:tcW w:w="2155" w:type="dxa"/>
          </w:tcPr>
          <w:p w14:paraId="6823EB91" w14:textId="1B2DDFA2" w:rsidR="007B4AD8" w:rsidRPr="002E0005" w:rsidRDefault="007B4AD8" w:rsidP="00852B7B">
            <w:pPr>
              <w:pStyle w:val="Tabletext"/>
            </w:pPr>
            <w:r w:rsidRPr="002E0005">
              <w:t>TA872 </w:t>
            </w:r>
          </w:p>
        </w:tc>
        <w:tc>
          <w:tcPr>
            <w:tcW w:w="6492" w:type="dxa"/>
          </w:tcPr>
          <w:p w14:paraId="45110772" w14:textId="418B8B36" w:rsidR="007B4AD8" w:rsidRPr="002E0005" w:rsidRDefault="007B4AD8" w:rsidP="00852B7B">
            <w:pPr>
              <w:pStyle w:val="Tabletext"/>
            </w:pPr>
            <w:hyperlink r:id="rId16" w:tgtFrame="_blank" w:history="1">
              <w:r w:rsidRPr="002E0005">
                <w:rPr>
                  <w:rStyle w:val="Hyperlink"/>
                  <w:sz w:val="20"/>
                  <w:szCs w:val="20"/>
                </w:rPr>
                <w:t>Axicabtagene ciloleucel for treating diffuse large B-cell lymphoma and primary mediastinal large B-cell lymphoma after 2 or more systemic therapies</w:t>
              </w:r>
            </w:hyperlink>
          </w:p>
        </w:tc>
      </w:tr>
      <w:tr w:rsidR="001B173E" w:rsidRPr="002E0005" w14:paraId="5EFE8E0F" w14:textId="77777777" w:rsidTr="00C63380">
        <w:trPr>
          <w:trHeight w:val="300"/>
        </w:trPr>
        <w:tc>
          <w:tcPr>
            <w:tcW w:w="2155" w:type="dxa"/>
          </w:tcPr>
          <w:p w14:paraId="140C2242" w14:textId="49E902DF" w:rsidR="001B173E" w:rsidRPr="002E0005" w:rsidRDefault="001B173E" w:rsidP="00852B7B">
            <w:pPr>
              <w:pStyle w:val="Tabletext"/>
            </w:pPr>
            <w:r w:rsidRPr="002E0005">
              <w:t xml:space="preserve">TA878 </w:t>
            </w:r>
          </w:p>
        </w:tc>
        <w:tc>
          <w:tcPr>
            <w:tcW w:w="6492" w:type="dxa"/>
          </w:tcPr>
          <w:p w14:paraId="308AFC51" w14:textId="5E2B03C3" w:rsidR="001B173E" w:rsidRPr="002E0005" w:rsidRDefault="001B173E" w:rsidP="00852B7B">
            <w:pPr>
              <w:pStyle w:val="Tabletext"/>
            </w:pPr>
            <w:hyperlink r:id="rId17" w:history="1">
              <w:r w:rsidRPr="002E0005">
                <w:rPr>
                  <w:rStyle w:val="Hyperlink"/>
                  <w:sz w:val="20"/>
                  <w:szCs w:val="20"/>
                </w:rPr>
                <w:t>Nirmatrelvir plus ritonavir, sotrovimab and tocilizumab for treating COVID-19</w:t>
              </w:r>
            </w:hyperlink>
          </w:p>
        </w:tc>
      </w:tr>
      <w:tr w:rsidR="007B4AD8" w:rsidRPr="002E0005" w14:paraId="4C4910B3" w14:textId="77777777" w:rsidTr="00C63380">
        <w:trPr>
          <w:trHeight w:val="300"/>
        </w:trPr>
        <w:tc>
          <w:tcPr>
            <w:tcW w:w="2155" w:type="dxa"/>
          </w:tcPr>
          <w:p w14:paraId="02E19B11" w14:textId="0B20079F" w:rsidR="007B4AD8" w:rsidRPr="002E0005" w:rsidRDefault="007B4AD8" w:rsidP="00852B7B">
            <w:pPr>
              <w:pStyle w:val="Tabletext"/>
            </w:pPr>
            <w:r w:rsidRPr="002E0005">
              <w:t>TA894 </w:t>
            </w:r>
          </w:p>
        </w:tc>
        <w:tc>
          <w:tcPr>
            <w:tcW w:w="6492" w:type="dxa"/>
          </w:tcPr>
          <w:p w14:paraId="24068D01" w14:textId="1DC22BBC" w:rsidR="007B4AD8" w:rsidRPr="002E0005" w:rsidRDefault="007B4AD8" w:rsidP="00852B7B">
            <w:pPr>
              <w:pStyle w:val="Tabletext"/>
            </w:pPr>
            <w:hyperlink r:id="rId18" w:tgtFrame="_blank" w:history="1">
              <w:r w:rsidRPr="002E0005">
                <w:rPr>
                  <w:rStyle w:val="Hyperlink"/>
                  <w:sz w:val="20"/>
                  <w:szCs w:val="20"/>
                </w:rPr>
                <w:t>Axicabtagene ciloleucel for treating relapsed or</w:t>
              </w:r>
              <w:r w:rsidR="002309CA">
                <w:rPr>
                  <w:rStyle w:val="Hyperlink"/>
                  <w:sz w:val="20"/>
                  <w:szCs w:val="20"/>
                </w:rPr>
                <w:t xml:space="preserve"> </w:t>
              </w:r>
              <w:r w:rsidRPr="002E0005">
                <w:rPr>
                  <w:rStyle w:val="Hyperlink"/>
                  <w:sz w:val="20"/>
                  <w:szCs w:val="20"/>
                </w:rPr>
                <w:t>refractory follicular lymphoma</w:t>
              </w:r>
            </w:hyperlink>
          </w:p>
        </w:tc>
      </w:tr>
      <w:tr w:rsidR="007B4AD8" w:rsidRPr="002E0005" w14:paraId="49E24035" w14:textId="77777777" w:rsidTr="00C63380">
        <w:trPr>
          <w:trHeight w:val="300"/>
        </w:trPr>
        <w:tc>
          <w:tcPr>
            <w:tcW w:w="2155" w:type="dxa"/>
          </w:tcPr>
          <w:p w14:paraId="2A12705B" w14:textId="66D113BC" w:rsidR="007B4AD8" w:rsidRPr="002E0005" w:rsidRDefault="007B4AD8" w:rsidP="00852B7B">
            <w:pPr>
              <w:pStyle w:val="Tabletext"/>
            </w:pPr>
            <w:r w:rsidRPr="002E0005">
              <w:t>TA1026 </w:t>
            </w:r>
          </w:p>
        </w:tc>
        <w:tc>
          <w:tcPr>
            <w:tcW w:w="6492" w:type="dxa"/>
          </w:tcPr>
          <w:p w14:paraId="206D17EC" w14:textId="38E16FB1" w:rsidR="007B4AD8" w:rsidRPr="002E0005" w:rsidRDefault="007B4AD8" w:rsidP="00852B7B">
            <w:pPr>
              <w:pStyle w:val="Tabletext"/>
              <w:rPr>
                <w:sz w:val="20"/>
                <w:szCs w:val="20"/>
              </w:rPr>
            </w:pPr>
            <w:hyperlink r:id="rId19" w:tgtFrame="_blank" w:history="1">
              <w:r w:rsidRPr="002E0005">
                <w:rPr>
                  <w:rStyle w:val="Hyperlink"/>
                  <w:sz w:val="20"/>
                  <w:szCs w:val="20"/>
                </w:rPr>
                <w:t>Tirzepatide</w:t>
              </w:r>
              <w:r w:rsidR="00402227">
                <w:rPr>
                  <w:rStyle w:val="Hyperlink"/>
                  <w:sz w:val="20"/>
                  <w:szCs w:val="20"/>
                </w:rPr>
                <w:t xml:space="preserve"> </w:t>
              </w:r>
              <w:r w:rsidRPr="002E0005">
                <w:rPr>
                  <w:rStyle w:val="Hyperlink"/>
                  <w:sz w:val="20"/>
                  <w:szCs w:val="20"/>
                </w:rPr>
                <w:t>for managing overweight and obesity</w:t>
              </w:r>
            </w:hyperlink>
          </w:p>
        </w:tc>
      </w:tr>
      <w:tr w:rsidR="007B4AD8" w:rsidRPr="002E0005" w14:paraId="45D5F05C" w14:textId="77777777" w:rsidTr="00C63380">
        <w:trPr>
          <w:trHeight w:val="300"/>
        </w:trPr>
        <w:tc>
          <w:tcPr>
            <w:tcW w:w="2155" w:type="dxa"/>
            <w:hideMark/>
          </w:tcPr>
          <w:p w14:paraId="07C5FF55" w14:textId="7DEEFD3E" w:rsidR="007B4AD8" w:rsidRPr="002E0005" w:rsidRDefault="007B4AD8" w:rsidP="00852B7B">
            <w:pPr>
              <w:pStyle w:val="Tabletext"/>
            </w:pPr>
            <w:r w:rsidRPr="002E0005">
              <w:t>TA1091 </w:t>
            </w:r>
          </w:p>
        </w:tc>
        <w:tc>
          <w:tcPr>
            <w:tcW w:w="6492" w:type="dxa"/>
            <w:hideMark/>
          </w:tcPr>
          <w:p w14:paraId="51E11DB2" w14:textId="6620B768" w:rsidR="007B4AD8" w:rsidRPr="002E0005" w:rsidRDefault="007B4AD8" w:rsidP="00852B7B">
            <w:pPr>
              <w:pStyle w:val="Tabletext"/>
            </w:pPr>
            <w:hyperlink r:id="rId20" w:tgtFrame="_blank" w:history="1">
              <w:r w:rsidRPr="002E0005">
                <w:rPr>
                  <w:rStyle w:val="Hyperlink"/>
                  <w:sz w:val="20"/>
                  <w:szCs w:val="20"/>
                </w:rPr>
                <w:t>Tarlatamab</w:t>
              </w:r>
              <w:r w:rsidR="00402227">
                <w:rPr>
                  <w:rStyle w:val="Hyperlink"/>
                  <w:sz w:val="20"/>
                  <w:szCs w:val="20"/>
                </w:rPr>
                <w:t xml:space="preserve"> </w:t>
              </w:r>
              <w:r w:rsidRPr="002E0005">
                <w:rPr>
                  <w:rStyle w:val="Hyperlink"/>
                  <w:sz w:val="20"/>
                  <w:szCs w:val="20"/>
                </w:rPr>
                <w:t>for extensive-stage small-cell lung cancer after 2 or more treatments</w:t>
              </w:r>
            </w:hyperlink>
            <w:r w:rsidRPr="002E0005">
              <w:t> </w:t>
            </w:r>
          </w:p>
        </w:tc>
      </w:tr>
      <w:tr w:rsidR="007B4AD8" w:rsidRPr="002E0005" w14:paraId="43E5477E" w14:textId="77777777" w:rsidTr="00C63380">
        <w:trPr>
          <w:trHeight w:val="300"/>
        </w:trPr>
        <w:tc>
          <w:tcPr>
            <w:tcW w:w="2155" w:type="dxa"/>
          </w:tcPr>
          <w:p w14:paraId="3B72D210" w14:textId="317C1FB5" w:rsidR="007B4AD8" w:rsidRPr="002E0005" w:rsidRDefault="007B4AD8" w:rsidP="00852B7B">
            <w:pPr>
              <w:pStyle w:val="Tabletext"/>
            </w:pPr>
            <w:r w:rsidRPr="002E0005">
              <w:t>ID4043 </w:t>
            </w:r>
          </w:p>
        </w:tc>
        <w:tc>
          <w:tcPr>
            <w:tcW w:w="6492" w:type="dxa"/>
          </w:tcPr>
          <w:p w14:paraId="3EF18515" w14:textId="6C619180" w:rsidR="007B4AD8" w:rsidRPr="002E0005" w:rsidRDefault="007B4AD8" w:rsidP="00852B7B">
            <w:pPr>
              <w:pStyle w:val="Tabletext"/>
            </w:pPr>
            <w:hyperlink r:id="rId21" w:tgtFrame="_blank" w:history="1">
              <w:r w:rsidRPr="002E0005">
                <w:rPr>
                  <w:rStyle w:val="Hyperlink"/>
                  <w:sz w:val="20"/>
                  <w:szCs w:val="20"/>
                </w:rPr>
                <w:t>Lecanemab for treating mild cognitive impairment or mild dementia caused by Alzheimer’s disease</w:t>
              </w:r>
            </w:hyperlink>
            <w:r w:rsidRPr="002E0005">
              <w:t> </w:t>
            </w:r>
          </w:p>
        </w:tc>
      </w:tr>
      <w:tr w:rsidR="007B4AD8" w:rsidRPr="002E0005" w14:paraId="384A0FF5" w14:textId="77777777" w:rsidTr="00C63380">
        <w:trPr>
          <w:trHeight w:val="300"/>
        </w:trPr>
        <w:tc>
          <w:tcPr>
            <w:tcW w:w="2155" w:type="dxa"/>
          </w:tcPr>
          <w:p w14:paraId="4DF48F87" w14:textId="0560EB9F" w:rsidR="007B4AD8" w:rsidRPr="002E0005" w:rsidRDefault="007B4AD8" w:rsidP="00852B7B">
            <w:pPr>
              <w:pStyle w:val="Tabletext"/>
            </w:pPr>
            <w:r w:rsidRPr="002E0005">
              <w:t>ID6222 </w:t>
            </w:r>
          </w:p>
        </w:tc>
        <w:tc>
          <w:tcPr>
            <w:tcW w:w="6492" w:type="dxa"/>
          </w:tcPr>
          <w:p w14:paraId="3A331751" w14:textId="6F090710" w:rsidR="007B4AD8" w:rsidRPr="002E0005" w:rsidRDefault="007B4AD8" w:rsidP="00852B7B">
            <w:pPr>
              <w:pStyle w:val="Tabletext"/>
            </w:pPr>
            <w:hyperlink r:id="rId22" w:tgtFrame="_blank" w:history="1">
              <w:r w:rsidRPr="002E0005">
                <w:rPr>
                  <w:rStyle w:val="Hyperlink"/>
                  <w:sz w:val="20"/>
                  <w:szCs w:val="20"/>
                </w:rPr>
                <w:t>Donanemab for treating mild cognitive impairment or mild dementia caused by Alzheimer's disease</w:t>
              </w:r>
            </w:hyperlink>
            <w:r w:rsidRPr="002E0005">
              <w:t> </w:t>
            </w:r>
          </w:p>
        </w:tc>
      </w:tr>
      <w:tr w:rsidR="007B4AD8" w:rsidRPr="002E0005" w14:paraId="52CBE7F6" w14:textId="77777777" w:rsidTr="00C63380">
        <w:trPr>
          <w:trHeight w:val="300"/>
        </w:trPr>
        <w:tc>
          <w:tcPr>
            <w:tcW w:w="2155" w:type="dxa"/>
            <w:hideMark/>
          </w:tcPr>
          <w:p w14:paraId="0C530D23" w14:textId="54762D95" w:rsidR="007B4AD8" w:rsidRPr="002E0005" w:rsidRDefault="007B4AD8" w:rsidP="00852B7B">
            <w:pPr>
              <w:pStyle w:val="Tabletext"/>
            </w:pPr>
            <w:r w:rsidRPr="002E0005">
              <w:t>HST21 </w:t>
            </w:r>
          </w:p>
        </w:tc>
        <w:tc>
          <w:tcPr>
            <w:tcW w:w="6492" w:type="dxa"/>
            <w:hideMark/>
          </w:tcPr>
          <w:p w14:paraId="692BB71A" w14:textId="7EB9DFD4" w:rsidR="007B4AD8" w:rsidRPr="002E0005" w:rsidRDefault="007B4AD8" w:rsidP="00852B7B">
            <w:pPr>
              <w:pStyle w:val="Tabletext"/>
            </w:pPr>
            <w:hyperlink r:id="rId23" w:tgtFrame="_blank" w:history="1">
              <w:r w:rsidRPr="002E0005">
                <w:rPr>
                  <w:rStyle w:val="Hyperlink"/>
                  <w:sz w:val="20"/>
                  <w:szCs w:val="20"/>
                </w:rPr>
                <w:t>Setmelanotide</w:t>
              </w:r>
              <w:r w:rsidR="00402227">
                <w:rPr>
                  <w:rStyle w:val="Hyperlink"/>
                  <w:sz w:val="20"/>
                  <w:szCs w:val="20"/>
                </w:rPr>
                <w:t xml:space="preserve"> </w:t>
              </w:r>
              <w:r w:rsidRPr="002E0005">
                <w:rPr>
                  <w:rStyle w:val="Hyperlink"/>
                  <w:sz w:val="20"/>
                  <w:szCs w:val="20"/>
                </w:rPr>
                <w:t>for treating obesity caused by LEPR or POMC deficiency</w:t>
              </w:r>
            </w:hyperlink>
            <w:r w:rsidRPr="002E0005">
              <w:t> </w:t>
            </w:r>
          </w:p>
        </w:tc>
      </w:tr>
    </w:tbl>
    <w:p w14:paraId="535A97DC" w14:textId="139997FB" w:rsidR="008544BD" w:rsidRDefault="00F35D57" w:rsidP="006A50E3">
      <w:pPr>
        <w:pStyle w:val="Numberedheading1"/>
        <w:ind w:left="720" w:hanging="720"/>
      </w:pPr>
      <w:bookmarkStart w:id="56" w:name="_Toc221007655"/>
      <w:bookmarkStart w:id="57" w:name="_Toc221098027"/>
      <w:bookmarkStart w:id="58" w:name="_Toc221007656"/>
      <w:bookmarkStart w:id="59" w:name="_Toc221098028"/>
      <w:bookmarkStart w:id="60" w:name="_Toc221098029"/>
      <w:bookmarkEnd w:id="56"/>
      <w:bookmarkEnd w:id="57"/>
      <w:bookmarkEnd w:id="58"/>
      <w:bookmarkEnd w:id="59"/>
      <w:r>
        <w:t>How implementation costs were considered</w:t>
      </w:r>
      <w:r w:rsidR="004B4414">
        <w:t xml:space="preserve"> </w:t>
      </w:r>
      <w:r>
        <w:t xml:space="preserve">in </w:t>
      </w:r>
      <w:r w:rsidR="004B4414">
        <w:t>evaluations</w:t>
      </w:r>
      <w:bookmarkEnd w:id="60"/>
    </w:p>
    <w:p w14:paraId="401B239B" w14:textId="2A3B0FD7" w:rsidR="00E84D54" w:rsidRDefault="002D44C8" w:rsidP="002F4A0A">
      <w:pPr>
        <w:pStyle w:val="Paragraph"/>
        <w:rPr>
          <w:sz w:val="28"/>
          <w:szCs w:val="28"/>
        </w:rPr>
      </w:pPr>
      <w:r>
        <w:t xml:space="preserve">Sections 4.1 to 4.5 </w:t>
      </w:r>
      <w:r w:rsidR="00F35D57">
        <w:t xml:space="preserve">show </w:t>
      </w:r>
      <w:r w:rsidR="00091758">
        <w:t>how</w:t>
      </w:r>
      <w:r w:rsidR="0001306E">
        <w:t xml:space="preserve"> implementation </w:t>
      </w:r>
      <w:r w:rsidR="001648CF">
        <w:t>costs</w:t>
      </w:r>
      <w:r w:rsidR="0001306E">
        <w:t xml:space="preserve"> </w:t>
      </w:r>
      <w:r w:rsidR="001648CF">
        <w:t>were</w:t>
      </w:r>
      <w:r w:rsidR="0001306E">
        <w:t xml:space="preserve"> considered</w:t>
      </w:r>
      <w:r w:rsidR="00091758">
        <w:t xml:space="preserve"> in these evaluations</w:t>
      </w:r>
      <w:r w:rsidR="003A61DC">
        <w:t xml:space="preserve">. </w:t>
      </w:r>
      <w:r w:rsidR="02365453" w:rsidRPr="005D5EAE">
        <w:t>It is important to note that NICE decision making is based on a holistic assessment of the evidence</w:t>
      </w:r>
      <w:r w:rsidR="00947775">
        <w:t>.</w:t>
      </w:r>
      <w:r w:rsidR="02365453" w:rsidRPr="005D5EAE">
        <w:t xml:space="preserve"> </w:t>
      </w:r>
      <w:r w:rsidR="00947775">
        <w:t>T</w:t>
      </w:r>
      <w:r w:rsidR="02365453" w:rsidRPr="005D5EAE">
        <w:t xml:space="preserve">he following paragraphs aim to describe how infrastructure and service redesign costs were mentioned, </w:t>
      </w:r>
      <w:r w:rsidR="00C63380" w:rsidRPr="005D5EAE">
        <w:t>discussed</w:t>
      </w:r>
      <w:r w:rsidR="02365453" w:rsidRPr="005D5EAE">
        <w:t xml:space="preserve"> or considered, not to analyse their influence on the final decision.</w:t>
      </w:r>
    </w:p>
    <w:p w14:paraId="16042B84" w14:textId="36DB75A9" w:rsidR="00EC3A20" w:rsidRPr="00374DAD" w:rsidRDefault="00091758" w:rsidP="002F4A0A">
      <w:pPr>
        <w:pStyle w:val="Numberedheading2"/>
      </w:pPr>
      <w:bookmarkStart w:id="61" w:name="_Toc221098030"/>
      <w:r w:rsidRPr="006576EB">
        <w:t>E</w:t>
      </w:r>
      <w:r w:rsidR="00EC3A20" w:rsidRPr="006576EB">
        <w:t>xclu</w:t>
      </w:r>
      <w:r w:rsidRPr="006576EB">
        <w:t>sion</w:t>
      </w:r>
      <w:r>
        <w:t xml:space="preserve"> of some</w:t>
      </w:r>
      <w:r w:rsidR="00EC3A20">
        <w:t xml:space="preserve"> implementation costs</w:t>
      </w:r>
      <w:bookmarkEnd w:id="61"/>
    </w:p>
    <w:p w14:paraId="3906369A" w14:textId="7E6E5043" w:rsidR="00EC3A20" w:rsidRDefault="001A11E6" w:rsidP="002F4A0A">
      <w:pPr>
        <w:pStyle w:val="Paragraph"/>
      </w:pPr>
      <w:r>
        <w:t>I</w:t>
      </w:r>
      <w:r w:rsidR="00EC3A20" w:rsidRPr="00273943">
        <w:t xml:space="preserve">n </w:t>
      </w:r>
      <w:hyperlink r:id="rId24" w:tgtFrame="_blank" w:history="1">
        <w:r w:rsidR="004E268A">
          <w:rPr>
            <w:rStyle w:val="Hyperlink"/>
          </w:rPr>
          <w:t>NICE</w:t>
        </w:r>
        <w:r w:rsidR="007653B0">
          <w:rPr>
            <w:rStyle w:val="Hyperlink"/>
          </w:rPr>
          <w:t>’s</w:t>
        </w:r>
        <w:r w:rsidR="004E268A">
          <w:rPr>
            <w:rStyle w:val="Hyperlink"/>
          </w:rPr>
          <w:t xml:space="preserve"> technology appraisal guidance on palforzia</w:t>
        </w:r>
        <w:r w:rsidR="00092198">
          <w:rPr>
            <w:rStyle w:val="Hyperlink"/>
          </w:rPr>
          <w:t xml:space="preserve"> </w:t>
        </w:r>
        <w:r w:rsidR="004E268A">
          <w:rPr>
            <w:rStyle w:val="Hyperlink"/>
          </w:rPr>
          <w:t>for treating peanut allergy in children and young people</w:t>
        </w:r>
        <w:r w:rsidR="002370E3">
          <w:rPr>
            <w:rStyle w:val="Hyperlink"/>
          </w:rPr>
          <w:t xml:space="preserve"> </w:t>
        </w:r>
        <w:r w:rsidR="004E268A">
          <w:rPr>
            <w:rStyle w:val="Hyperlink"/>
          </w:rPr>
          <w:t>(TA769)</w:t>
        </w:r>
      </w:hyperlink>
      <w:r w:rsidR="00EC3A20" w:rsidRPr="00273943">
        <w:t xml:space="preserve">, the </w:t>
      </w:r>
      <w:r>
        <w:t>eco</w:t>
      </w:r>
      <w:r w:rsidR="005C5BCC">
        <w:t xml:space="preserve">nomic </w:t>
      </w:r>
      <w:r w:rsidR="00EC3A20" w:rsidRPr="00273943">
        <w:t xml:space="preserve">model did not incorporate all the costs </w:t>
      </w:r>
      <w:r w:rsidR="00D64445">
        <w:t>of</w:t>
      </w:r>
      <w:r w:rsidR="00EC3A20" w:rsidRPr="00273943">
        <w:t xml:space="preserve"> setting up oral immunotherapy treatments in the NHS</w:t>
      </w:r>
      <w:r w:rsidR="00D64445">
        <w:t>.</w:t>
      </w:r>
      <w:r w:rsidR="00EC3A20" w:rsidRPr="00273943">
        <w:t xml:space="preserve"> </w:t>
      </w:r>
      <w:r w:rsidR="00D64445">
        <w:t>T</w:t>
      </w:r>
      <w:r w:rsidR="00EC3A20" w:rsidRPr="00273943">
        <w:t xml:space="preserve">he committee </w:t>
      </w:r>
      <w:r w:rsidR="00525928">
        <w:t>said</w:t>
      </w:r>
      <w:r w:rsidR="00525928" w:rsidRPr="00273943">
        <w:t xml:space="preserve"> </w:t>
      </w:r>
      <w:r w:rsidR="00EC3A20" w:rsidRPr="00273943">
        <w:t xml:space="preserve">that </w:t>
      </w:r>
      <w:r w:rsidR="00D64445">
        <w:t>these</w:t>
      </w:r>
      <w:r w:rsidR="00D64445" w:rsidRPr="00273943">
        <w:t xml:space="preserve"> </w:t>
      </w:r>
      <w:r w:rsidR="00EC3A20" w:rsidRPr="00273943">
        <w:t xml:space="preserve">costs </w:t>
      </w:r>
      <w:r w:rsidR="00D30067">
        <w:t>should</w:t>
      </w:r>
      <w:r w:rsidR="00EC3A20" w:rsidRPr="00273943">
        <w:t xml:space="preserve"> have been accounted for. </w:t>
      </w:r>
      <w:r w:rsidR="00D64445">
        <w:t>But</w:t>
      </w:r>
      <w:r w:rsidR="00822869">
        <w:t xml:space="preserve"> </w:t>
      </w:r>
      <w:r w:rsidR="00D36217">
        <w:t>th</w:t>
      </w:r>
      <w:r w:rsidR="00335C0C">
        <w:t xml:space="preserve">e committee noted that the technology </w:t>
      </w:r>
      <w:r w:rsidR="007F5176">
        <w:t xml:space="preserve">may have benefits not captured </w:t>
      </w:r>
      <w:r w:rsidR="00504C08">
        <w:t>in</w:t>
      </w:r>
      <w:r w:rsidR="007F5176">
        <w:t xml:space="preserve"> the </w:t>
      </w:r>
      <w:proofErr w:type="gramStart"/>
      <w:r w:rsidR="007F5176">
        <w:t>models</w:t>
      </w:r>
      <w:r w:rsidR="00D64445">
        <w:t>,</w:t>
      </w:r>
      <w:r w:rsidR="007F5176">
        <w:t xml:space="preserve"> and</w:t>
      </w:r>
      <w:proofErr w:type="gramEnd"/>
      <w:r w:rsidR="007F5176">
        <w:t xml:space="preserve"> eventually recommended the technology. </w:t>
      </w:r>
      <w:r w:rsidR="00D36217">
        <w:t>I</w:t>
      </w:r>
      <w:r w:rsidR="00EC3A20" w:rsidRPr="00273943">
        <w:t xml:space="preserve">n </w:t>
      </w:r>
      <w:hyperlink r:id="rId25" w:tgtFrame="_blank" w:history="1">
        <w:r w:rsidR="007653B0">
          <w:rPr>
            <w:rStyle w:val="Hyperlink"/>
          </w:rPr>
          <w:t>NICE’s technology appraisal guidance on esketamine</w:t>
        </w:r>
        <w:r w:rsidR="00D617B7">
          <w:rPr>
            <w:rStyle w:val="Hyperlink"/>
          </w:rPr>
          <w:t xml:space="preserve"> </w:t>
        </w:r>
        <w:r w:rsidR="007653B0">
          <w:rPr>
            <w:rStyle w:val="Hyperlink"/>
          </w:rPr>
          <w:t>nasal spray for treatment-resistant depression</w:t>
        </w:r>
        <w:r w:rsidR="00D617B7">
          <w:rPr>
            <w:rStyle w:val="Hyperlink"/>
          </w:rPr>
          <w:t xml:space="preserve"> </w:t>
        </w:r>
        <w:r w:rsidR="007653B0">
          <w:rPr>
            <w:rStyle w:val="Hyperlink"/>
          </w:rPr>
          <w:t>(TA854)</w:t>
        </w:r>
      </w:hyperlink>
      <w:r w:rsidR="00EC3A20" w:rsidRPr="00273943">
        <w:t>, the</w:t>
      </w:r>
      <w:r w:rsidR="00D617B7">
        <w:t xml:space="preserve"> </w:t>
      </w:r>
      <w:r w:rsidR="00EC3A20" w:rsidRPr="00273943">
        <w:t>analysis</w:t>
      </w:r>
      <w:r w:rsidR="00D617B7">
        <w:t xml:space="preserve"> </w:t>
      </w:r>
      <w:r w:rsidR="00EC3A20" w:rsidRPr="00273943">
        <w:t xml:space="preserve">did not fully capture the investment </w:t>
      </w:r>
      <w:r w:rsidR="00D64445">
        <w:t>need</w:t>
      </w:r>
      <w:r w:rsidR="00D64445" w:rsidRPr="00273943">
        <w:t xml:space="preserve">ed </w:t>
      </w:r>
      <w:r w:rsidR="00EC3A20" w:rsidRPr="00273943">
        <w:t>to implement the technology in the NHS according to the company's proposal</w:t>
      </w:r>
      <w:r w:rsidR="002F3FF5">
        <w:t>. The proposal</w:t>
      </w:r>
      <w:r w:rsidR="00EC3A20" w:rsidRPr="00273943">
        <w:t xml:space="preserve"> suggested reconverting electroconvulsive therapy suites for treatment </w:t>
      </w:r>
      <w:r w:rsidR="00FC49DF" w:rsidRPr="00273943">
        <w:t xml:space="preserve">delivery </w:t>
      </w:r>
      <w:r w:rsidR="00EC3A20" w:rsidRPr="00273943">
        <w:t xml:space="preserve">for some people. The committee also concluded that </w:t>
      </w:r>
      <w:r w:rsidR="00FC49DF">
        <w:t>this</w:t>
      </w:r>
      <w:r w:rsidR="00FC49DF" w:rsidRPr="00273943">
        <w:t xml:space="preserve"> </w:t>
      </w:r>
      <w:r w:rsidR="00EC3A20" w:rsidRPr="00273943">
        <w:t>implementation strategy may not be feasible</w:t>
      </w:r>
      <w:r w:rsidR="00BF2868">
        <w:t xml:space="preserve">. Unlike in TA769, the technology </w:t>
      </w:r>
      <w:r w:rsidR="00FC49DF">
        <w:t>in TA854 was not recommended.</w:t>
      </w:r>
    </w:p>
    <w:p w14:paraId="62535BD6" w14:textId="6BB7D977" w:rsidR="00F4214E" w:rsidRPr="00A87458" w:rsidRDefault="00D578A8" w:rsidP="002F4A0A">
      <w:pPr>
        <w:pStyle w:val="Paragraph"/>
        <w:rPr>
          <w:b/>
          <w:bCs/>
        </w:rPr>
      </w:pPr>
      <w:r>
        <w:t>I</w:t>
      </w:r>
      <w:r w:rsidRPr="00273943">
        <w:t xml:space="preserve">n </w:t>
      </w:r>
      <w:hyperlink r:id="rId26" w:tgtFrame="_blank" w:history="1">
        <w:r w:rsidR="007653B0">
          <w:rPr>
            <w:rStyle w:val="Hyperlink"/>
          </w:rPr>
          <w:t xml:space="preserve">NICE’s technology appraisal guidance on </w:t>
        </w:r>
        <w:proofErr w:type="spellStart"/>
        <w:r w:rsidR="007653B0">
          <w:rPr>
            <w:rStyle w:val="Hyperlink"/>
          </w:rPr>
          <w:t>lecanemab</w:t>
        </w:r>
        <w:proofErr w:type="spellEnd"/>
        <w:r w:rsidR="007653B0">
          <w:rPr>
            <w:rStyle w:val="Hyperlink"/>
          </w:rPr>
          <w:t xml:space="preserve"> for treating mild cognitive impairment or mild dementia caused by Alzheimer’s disease (ID4043)</w:t>
        </w:r>
      </w:hyperlink>
      <w:r w:rsidR="000F5B31">
        <w:t xml:space="preserve"> </w:t>
      </w:r>
      <w:r w:rsidRPr="00273943">
        <w:t>and</w:t>
      </w:r>
      <w:r w:rsidR="000F5B31">
        <w:t xml:space="preserve"> </w:t>
      </w:r>
      <w:hyperlink r:id="rId27" w:tgtFrame="_blank" w:history="1">
        <w:r w:rsidR="00F47B8A">
          <w:rPr>
            <w:rStyle w:val="Hyperlink"/>
          </w:rPr>
          <w:t>NICE's technology appraisal guidance on donanemab for treating mild cognitive impairment or mild dementia caused by Alzheimer's disease (ID6222)</w:t>
        </w:r>
      </w:hyperlink>
      <w:r w:rsidR="00250693">
        <w:t>,</w:t>
      </w:r>
      <w:r w:rsidR="007653B0">
        <w:t xml:space="preserve"> </w:t>
      </w:r>
      <w:r>
        <w:t xml:space="preserve">the </w:t>
      </w:r>
      <w:r w:rsidR="007653B0">
        <w:t>‘</w:t>
      </w:r>
      <w:r>
        <w:t xml:space="preserve">substantial </w:t>
      </w:r>
      <w:r w:rsidRPr="00D578A8">
        <w:t>investment in infrastructure and training for NHS care pathways to be redesigned to accommodate new treatments</w:t>
      </w:r>
      <w:r w:rsidR="007653B0">
        <w:t xml:space="preserve">’ </w:t>
      </w:r>
      <w:r w:rsidR="00B049DD">
        <w:t>was not included in the models.</w:t>
      </w:r>
    </w:p>
    <w:p w14:paraId="045B3891" w14:textId="3362DC63" w:rsidR="003F23E6" w:rsidRDefault="00837BE8" w:rsidP="008C3E2E">
      <w:pPr>
        <w:pStyle w:val="Numberedheading2"/>
      </w:pPr>
      <w:bookmarkStart w:id="62" w:name="_Toc221098031"/>
      <w:r>
        <w:t>Existing i</w:t>
      </w:r>
      <w:r w:rsidR="0050256D" w:rsidRPr="0050256D">
        <w:t xml:space="preserve">nfrastructure and services </w:t>
      </w:r>
      <w:r w:rsidR="0078003E">
        <w:t xml:space="preserve">sometimes </w:t>
      </w:r>
      <w:r w:rsidRPr="00837BE8">
        <w:t>deemed sufficient for new technologies</w:t>
      </w:r>
      <w:bookmarkEnd w:id="62"/>
    </w:p>
    <w:p w14:paraId="428A7A0C" w14:textId="6EEB2505" w:rsidR="0035149E" w:rsidRDefault="0050256D" w:rsidP="008C3E2E">
      <w:pPr>
        <w:pStyle w:val="Paragraph"/>
      </w:pPr>
      <w:r>
        <w:t>I</w:t>
      </w:r>
      <w:r w:rsidRPr="0050256D">
        <w:t xml:space="preserve">n several evaluations, it was noted that existing infrastructure and services could </w:t>
      </w:r>
      <w:r w:rsidR="007054F0">
        <w:t>be used to</w:t>
      </w:r>
      <w:r w:rsidRPr="0050256D">
        <w:t xml:space="preserve"> implement the new technology or that implementation would be manageable</w:t>
      </w:r>
      <w:r w:rsidR="00B14F16">
        <w:t xml:space="preserve">. </w:t>
      </w:r>
      <w:r w:rsidR="003F23E6">
        <w:t xml:space="preserve">For instance, in </w:t>
      </w:r>
      <w:hyperlink r:id="rId28" w:tgtFrame="_blank" w:history="1">
        <w:r w:rsidR="00EA3F6A">
          <w:rPr>
            <w:rStyle w:val="Hyperlink"/>
          </w:rPr>
          <w:t xml:space="preserve">NICE's highly specialised </w:t>
        </w:r>
        <w:r w:rsidR="00AD5DE2">
          <w:rPr>
            <w:rStyle w:val="Hyperlink"/>
          </w:rPr>
          <w:t>technologies</w:t>
        </w:r>
        <w:r w:rsidR="00EA3F6A">
          <w:rPr>
            <w:rStyle w:val="Hyperlink"/>
          </w:rPr>
          <w:t xml:space="preserve"> guidance on setmelanotide</w:t>
        </w:r>
        <w:r w:rsidR="00250693">
          <w:rPr>
            <w:rStyle w:val="Hyperlink"/>
          </w:rPr>
          <w:t xml:space="preserve"> </w:t>
        </w:r>
        <w:r w:rsidR="00EA3F6A">
          <w:rPr>
            <w:rStyle w:val="Hyperlink"/>
          </w:rPr>
          <w:t>for treating obesity caused by LEPR or POMC deficiency (HST21)</w:t>
        </w:r>
      </w:hyperlink>
      <w:r w:rsidR="003F23E6">
        <w:t xml:space="preserve">, </w:t>
      </w:r>
      <w:r w:rsidR="0035149E">
        <w:t xml:space="preserve">it was noted that the treatment </w:t>
      </w:r>
      <w:r w:rsidR="0035149E" w:rsidRPr="0035149E">
        <w:t>need</w:t>
      </w:r>
      <w:r w:rsidR="004257C0">
        <w:t>ed</w:t>
      </w:r>
      <w:r w:rsidR="0035149E" w:rsidRPr="0035149E">
        <w:t xml:space="preserve"> to be offered through multidisciplinary weight management services with specialists in rare genetic disorders of obesity</w:t>
      </w:r>
      <w:r w:rsidR="00C218FD">
        <w:t>. The</w:t>
      </w:r>
      <w:r w:rsidR="0035149E" w:rsidRPr="0035149E">
        <w:t xml:space="preserve"> committee concluded that the treatment would be offered at a small number of specialist centres and </w:t>
      </w:r>
      <w:r w:rsidR="0035149E">
        <w:t xml:space="preserve">that no </w:t>
      </w:r>
      <w:r w:rsidR="0035149E" w:rsidRPr="0035149E">
        <w:t xml:space="preserve">additional investment </w:t>
      </w:r>
      <w:r w:rsidR="0035149E">
        <w:t xml:space="preserve">would be </w:t>
      </w:r>
      <w:r w:rsidR="00F74399">
        <w:t xml:space="preserve">needed </w:t>
      </w:r>
      <w:r w:rsidR="0035149E">
        <w:t>to set these up.</w:t>
      </w:r>
    </w:p>
    <w:p w14:paraId="3A95C8A0" w14:textId="17B47DF4" w:rsidR="003F23E6" w:rsidRDefault="003F23E6" w:rsidP="008C3E2E">
      <w:pPr>
        <w:pStyle w:val="Paragraph"/>
      </w:pPr>
      <w:r>
        <w:t xml:space="preserve">In </w:t>
      </w:r>
      <w:hyperlink r:id="rId29" w:tgtFrame="_blank" w:history="1">
        <w:r w:rsidR="00EA3F6A">
          <w:rPr>
            <w:rStyle w:val="Hyperlink"/>
          </w:rPr>
          <w:t xml:space="preserve">NICE's technology </w:t>
        </w:r>
        <w:r w:rsidR="00AD5DE2">
          <w:rPr>
            <w:rStyle w:val="Hyperlink"/>
          </w:rPr>
          <w:t>appraisal</w:t>
        </w:r>
        <w:r w:rsidR="00EA3F6A">
          <w:rPr>
            <w:rStyle w:val="Hyperlink"/>
          </w:rPr>
          <w:t xml:space="preserve"> guidance on selective internal radiation therapies for treating</w:t>
        </w:r>
        <w:r w:rsidR="002370E3">
          <w:rPr>
            <w:rStyle w:val="Hyperlink"/>
          </w:rPr>
          <w:t xml:space="preserve"> </w:t>
        </w:r>
        <w:r w:rsidR="00EA3F6A">
          <w:rPr>
            <w:rStyle w:val="Hyperlink"/>
          </w:rPr>
          <w:t>hepatocellular carcinoma (TA688)</w:t>
        </w:r>
      </w:hyperlink>
      <w:r>
        <w:t>, it was noted that the technology was already in use for other indications</w:t>
      </w:r>
      <w:r w:rsidR="00F74399">
        <w:t>.</w:t>
      </w:r>
      <w:r>
        <w:t xml:space="preserve"> </w:t>
      </w:r>
      <w:r w:rsidR="00F74399">
        <w:t>T</w:t>
      </w:r>
      <w:r>
        <w:t xml:space="preserve">he committee understood that the infrastructure </w:t>
      </w:r>
      <w:r w:rsidR="002F6CBC">
        <w:t xml:space="preserve">needed </w:t>
      </w:r>
      <w:r>
        <w:t xml:space="preserve">for </w:t>
      </w:r>
      <w:r w:rsidR="002F6CBC">
        <w:t>the technology</w:t>
      </w:r>
      <w:r>
        <w:t xml:space="preserve"> was available in some specialist centres. In </w:t>
      </w:r>
      <w:hyperlink r:id="rId30" w:anchor="adverse-events-and-need-for-monitoring" w:history="1">
        <w:r w:rsidR="00EA3F6A">
          <w:rPr>
            <w:rStyle w:val="Hyperlink"/>
          </w:rPr>
          <w:t>NICE's technology appraisal guidance on tarlatamab for extensive-stage small-cell lung cancer after 2 or more treatments (TA1091)</w:t>
        </w:r>
      </w:hyperlink>
      <w:r>
        <w:t>, the committee determined that, to monitor adverse effects li</w:t>
      </w:r>
      <w:r w:rsidR="008F7E42">
        <w:t>n</w:t>
      </w:r>
      <w:r>
        <w:t xml:space="preserve">ked to </w:t>
      </w:r>
      <w:r w:rsidRPr="0096472E">
        <w:t>the technology</w:t>
      </w:r>
      <w:r>
        <w:t xml:space="preserve">, </w:t>
      </w:r>
      <w:r w:rsidRPr="0096472E">
        <w:t xml:space="preserve">training and capacity planning </w:t>
      </w:r>
      <w:r>
        <w:t xml:space="preserve">were </w:t>
      </w:r>
      <w:r w:rsidR="00621C21">
        <w:t>needed</w:t>
      </w:r>
      <w:r w:rsidRPr="0096472E">
        <w:t>.</w:t>
      </w:r>
      <w:r>
        <w:t xml:space="preserve"> But </w:t>
      </w:r>
      <w:r w:rsidR="00825984">
        <w:t xml:space="preserve">NHS England’s </w:t>
      </w:r>
      <w:r w:rsidRPr="00C63380">
        <w:t xml:space="preserve">Cancer Drugs Fund lead noted that this </w:t>
      </w:r>
      <w:r w:rsidR="00825984">
        <w:t>c</w:t>
      </w:r>
      <w:r w:rsidR="00825984" w:rsidRPr="00C63380">
        <w:t xml:space="preserve">ould </w:t>
      </w:r>
      <w:r w:rsidRPr="00C63380">
        <w:t>be implement</w:t>
      </w:r>
      <w:r w:rsidR="00825984">
        <w:t>ed</w:t>
      </w:r>
      <w:r w:rsidR="00BD0F6E">
        <w:t>,</w:t>
      </w:r>
      <w:r w:rsidRPr="00C63380">
        <w:t xml:space="preserve"> </w:t>
      </w:r>
      <w:r w:rsidR="00825984">
        <w:t>so</w:t>
      </w:r>
      <w:r w:rsidR="00825984" w:rsidRPr="00C63380">
        <w:t xml:space="preserve"> </w:t>
      </w:r>
      <w:r w:rsidRPr="00C63380">
        <w:t xml:space="preserve">no </w:t>
      </w:r>
      <w:r w:rsidR="00654316" w:rsidRPr="00C63380">
        <w:t>additional implementation costs were added</w:t>
      </w:r>
      <w:r w:rsidRPr="00C63380">
        <w:t>.</w:t>
      </w:r>
    </w:p>
    <w:p w14:paraId="4E81D59F" w14:textId="42517691" w:rsidR="001C09BE" w:rsidRPr="001C09BE" w:rsidRDefault="00387B27" w:rsidP="008C3E2E">
      <w:pPr>
        <w:pStyle w:val="Numberedheading2"/>
      </w:pPr>
      <w:bookmarkStart w:id="63" w:name="_Toc221098032"/>
      <w:r>
        <w:t>C</w:t>
      </w:r>
      <w:r w:rsidR="001C09BE" w:rsidRPr="001C09BE">
        <w:t xml:space="preserve">hallenges </w:t>
      </w:r>
      <w:r w:rsidR="0042792E">
        <w:t>of using</w:t>
      </w:r>
      <w:r w:rsidR="001C09BE" w:rsidRPr="001C09BE">
        <w:t xml:space="preserve"> tariffs</w:t>
      </w:r>
      <w:r w:rsidR="00F01F44">
        <w:t xml:space="preserve"> </w:t>
      </w:r>
      <w:r w:rsidR="009610AD">
        <w:t xml:space="preserve">for new services </w:t>
      </w:r>
      <w:r w:rsidR="00F01F44">
        <w:t xml:space="preserve">or </w:t>
      </w:r>
      <w:r w:rsidR="00520F1D">
        <w:t>estimates borrowed from other</w:t>
      </w:r>
      <w:r w:rsidR="00B14F16">
        <w:t xml:space="preserve"> clinical</w:t>
      </w:r>
      <w:r w:rsidR="00520F1D">
        <w:t xml:space="preserve"> areas</w:t>
      </w:r>
      <w:bookmarkEnd w:id="63"/>
    </w:p>
    <w:p w14:paraId="65ED1185" w14:textId="13349129" w:rsidR="001C09BE" w:rsidRPr="00273943" w:rsidRDefault="00387B27" w:rsidP="008C3E2E">
      <w:pPr>
        <w:pStyle w:val="Paragraph"/>
      </w:pPr>
      <w:r>
        <w:t>In</w:t>
      </w:r>
      <w:r w:rsidR="00BD0F6E">
        <w:t xml:space="preserve"> </w:t>
      </w:r>
      <w:hyperlink r:id="rId31">
        <w:r w:rsidR="00EA3F6A">
          <w:rPr>
            <w:rStyle w:val="Hyperlink"/>
          </w:rPr>
          <w:t>NICE's technology appraisal guidance on axicabtagene ciloleucel for treating relapsed or refractory follicular lymphoma (TA894)</w:t>
        </w:r>
      </w:hyperlink>
      <w:r w:rsidR="00BD0F6E">
        <w:t xml:space="preserve"> </w:t>
      </w:r>
      <w:r w:rsidR="001C09BE">
        <w:t xml:space="preserve">and </w:t>
      </w:r>
      <w:hyperlink r:id="rId32">
        <w:r w:rsidR="00BD0F6E">
          <w:rPr>
            <w:rStyle w:val="Hyperlink"/>
          </w:rPr>
          <w:t>NICE's technology appraisal guidance on axicabtagene ciloleucel for treating diffuse large B-cell lymphoma and primary mediastinal large B-cell lymphoma after 2 or more systemic therapies (TA872)</w:t>
        </w:r>
      </w:hyperlink>
      <w:r w:rsidR="00920ABB">
        <w:t>,</w:t>
      </w:r>
      <w:r w:rsidR="00EA3F6A">
        <w:t xml:space="preserve"> </w:t>
      </w:r>
      <w:r w:rsidR="001C09BE">
        <w:t xml:space="preserve">several stakeholders mentioned </w:t>
      </w:r>
      <w:r w:rsidR="00920ABB">
        <w:t xml:space="preserve">a </w:t>
      </w:r>
      <w:r w:rsidR="001C09BE">
        <w:t xml:space="preserve">lack of transparency </w:t>
      </w:r>
      <w:r w:rsidR="4A7384A5">
        <w:t>i</w:t>
      </w:r>
      <w:r w:rsidR="001C09BE">
        <w:t>n the calculation of the</w:t>
      </w:r>
      <w:r w:rsidR="2FA8516F">
        <w:t xml:space="preserve"> </w:t>
      </w:r>
      <w:r w:rsidR="001C09BE">
        <w:t>tariff for</w:t>
      </w:r>
      <w:r w:rsidR="266BA367">
        <w:t xml:space="preserve"> chimeric antigen receptor T-cell (</w:t>
      </w:r>
      <w:r w:rsidR="001C09BE">
        <w:t>CAR-T</w:t>
      </w:r>
      <w:r w:rsidR="00CF6619">
        <w:t>)</w:t>
      </w:r>
      <w:r w:rsidR="001C09BE" w:rsidRPr="00273943">
        <w:t xml:space="preserve"> therapy.</w:t>
      </w:r>
      <w:r w:rsidR="00920ABB">
        <w:t xml:space="preserve"> </w:t>
      </w:r>
      <w:r w:rsidR="00693E55">
        <w:t>C</w:t>
      </w:r>
      <w:r w:rsidR="00D56029">
        <w:t>ompany</w:t>
      </w:r>
      <w:r w:rsidR="00CF542F">
        <w:t>-</w:t>
      </w:r>
      <w:r w:rsidR="00C13983">
        <w:t>estimate</w:t>
      </w:r>
      <w:r w:rsidR="00D56029">
        <w:t>d costs were used in the models</w:t>
      </w:r>
      <w:r w:rsidR="00693E55">
        <w:t>, which</w:t>
      </w:r>
      <w:r w:rsidR="00693CA9">
        <w:t xml:space="preserve"> differed from the tariff</w:t>
      </w:r>
      <w:r w:rsidR="0053124C">
        <w:t xml:space="preserve">. </w:t>
      </w:r>
      <w:r w:rsidR="0053124C" w:rsidRPr="00E24567">
        <w:t>But it was noted that the</w:t>
      </w:r>
      <w:r w:rsidR="00693CA9" w:rsidRPr="005C1533">
        <w:t xml:space="preserve"> ta</w:t>
      </w:r>
      <w:r w:rsidR="001B0ABB" w:rsidRPr="005C1533">
        <w:t>riff</w:t>
      </w:r>
      <w:r w:rsidR="001B0ABB">
        <w:t xml:space="preserve"> represent</w:t>
      </w:r>
      <w:r w:rsidR="00443384">
        <w:t>ed</w:t>
      </w:r>
      <w:r w:rsidR="002257CF">
        <w:t xml:space="preserve"> </w:t>
      </w:r>
      <w:r w:rsidR="001B0ABB">
        <w:t>the cost of</w:t>
      </w:r>
      <w:r w:rsidR="001B0ABB" w:rsidRPr="001B0ABB">
        <w:t xml:space="preserve"> infrastructure and delivering a </w:t>
      </w:r>
      <w:r w:rsidR="002257CF">
        <w:t>new</w:t>
      </w:r>
      <w:r w:rsidR="001B0ABB" w:rsidRPr="001B0ABB">
        <w:t xml:space="preserve"> treatment</w:t>
      </w:r>
      <w:r w:rsidR="00920ABB">
        <w:t>. It was also noted</w:t>
      </w:r>
      <w:r w:rsidR="00EB4D95">
        <w:t xml:space="preserve"> that</w:t>
      </w:r>
      <w:r w:rsidR="00920ABB">
        <w:t>,</w:t>
      </w:r>
      <w:r w:rsidR="00EB4D95">
        <w:t xml:space="preserve"> over time</w:t>
      </w:r>
      <w:r w:rsidR="00920ABB">
        <w:t>,</w:t>
      </w:r>
      <w:r w:rsidR="00443384">
        <w:t xml:space="preserve"> </w:t>
      </w:r>
      <w:r w:rsidR="00693E55">
        <w:t xml:space="preserve">there would be </w:t>
      </w:r>
      <w:r w:rsidR="001B0ABB" w:rsidRPr="001B0ABB">
        <w:t xml:space="preserve">economies of scale </w:t>
      </w:r>
      <w:r w:rsidR="0053124C">
        <w:t>and reduc</w:t>
      </w:r>
      <w:r w:rsidR="00EB4D95">
        <w:t>ed need for intense</w:t>
      </w:r>
      <w:r w:rsidR="0053124C">
        <w:t xml:space="preserve"> monitoring</w:t>
      </w:r>
      <w:r w:rsidR="003E1F30">
        <w:t xml:space="preserve">. </w:t>
      </w:r>
      <w:r w:rsidR="00990C3E">
        <w:t>The committee</w:t>
      </w:r>
      <w:r w:rsidR="005C1533">
        <w:t>s</w:t>
      </w:r>
      <w:r w:rsidR="00990C3E">
        <w:t xml:space="preserve"> </w:t>
      </w:r>
      <w:proofErr w:type="gramStart"/>
      <w:r w:rsidR="003118B2">
        <w:t>was</w:t>
      </w:r>
      <w:proofErr w:type="gramEnd"/>
      <w:r w:rsidR="00990C3E">
        <w:t xml:space="preserve"> satisfied that these costs </w:t>
      </w:r>
      <w:r w:rsidR="00B24C0D">
        <w:t>adequately reflected the costs of delivering CAR</w:t>
      </w:r>
      <w:r w:rsidR="005C1533">
        <w:t>-T therapy in the NHS</w:t>
      </w:r>
      <w:r w:rsidR="001C09BE" w:rsidRPr="00273943">
        <w:t>.</w:t>
      </w:r>
    </w:p>
    <w:p w14:paraId="52C61693" w14:textId="31E9A1AF" w:rsidR="001C09BE" w:rsidRPr="00273943" w:rsidRDefault="001C09BE" w:rsidP="008C3E2E">
      <w:pPr>
        <w:pStyle w:val="Paragraph"/>
      </w:pPr>
      <w:r w:rsidRPr="00273943">
        <w:t xml:space="preserve">In </w:t>
      </w:r>
      <w:hyperlink r:id="rId33" w:history="1">
        <w:r w:rsidR="00EA3F6A">
          <w:rPr>
            <w:rStyle w:val="Hyperlink"/>
          </w:rPr>
          <w:t>NICE's technology appraisal guidance on intrabeam radiotherapy system for adjuvant treatment of early breast cancer (TA501)</w:t>
        </w:r>
      </w:hyperlink>
      <w:r w:rsidRPr="00273943">
        <w:t xml:space="preserve">, the committee </w:t>
      </w:r>
      <w:r w:rsidR="00EF4D12">
        <w:t>consider</w:t>
      </w:r>
      <w:r w:rsidR="00EF4D12" w:rsidRPr="00273943">
        <w:t xml:space="preserve">ed </w:t>
      </w:r>
      <w:r w:rsidR="00EF4D12">
        <w:t>whether</w:t>
      </w:r>
      <w:r w:rsidR="00EF4D12" w:rsidRPr="00273943">
        <w:t xml:space="preserve"> </w:t>
      </w:r>
      <w:r w:rsidRPr="00273943">
        <w:t xml:space="preserve">capital costs of equipment or only tariff costs for the technologies </w:t>
      </w:r>
      <w:r w:rsidR="00EF4D12">
        <w:t>should</w:t>
      </w:r>
      <w:r w:rsidRPr="00273943">
        <w:t xml:space="preserve"> be modelled.</w:t>
      </w:r>
    </w:p>
    <w:p w14:paraId="49102A39" w14:textId="1F94F270" w:rsidR="00122C70" w:rsidRPr="00E24567" w:rsidRDefault="006F0BDC" w:rsidP="008C3E2E">
      <w:pPr>
        <w:pStyle w:val="Paragraph"/>
        <w:rPr>
          <w:b/>
        </w:rPr>
      </w:pPr>
      <w:r>
        <w:t>T</w:t>
      </w:r>
      <w:r w:rsidR="003B7297">
        <w:t xml:space="preserve">his </w:t>
      </w:r>
      <w:r>
        <w:t xml:space="preserve">HTA Lab </w:t>
      </w:r>
      <w:r w:rsidR="003B7297">
        <w:t xml:space="preserve">project </w:t>
      </w:r>
      <w:r>
        <w:t xml:space="preserve">focuses </w:t>
      </w:r>
      <w:r w:rsidR="003B7297">
        <w:t xml:space="preserve">on </w:t>
      </w:r>
      <w:r w:rsidR="00617637">
        <w:t>infrastructure</w:t>
      </w:r>
      <w:r>
        <w:t xml:space="preserve"> and </w:t>
      </w:r>
      <w:r w:rsidR="00617637">
        <w:t>service redesign costs.</w:t>
      </w:r>
      <w:r w:rsidR="00720EBC">
        <w:t xml:space="preserve"> But,</w:t>
      </w:r>
      <w:r w:rsidR="00B31A4F">
        <w:t xml:space="preserve"> </w:t>
      </w:r>
      <w:r w:rsidR="00720EBC">
        <w:t>i</w:t>
      </w:r>
      <w:r w:rsidR="00B31A4F">
        <w:t>n</w:t>
      </w:r>
      <w:r w:rsidR="006B33BF">
        <w:t xml:space="preserve"> </w:t>
      </w:r>
      <w:hyperlink r:id="rId34" w:tgtFrame="_blank" w:history="1">
        <w:r w:rsidR="00EA3F6A">
          <w:rPr>
            <w:rStyle w:val="Hyperlink"/>
          </w:rPr>
          <w:t>ID4043</w:t>
        </w:r>
      </w:hyperlink>
      <w:r w:rsidR="002370E3">
        <w:t xml:space="preserve"> </w:t>
      </w:r>
      <w:r w:rsidR="001C09BE" w:rsidRPr="00273943">
        <w:t>and</w:t>
      </w:r>
      <w:r w:rsidR="002370E3">
        <w:t xml:space="preserve"> </w:t>
      </w:r>
      <w:hyperlink r:id="rId35" w:tgtFrame="_blank" w:history="1">
        <w:r w:rsidR="002370E3">
          <w:rPr>
            <w:rStyle w:val="Hyperlink"/>
          </w:rPr>
          <w:t>ID6222</w:t>
        </w:r>
      </w:hyperlink>
      <w:r w:rsidR="0059363B">
        <w:t>,</w:t>
      </w:r>
      <w:r w:rsidR="00EA3F6A">
        <w:t xml:space="preserve"> </w:t>
      </w:r>
      <w:r>
        <w:t xml:space="preserve">there were </w:t>
      </w:r>
      <w:r w:rsidR="00720EBC">
        <w:t xml:space="preserve">challenges in </w:t>
      </w:r>
      <w:r>
        <w:t>using</w:t>
      </w:r>
      <w:r w:rsidR="00720EBC">
        <w:t xml:space="preserve"> tariffs for administration costs. </w:t>
      </w:r>
      <w:r w:rsidR="001E01C3" w:rsidRPr="00DF409D">
        <w:t>Both c</w:t>
      </w:r>
      <w:r w:rsidR="008D3360" w:rsidRPr="00DF409D">
        <w:t>ompanies</w:t>
      </w:r>
      <w:r w:rsidR="001C09BE" w:rsidRPr="00DF409D">
        <w:t xml:space="preserve"> </w:t>
      </w:r>
      <w:r w:rsidR="008D3360" w:rsidRPr="00DF409D">
        <w:t>a</w:t>
      </w:r>
      <w:r w:rsidR="002708B8" w:rsidRPr="00DF409D">
        <w:t xml:space="preserve">pplied the tariff </w:t>
      </w:r>
      <w:r w:rsidR="001E01C3" w:rsidRPr="00DF409D">
        <w:t xml:space="preserve">for </w:t>
      </w:r>
      <w:r w:rsidRPr="00DF409D">
        <w:t xml:space="preserve">chemotherapy </w:t>
      </w:r>
      <w:r w:rsidR="002708B8" w:rsidRPr="00DF409D">
        <w:t>admini</w:t>
      </w:r>
      <w:r w:rsidR="001E01C3" w:rsidRPr="00DF409D">
        <w:t>stration</w:t>
      </w:r>
      <w:r>
        <w:t>. This was because</w:t>
      </w:r>
      <w:r w:rsidR="001E01C3" w:rsidRPr="00DF409D">
        <w:t xml:space="preserve"> </w:t>
      </w:r>
      <w:r w:rsidR="006E1BEE" w:rsidRPr="00DF409D">
        <w:t xml:space="preserve">these were the first treatments for Alzheimer's to be administered </w:t>
      </w:r>
      <w:r w:rsidR="00204EE8">
        <w:t>by</w:t>
      </w:r>
      <w:r w:rsidR="00204EE8" w:rsidRPr="00DF409D">
        <w:t xml:space="preserve"> </w:t>
      </w:r>
      <w:r w:rsidR="006E1BEE" w:rsidRPr="00DF409D">
        <w:t>infusion and there was no existing tariff for them.</w:t>
      </w:r>
      <w:r w:rsidR="00AF079C" w:rsidRPr="00DF409D">
        <w:t xml:space="preserve"> </w:t>
      </w:r>
      <w:r w:rsidR="00FB101B">
        <w:t>But</w:t>
      </w:r>
      <w:r w:rsidR="00AF079C" w:rsidRPr="00DF409D">
        <w:t xml:space="preserve"> </w:t>
      </w:r>
      <w:r w:rsidR="00FB101B">
        <w:t>it took multiple committee meetings to reach</w:t>
      </w:r>
      <w:r w:rsidR="00DF409D" w:rsidRPr="00DF409D">
        <w:t xml:space="preserve"> a consensus on the appropriate cost between </w:t>
      </w:r>
      <w:r w:rsidR="00425433">
        <w:t xml:space="preserve">the </w:t>
      </w:r>
      <w:r w:rsidR="00DF409D" w:rsidRPr="00DF409D">
        <w:t>compan</w:t>
      </w:r>
      <w:r w:rsidR="00425433">
        <w:t>ies’</w:t>
      </w:r>
      <w:r w:rsidR="00DF409D" w:rsidRPr="00DF409D">
        <w:t xml:space="preserve"> and NHS England</w:t>
      </w:r>
      <w:r w:rsidR="00425433">
        <w:t>’s</w:t>
      </w:r>
      <w:r w:rsidR="00DF409D" w:rsidRPr="00DF409D">
        <w:t xml:space="preserve"> estimate</w:t>
      </w:r>
      <w:r w:rsidR="00FB101B">
        <w:t>s</w:t>
      </w:r>
      <w:r w:rsidR="00425433">
        <w:t>,</w:t>
      </w:r>
      <w:r w:rsidR="00DF409D" w:rsidRPr="00DF409D">
        <w:t xml:space="preserve"> based on internal calculations.</w:t>
      </w:r>
      <w:r w:rsidR="003C605D">
        <w:t xml:space="preserve"> </w:t>
      </w:r>
      <w:r w:rsidR="00425433">
        <w:t>Also</w:t>
      </w:r>
      <w:r w:rsidR="003C605D">
        <w:t xml:space="preserve">, in these evaluations, </w:t>
      </w:r>
      <w:r w:rsidR="003C605D" w:rsidRPr="00E719C1">
        <w:t xml:space="preserve">the choice of infusion cost estimates had </w:t>
      </w:r>
      <w:r w:rsidR="00514A29" w:rsidRPr="00E719C1">
        <w:t>a considerable influence</w:t>
      </w:r>
      <w:r w:rsidR="003C605D" w:rsidRPr="00273943">
        <w:t xml:space="preserve"> on the incremental cost</w:t>
      </w:r>
      <w:r w:rsidR="0081113A">
        <w:t>-</w:t>
      </w:r>
      <w:r w:rsidR="003C605D" w:rsidRPr="00273943">
        <w:t xml:space="preserve">effectiveness ratio. </w:t>
      </w:r>
      <w:proofErr w:type="gramStart"/>
      <w:r w:rsidR="00A307A3">
        <w:t>B</w:t>
      </w:r>
      <w:r w:rsidR="003C605D">
        <w:t>oth</w:t>
      </w:r>
      <w:r w:rsidR="003C605D" w:rsidRPr="00273943">
        <w:t xml:space="preserve"> </w:t>
      </w:r>
      <w:r w:rsidR="00A307A3">
        <w:t xml:space="preserve">of </w:t>
      </w:r>
      <w:r w:rsidR="003143DF">
        <w:t xml:space="preserve">the </w:t>
      </w:r>
      <w:r w:rsidR="003C605D" w:rsidRPr="00273943">
        <w:t>technologies</w:t>
      </w:r>
      <w:proofErr w:type="gramEnd"/>
      <w:r w:rsidR="003C605D" w:rsidRPr="00273943">
        <w:t xml:space="preserve"> were cost</w:t>
      </w:r>
      <w:r w:rsidR="00626350">
        <w:t xml:space="preserve"> </w:t>
      </w:r>
      <w:r w:rsidR="003C605D" w:rsidRPr="00273943">
        <w:t xml:space="preserve">ineffective at zero or very low prices </w:t>
      </w:r>
      <w:r w:rsidR="003C605D">
        <w:t>in some modelling scenarios that included the</w:t>
      </w:r>
      <w:r w:rsidR="003C605D" w:rsidRPr="00273943">
        <w:t xml:space="preserve"> preferred infusion cost </w:t>
      </w:r>
      <w:r w:rsidR="003C605D">
        <w:t>estimates with specific groups of assumptions</w:t>
      </w:r>
      <w:r w:rsidR="000E5003">
        <w:t>.</w:t>
      </w:r>
    </w:p>
    <w:p w14:paraId="4F4B8E84" w14:textId="1C1DD7F4" w:rsidR="00122C70" w:rsidRPr="00122C70" w:rsidRDefault="00E81405" w:rsidP="008C3E2E">
      <w:pPr>
        <w:pStyle w:val="Numberedheading2"/>
      </w:pPr>
      <w:bookmarkStart w:id="64" w:name="_Toc221098033"/>
      <w:r>
        <w:t>I</w:t>
      </w:r>
      <w:r w:rsidR="00122C70" w:rsidRPr="00122C70">
        <w:t xml:space="preserve">mplementation costs </w:t>
      </w:r>
      <w:r>
        <w:t>with</w:t>
      </w:r>
      <w:r w:rsidR="00122C70" w:rsidRPr="00122C70">
        <w:t xml:space="preserve">in changing NHS services or </w:t>
      </w:r>
      <w:r w:rsidR="002024E4">
        <w:t xml:space="preserve">when there is </w:t>
      </w:r>
      <w:r w:rsidR="00122C70" w:rsidRPr="00122C70">
        <w:t>uncertainty</w:t>
      </w:r>
      <w:bookmarkEnd w:id="64"/>
    </w:p>
    <w:p w14:paraId="20A74F66" w14:textId="753E4BBA" w:rsidR="00122C70" w:rsidRDefault="00EA3F6A" w:rsidP="008C3E2E">
      <w:pPr>
        <w:pStyle w:val="Paragraph"/>
      </w:pPr>
      <w:hyperlink r:id="rId36">
        <w:r>
          <w:rPr>
            <w:rStyle w:val="Hyperlink"/>
          </w:rPr>
          <w:t xml:space="preserve">NICE's technology appraisal guidance on nirmatrelvir plus ritonavir, sotrovimab and tocilizumab for treating COVID-19 </w:t>
        </w:r>
        <w:r w:rsidR="00630FC7">
          <w:rPr>
            <w:rStyle w:val="Hyperlink"/>
          </w:rPr>
          <w:t>(</w:t>
        </w:r>
        <w:r>
          <w:rPr>
            <w:rStyle w:val="Hyperlink"/>
          </w:rPr>
          <w:t>TA87</w:t>
        </w:r>
        <w:r w:rsidR="00630FC7">
          <w:rPr>
            <w:rStyle w:val="Hyperlink"/>
          </w:rPr>
          <w:t>8)</w:t>
        </w:r>
      </w:hyperlink>
      <w:r w:rsidR="00630FC7">
        <w:t xml:space="preserve"> was a partial review. T</w:t>
      </w:r>
      <w:r w:rsidR="29A13234">
        <w:t xml:space="preserve">he committee was aware </w:t>
      </w:r>
      <w:r w:rsidR="004109D2">
        <w:t xml:space="preserve">of </w:t>
      </w:r>
      <w:r w:rsidR="00630FC7">
        <w:t xml:space="preserve">the </w:t>
      </w:r>
      <w:r w:rsidR="29A13234">
        <w:t xml:space="preserve">end of free </w:t>
      </w:r>
      <w:r w:rsidR="00630FC7">
        <w:t xml:space="preserve">COVID-19 </w:t>
      </w:r>
      <w:r w:rsidR="29A13234">
        <w:t xml:space="preserve">testing and the </w:t>
      </w:r>
      <w:r w:rsidR="00630FC7">
        <w:t xml:space="preserve">closure </w:t>
      </w:r>
      <w:r w:rsidR="29A13234">
        <w:t>of C</w:t>
      </w:r>
      <w:r w:rsidR="38F019E0">
        <w:t>OVID</w:t>
      </w:r>
      <w:r w:rsidR="29A13234">
        <w:t>-19 medicines delivery units</w:t>
      </w:r>
      <w:r w:rsidR="004109D2">
        <w:t>. It thought that this</w:t>
      </w:r>
      <w:r w:rsidR="29A13234">
        <w:t xml:space="preserve"> could complicate </w:t>
      </w:r>
      <w:r w:rsidR="004109D2">
        <w:t xml:space="preserve">the </w:t>
      </w:r>
      <w:r w:rsidR="29A13234">
        <w:t xml:space="preserve">identification of people needing treatment and treatment </w:t>
      </w:r>
      <w:proofErr w:type="gramStart"/>
      <w:r w:rsidR="29A13234">
        <w:t>delivery</w:t>
      </w:r>
      <w:r w:rsidR="002024E4">
        <w:t>,</w:t>
      </w:r>
      <w:r w:rsidR="29A13234">
        <w:t xml:space="preserve"> and</w:t>
      </w:r>
      <w:proofErr w:type="gramEnd"/>
      <w:r w:rsidR="29A13234">
        <w:t xml:space="preserve"> have cost consequences that </w:t>
      </w:r>
      <w:r w:rsidR="002024E4">
        <w:t xml:space="preserve">had </w:t>
      </w:r>
      <w:r w:rsidR="29A13234">
        <w:t xml:space="preserve">not </w:t>
      </w:r>
      <w:r w:rsidR="002024E4">
        <w:t xml:space="preserve">been </w:t>
      </w:r>
      <w:r w:rsidR="29A13234">
        <w:t>wholly incorporated in the models.</w:t>
      </w:r>
      <w:r w:rsidR="0AD2D555">
        <w:t xml:space="preserve"> The committee considered a range of administration costs in its decision making</w:t>
      </w:r>
      <w:r w:rsidR="002024E4">
        <w:t>. These</w:t>
      </w:r>
      <w:r w:rsidR="002278F2">
        <w:t xml:space="preserve"> includ</w:t>
      </w:r>
      <w:r w:rsidR="002024E4">
        <w:t>ed</w:t>
      </w:r>
      <w:r w:rsidR="00235909">
        <w:t xml:space="preserve"> some scenarios </w:t>
      </w:r>
      <w:r w:rsidR="002024E4">
        <w:t>with</w:t>
      </w:r>
      <w:r w:rsidR="00C5255E">
        <w:t xml:space="preserve"> </w:t>
      </w:r>
      <w:r w:rsidR="00235909">
        <w:t>set</w:t>
      </w:r>
      <w:r w:rsidR="002024E4">
        <w:t>-</w:t>
      </w:r>
      <w:r w:rsidR="00235909">
        <w:t>up costs</w:t>
      </w:r>
      <w:r w:rsidR="002024E4">
        <w:t>,</w:t>
      </w:r>
      <w:r w:rsidR="00235909">
        <w:t xml:space="preserve"> such as consumables and room hire</w:t>
      </w:r>
      <w:r w:rsidR="002024E4">
        <w:t>,</w:t>
      </w:r>
      <w:r w:rsidR="00235909">
        <w:t xml:space="preserve"> </w:t>
      </w:r>
      <w:r w:rsidR="002024E4">
        <w:t xml:space="preserve">which </w:t>
      </w:r>
      <w:r w:rsidR="00235909">
        <w:t xml:space="preserve">were incurred during the pandemic but would not </w:t>
      </w:r>
      <w:r w:rsidR="002024E4">
        <w:t>apply</w:t>
      </w:r>
      <w:r w:rsidR="009A6CA9">
        <w:t xml:space="preserve"> to</w:t>
      </w:r>
      <w:r w:rsidR="00235909">
        <w:t xml:space="preserve"> business-as-usual</w:t>
      </w:r>
      <w:r w:rsidR="00413A2B">
        <w:t xml:space="preserve"> </w:t>
      </w:r>
      <w:r w:rsidR="009A6CA9">
        <w:t>services</w:t>
      </w:r>
      <w:r w:rsidR="0AD2D555">
        <w:t>.</w:t>
      </w:r>
      <w:r w:rsidR="29A13234">
        <w:t xml:space="preserve"> </w:t>
      </w:r>
      <w:r w:rsidR="00FF673C">
        <w:t xml:space="preserve">The committee </w:t>
      </w:r>
      <w:r w:rsidR="00C950E3">
        <w:t>for</w:t>
      </w:r>
      <w:r w:rsidR="00FF673C">
        <w:t xml:space="preserve"> </w:t>
      </w:r>
      <w:hyperlink r:id="rId37">
        <w:r>
          <w:rPr>
            <w:rStyle w:val="Hyperlink"/>
          </w:rPr>
          <w:t>NICE's technology appraisal guidance on tirzepatide</w:t>
        </w:r>
        <w:r w:rsidR="007F3C54">
          <w:rPr>
            <w:rStyle w:val="Hyperlink"/>
          </w:rPr>
          <w:t xml:space="preserve"> </w:t>
        </w:r>
        <w:r>
          <w:rPr>
            <w:rStyle w:val="Hyperlink"/>
          </w:rPr>
          <w:t>for managing overweight and obesity (TA1026)</w:t>
        </w:r>
      </w:hyperlink>
      <w:r w:rsidR="002024E4">
        <w:t xml:space="preserve"> </w:t>
      </w:r>
      <w:r w:rsidR="29A13234">
        <w:t>consider</w:t>
      </w:r>
      <w:r w:rsidR="002024E4">
        <w:t>ed</w:t>
      </w:r>
      <w:r w:rsidR="29A13234">
        <w:t xml:space="preserve"> the</w:t>
      </w:r>
      <w:r w:rsidR="007F3C54">
        <w:t xml:space="preserve"> </w:t>
      </w:r>
      <w:r w:rsidR="29A13234">
        <w:t>lack of certainty around the weight management support needed to introduce the technology</w:t>
      </w:r>
      <w:r w:rsidR="002024E4">
        <w:t>.</w:t>
      </w:r>
      <w:r w:rsidR="29A13234">
        <w:t xml:space="preserve"> </w:t>
      </w:r>
      <w:r w:rsidR="007F3C54">
        <w:t>It also</w:t>
      </w:r>
      <w:r w:rsidR="29A13234">
        <w:t xml:space="preserve"> </w:t>
      </w:r>
      <w:r w:rsidR="00FF673C">
        <w:t>consider</w:t>
      </w:r>
      <w:r w:rsidR="00BE087C">
        <w:t>ed</w:t>
      </w:r>
      <w:r w:rsidR="29A13234">
        <w:t xml:space="preserve"> different scenarios </w:t>
      </w:r>
      <w:r w:rsidR="00FF673C">
        <w:t xml:space="preserve">that reflected </w:t>
      </w:r>
      <w:r w:rsidR="29A13234">
        <w:t xml:space="preserve">different (costs of) weight management services </w:t>
      </w:r>
      <w:r w:rsidR="00BE087C">
        <w:t>in its decision making</w:t>
      </w:r>
      <w:r w:rsidR="29A13234">
        <w:t>.</w:t>
      </w:r>
    </w:p>
    <w:p w14:paraId="4D0B1ACD" w14:textId="514F8881" w:rsidR="00B52832" w:rsidRPr="00B52832" w:rsidRDefault="00BE087C" w:rsidP="008C3E2E">
      <w:pPr>
        <w:pStyle w:val="Numberedheading2"/>
      </w:pPr>
      <w:bookmarkStart w:id="65" w:name="_Toc221098034"/>
      <w:r>
        <w:t xml:space="preserve">Considering </w:t>
      </w:r>
      <w:r w:rsidR="00697ECE">
        <w:t xml:space="preserve">inequalities </w:t>
      </w:r>
      <w:r w:rsidR="003C7331">
        <w:t>related to existing services</w:t>
      </w:r>
      <w:bookmarkEnd w:id="65"/>
    </w:p>
    <w:p w14:paraId="2E3EBFB3" w14:textId="595C6FEA" w:rsidR="008B64F9" w:rsidRDefault="003C7331" w:rsidP="008C3E2E">
      <w:pPr>
        <w:pStyle w:val="Paragraph"/>
      </w:pPr>
      <w:r w:rsidRPr="003C7331">
        <w:t>Some evaluations mentioned inequalities across clinical areas and geography when discussing investments or service redesign</w:t>
      </w:r>
      <w:r>
        <w:t xml:space="preserve">. </w:t>
      </w:r>
      <w:r w:rsidR="00B07190">
        <w:t>In</w:t>
      </w:r>
      <w:r w:rsidR="00EA3F6A">
        <w:t xml:space="preserve"> </w:t>
      </w:r>
      <w:hyperlink r:id="rId38" w:anchor="other-factors" w:history="1">
        <w:r w:rsidR="004F0445">
          <w:rPr>
            <w:rStyle w:val="Hyperlink"/>
          </w:rPr>
          <w:t>TA854</w:t>
        </w:r>
      </w:hyperlink>
      <w:r w:rsidR="003878E3">
        <w:t>,</w:t>
      </w:r>
      <w:r w:rsidR="00C7206D">
        <w:t xml:space="preserve"> the</w:t>
      </w:r>
      <w:r w:rsidR="000E13FB">
        <w:t xml:space="preserve">re was </w:t>
      </w:r>
      <w:r w:rsidR="004A7388">
        <w:t xml:space="preserve">a </w:t>
      </w:r>
      <w:r w:rsidR="000E13FB">
        <w:t xml:space="preserve">discussion about the ongoing </w:t>
      </w:r>
      <w:r w:rsidR="004313C1">
        <w:t>underinvestment in mental health services</w:t>
      </w:r>
      <w:r w:rsidR="00C163C9">
        <w:t xml:space="preserve">. </w:t>
      </w:r>
      <w:r w:rsidR="004A7388">
        <w:t xml:space="preserve">The company proposed </w:t>
      </w:r>
      <w:r w:rsidR="00201E92">
        <w:t xml:space="preserve">that investments could </w:t>
      </w:r>
      <w:r w:rsidR="0065014E">
        <w:t>help move towards parity of esteem between physical and mental health</w:t>
      </w:r>
      <w:r w:rsidR="004A7388">
        <w:t xml:space="preserve">. </w:t>
      </w:r>
      <w:r w:rsidR="00F967E3">
        <w:t xml:space="preserve">It said </w:t>
      </w:r>
      <w:r w:rsidR="008A4E2A">
        <w:t>that</w:t>
      </w:r>
      <w:r w:rsidR="00625A2F">
        <w:t xml:space="preserve"> many people with </w:t>
      </w:r>
      <w:r w:rsidR="00F967E3">
        <w:t>treatment-resistant depression</w:t>
      </w:r>
      <w:r w:rsidR="00693A92">
        <w:t xml:space="preserve"> could not access </w:t>
      </w:r>
      <w:r w:rsidR="00F967E3">
        <w:t xml:space="preserve">the </w:t>
      </w:r>
      <w:r w:rsidR="00693A92">
        <w:t>services</w:t>
      </w:r>
      <w:r w:rsidR="00F967E3">
        <w:t xml:space="preserve"> that they need</w:t>
      </w:r>
      <w:r w:rsidR="00693A92">
        <w:t xml:space="preserve">. </w:t>
      </w:r>
      <w:r w:rsidR="0065014E">
        <w:t>The committee</w:t>
      </w:r>
      <w:r w:rsidR="00693A92">
        <w:t xml:space="preserve"> </w:t>
      </w:r>
      <w:r w:rsidR="00034CB1">
        <w:t xml:space="preserve">noted </w:t>
      </w:r>
      <w:r w:rsidR="003147C9">
        <w:t xml:space="preserve">the </w:t>
      </w:r>
      <w:r w:rsidR="00034CB1">
        <w:t>responsibility</w:t>
      </w:r>
      <w:r w:rsidR="00432427">
        <w:t xml:space="preserve"> </w:t>
      </w:r>
      <w:r w:rsidR="003147C9">
        <w:t>of the NHS for</w:t>
      </w:r>
      <w:r w:rsidR="00F34134">
        <w:t xml:space="preserve"> par</w:t>
      </w:r>
      <w:r w:rsidR="000648AB">
        <w:t>ity of esteem</w:t>
      </w:r>
      <w:r w:rsidR="000A458B">
        <w:t>,</w:t>
      </w:r>
      <w:r w:rsidR="000648AB">
        <w:t xml:space="preserve"> funding </w:t>
      </w:r>
      <w:r w:rsidR="00CD4858">
        <w:t>issues</w:t>
      </w:r>
      <w:r w:rsidR="0059329C">
        <w:t xml:space="preserve"> in mental health</w:t>
      </w:r>
      <w:r w:rsidR="00E95B8B">
        <w:t xml:space="preserve"> services</w:t>
      </w:r>
      <w:r w:rsidR="000A458B">
        <w:t xml:space="preserve"> and </w:t>
      </w:r>
      <w:r w:rsidR="00B153D2">
        <w:t>geographical inequalities in treatment access</w:t>
      </w:r>
      <w:r w:rsidR="003147C9">
        <w:t>.</w:t>
      </w:r>
      <w:r w:rsidR="000A458B">
        <w:t xml:space="preserve"> </w:t>
      </w:r>
      <w:r w:rsidR="003147C9">
        <w:t>B</w:t>
      </w:r>
      <w:r w:rsidR="000A458B" w:rsidRPr="00654790">
        <w:t xml:space="preserve">ut </w:t>
      </w:r>
      <w:r w:rsidR="003147C9">
        <w:t>it said</w:t>
      </w:r>
      <w:r w:rsidR="003147C9" w:rsidRPr="00654790">
        <w:t xml:space="preserve"> </w:t>
      </w:r>
      <w:r w:rsidR="001B11B3" w:rsidRPr="00654790">
        <w:t xml:space="preserve">that </w:t>
      </w:r>
      <w:r w:rsidR="001D04DD" w:rsidRPr="00654790">
        <w:t xml:space="preserve">equity in access </w:t>
      </w:r>
      <w:r w:rsidR="000A458B" w:rsidRPr="00654790">
        <w:t xml:space="preserve">could not be addressed </w:t>
      </w:r>
      <w:r w:rsidR="00B153D2" w:rsidRPr="00654790">
        <w:t>in the evaluation.</w:t>
      </w:r>
    </w:p>
    <w:p w14:paraId="70BE8AEB" w14:textId="1CE4AA3F" w:rsidR="003A6C1D" w:rsidRDefault="003147C9" w:rsidP="008C3E2E">
      <w:pPr>
        <w:pStyle w:val="Paragraph"/>
      </w:pPr>
      <w:r>
        <w:t>I</w:t>
      </w:r>
      <w:r w:rsidR="007D2722">
        <w:t>n</w:t>
      </w:r>
      <w:r w:rsidR="00B52832">
        <w:t xml:space="preserve"> </w:t>
      </w:r>
      <w:hyperlink r:id="rId39" w:anchor="treatment-pathway-for-overweight-and-obesity-in-the-nhs" w:history="1">
        <w:r w:rsidR="00EA3F6A">
          <w:rPr>
            <w:rStyle w:val="Hyperlink"/>
          </w:rPr>
          <w:t>TA1026</w:t>
        </w:r>
      </w:hyperlink>
      <w:r w:rsidR="005C0035">
        <w:t>,</w:t>
      </w:r>
      <w:r w:rsidR="00B52832">
        <w:t xml:space="preserve"> the committee noted geographical variation in overweight and obesity services</w:t>
      </w:r>
      <w:r w:rsidR="007F3C54">
        <w:t>,</w:t>
      </w:r>
      <w:r w:rsidR="00B52832">
        <w:t xml:space="preserve"> and mismatches between availability and need in certain locations. </w:t>
      </w:r>
      <w:r w:rsidR="008B64F9">
        <w:t xml:space="preserve">As noted in section </w:t>
      </w:r>
      <w:r w:rsidR="00C851A5">
        <w:t>4</w:t>
      </w:r>
      <w:r w:rsidR="008B64F9">
        <w:t>.</w:t>
      </w:r>
      <w:r w:rsidR="00A34084">
        <w:t>4</w:t>
      </w:r>
      <w:r w:rsidR="00C851A5">
        <w:t xml:space="preserve"> of this appendix</w:t>
      </w:r>
      <w:r w:rsidR="008B64F9">
        <w:t>, the committee</w:t>
      </w:r>
      <w:r w:rsidR="00B75F14">
        <w:t xml:space="preserve"> explored the cost</w:t>
      </w:r>
      <w:r w:rsidR="0012012B">
        <w:t xml:space="preserve"> </w:t>
      </w:r>
      <w:r w:rsidR="00B75F14">
        <w:t xml:space="preserve">effectiveness of the technology </w:t>
      </w:r>
      <w:r w:rsidR="002A6749">
        <w:t xml:space="preserve">using a range of </w:t>
      </w:r>
      <w:r w:rsidR="007D2722">
        <w:t>service configurations</w:t>
      </w:r>
      <w:r w:rsidR="0012012B">
        <w:t>.</w:t>
      </w:r>
      <w:r w:rsidR="007D2722">
        <w:t xml:space="preserve"> </w:t>
      </w:r>
      <w:r w:rsidR="0012012B">
        <w:t>B</w:t>
      </w:r>
      <w:r w:rsidR="007D2722">
        <w:t xml:space="preserve">ut the committee </w:t>
      </w:r>
      <w:r w:rsidR="00B52832">
        <w:t xml:space="preserve">also highlighted that making recommendations </w:t>
      </w:r>
      <w:r w:rsidR="0012012B">
        <w:t xml:space="preserve">on </w:t>
      </w:r>
      <w:r w:rsidR="00B52832">
        <w:t>services was not within its remit.</w:t>
      </w:r>
    </w:p>
    <w:p w14:paraId="66F6FAE8" w14:textId="26875E8F" w:rsidR="00077AD4" w:rsidRDefault="00077AD4" w:rsidP="00F01F44">
      <w:pPr>
        <w:pStyle w:val="Numberedheading1"/>
        <w:ind w:left="720" w:hanging="720"/>
      </w:pPr>
      <w:bookmarkStart w:id="66" w:name="_Toc221098035"/>
      <w:r>
        <w:t>Conclusions</w:t>
      </w:r>
      <w:bookmarkEnd w:id="66"/>
    </w:p>
    <w:p w14:paraId="5B4E644D" w14:textId="13D6FADC" w:rsidR="00077AD4" w:rsidRDefault="00077AD4" w:rsidP="008C3E2E">
      <w:pPr>
        <w:pStyle w:val="Paragraph"/>
      </w:pPr>
      <w:r>
        <w:t xml:space="preserve">This </w:t>
      </w:r>
      <w:r w:rsidR="0051515C">
        <w:t xml:space="preserve">targeted review </w:t>
      </w:r>
      <w:r w:rsidR="00C53565">
        <w:t xml:space="preserve">has </w:t>
      </w:r>
      <w:r w:rsidR="00E3755C">
        <w:t>found that</w:t>
      </w:r>
      <w:r w:rsidR="00DE4611">
        <w:t xml:space="preserve"> </w:t>
      </w:r>
      <w:r w:rsidR="0012012B">
        <w:t xml:space="preserve">some </w:t>
      </w:r>
      <w:r w:rsidR="00DE4611">
        <w:t xml:space="preserve">evaluations excluded specific implementation costs from the </w:t>
      </w:r>
      <w:r w:rsidR="0012012B">
        <w:t xml:space="preserve">economic </w:t>
      </w:r>
      <w:r w:rsidR="00DE4611">
        <w:t xml:space="preserve">model. It </w:t>
      </w:r>
      <w:r w:rsidR="00C53565">
        <w:t xml:space="preserve">has </w:t>
      </w:r>
      <w:r w:rsidR="00DE4611">
        <w:t xml:space="preserve">also </w:t>
      </w:r>
      <w:r w:rsidR="00C53565">
        <w:t xml:space="preserve">shown </w:t>
      </w:r>
      <w:r w:rsidR="006B0AAD">
        <w:t xml:space="preserve">that different evaluations </w:t>
      </w:r>
      <w:r w:rsidR="006012A2">
        <w:t>placed different levels of importance on</w:t>
      </w:r>
      <w:r w:rsidR="002A2D95">
        <w:t xml:space="preserve"> implementation costs</w:t>
      </w:r>
      <w:r w:rsidR="006012A2">
        <w:t>.</w:t>
      </w:r>
      <w:r w:rsidR="002A2D95">
        <w:t xml:space="preserve"> </w:t>
      </w:r>
      <w:r w:rsidR="00C53565">
        <w:t>It has also highlighted</w:t>
      </w:r>
      <w:r w:rsidR="001E6277">
        <w:t xml:space="preserve"> </w:t>
      </w:r>
      <w:r w:rsidR="002A2D95">
        <w:t xml:space="preserve">challenges around </w:t>
      </w:r>
      <w:r w:rsidR="00005482">
        <w:t>using</w:t>
      </w:r>
      <w:r w:rsidR="002A2D95">
        <w:t xml:space="preserve"> </w:t>
      </w:r>
      <w:proofErr w:type="gramStart"/>
      <w:r w:rsidR="002A2D95">
        <w:t>tariffs</w:t>
      </w:r>
      <w:r w:rsidR="00A145B4">
        <w:t>,</w:t>
      </w:r>
      <w:r w:rsidR="002A2D95">
        <w:t xml:space="preserve"> </w:t>
      </w:r>
      <w:r w:rsidR="001E6277">
        <w:t>and</w:t>
      </w:r>
      <w:proofErr w:type="gramEnd"/>
      <w:r w:rsidR="00FC5B34">
        <w:t xml:space="preserve"> assess</w:t>
      </w:r>
      <w:r w:rsidR="007A5951">
        <w:t>ing</w:t>
      </w:r>
      <w:r w:rsidR="00FC5B34">
        <w:t xml:space="preserve"> </w:t>
      </w:r>
      <w:r w:rsidR="00024E76">
        <w:t>implementation costs</w:t>
      </w:r>
      <w:r w:rsidR="00263145">
        <w:t xml:space="preserve"> in changing or uncertain services</w:t>
      </w:r>
      <w:r w:rsidR="001E6277">
        <w:t xml:space="preserve">. </w:t>
      </w:r>
      <w:r w:rsidR="00A145B4">
        <w:t>In addition</w:t>
      </w:r>
      <w:r w:rsidR="004D02CE">
        <w:t xml:space="preserve">, it </w:t>
      </w:r>
      <w:r w:rsidR="007A5951">
        <w:t xml:space="preserve">has </w:t>
      </w:r>
      <w:r w:rsidR="004D02CE">
        <w:t>highlighted</w:t>
      </w:r>
      <w:r w:rsidR="00192CA9">
        <w:t xml:space="preserve"> how inequalities across geography or clinical areas </w:t>
      </w:r>
      <w:r w:rsidR="00DE4611">
        <w:t>are sometimes</w:t>
      </w:r>
      <w:r w:rsidR="00B94FD6">
        <w:t xml:space="preserve"> discussed in relation to service redesign or </w:t>
      </w:r>
      <w:r w:rsidR="00DE4611">
        <w:t>investments in services</w:t>
      </w:r>
      <w:r w:rsidR="00C63380">
        <w:t>.</w:t>
      </w:r>
    </w:p>
    <w:p w14:paraId="3696323A" w14:textId="11D357AF" w:rsidR="002B4F3E" w:rsidRPr="007469CC" w:rsidRDefault="2B1A0A96" w:rsidP="008C3E2E">
      <w:pPr>
        <w:pStyle w:val="Paragraph"/>
      </w:pPr>
      <w:r>
        <w:t>As noted</w:t>
      </w:r>
      <w:r w:rsidR="00005FD0">
        <w:t>,</w:t>
      </w:r>
      <w:r w:rsidR="00033E7C">
        <w:t xml:space="preserve"> </w:t>
      </w:r>
      <w:r w:rsidR="39E993E7">
        <w:t xml:space="preserve">it is not always possible to </w:t>
      </w:r>
      <w:r w:rsidR="00005FD0">
        <w:t xml:space="preserve">determine </w:t>
      </w:r>
      <w:r w:rsidR="00033E7C">
        <w:t>from the</w:t>
      </w:r>
      <w:r w:rsidR="00A145B4">
        <w:t xml:space="preserve"> NICE technology appraisals or highly specialised technologies</w:t>
      </w:r>
      <w:r w:rsidR="00033E7C">
        <w:t xml:space="preserve"> guidance</w:t>
      </w:r>
      <w:r w:rsidR="39E993E7">
        <w:t xml:space="preserve"> </w:t>
      </w:r>
      <w:r w:rsidR="00CB7284">
        <w:t xml:space="preserve">whether </w:t>
      </w:r>
      <w:r w:rsidR="005A71F3">
        <w:t xml:space="preserve">and how </w:t>
      </w:r>
      <w:r w:rsidR="39E993E7">
        <w:t xml:space="preserve">implementation costs were </w:t>
      </w:r>
      <w:r w:rsidR="005A71F3">
        <w:t xml:space="preserve">included in </w:t>
      </w:r>
      <w:r w:rsidR="00A145B4">
        <w:t xml:space="preserve">a </w:t>
      </w:r>
      <w:r w:rsidR="005A71F3">
        <w:t>committee</w:t>
      </w:r>
      <w:r w:rsidR="00A145B4">
        <w:t>’s</w:t>
      </w:r>
      <w:r w:rsidR="00033E7C">
        <w:t xml:space="preserve"> </w:t>
      </w:r>
      <w:r w:rsidR="005A71F3">
        <w:t>decision making</w:t>
      </w:r>
      <w:r w:rsidR="39E993E7">
        <w:t xml:space="preserve">. </w:t>
      </w:r>
      <w:r w:rsidR="009702E8">
        <w:t>With a</w:t>
      </w:r>
      <w:r w:rsidR="39E993E7">
        <w:t xml:space="preserve"> more </w:t>
      </w:r>
      <w:r w:rsidR="592C4B90">
        <w:t>standardised</w:t>
      </w:r>
      <w:r w:rsidR="731197A1">
        <w:t xml:space="preserve"> </w:t>
      </w:r>
      <w:r w:rsidR="04EF4191">
        <w:t>approach to addressing</w:t>
      </w:r>
      <w:r w:rsidR="2175636D">
        <w:t xml:space="preserve"> implementation</w:t>
      </w:r>
      <w:r w:rsidR="731197A1">
        <w:t xml:space="preserve"> costs</w:t>
      </w:r>
      <w:r w:rsidR="009702E8">
        <w:t>,</w:t>
      </w:r>
      <w:r w:rsidR="731197A1">
        <w:t xml:space="preserve"> </w:t>
      </w:r>
      <w:r w:rsidR="009702E8">
        <w:t xml:space="preserve">we would be able to see </w:t>
      </w:r>
      <w:r w:rsidR="72680855">
        <w:t>the</w:t>
      </w:r>
      <w:r w:rsidR="5B947DF9">
        <w:t xml:space="preserve"> extent to </w:t>
      </w:r>
      <w:r w:rsidR="5204F722">
        <w:t xml:space="preserve">which </w:t>
      </w:r>
      <w:r w:rsidR="00005FD0">
        <w:t xml:space="preserve">committee decisions consider </w:t>
      </w:r>
      <w:r w:rsidR="009702E8">
        <w:t>these</w:t>
      </w:r>
      <w:r w:rsidR="00CB7284">
        <w:t>.</w:t>
      </w:r>
      <w:r w:rsidR="11AB5395">
        <w:t xml:space="preserve"> </w:t>
      </w:r>
      <w:r w:rsidR="00CB7284">
        <w:t>S</w:t>
      </w:r>
      <w:r w:rsidR="5E798A5F">
        <w:t xml:space="preserve">ee </w:t>
      </w:r>
      <w:r w:rsidR="00CB7284">
        <w:t xml:space="preserve">the </w:t>
      </w:r>
      <w:r w:rsidR="5E798A5F">
        <w:t xml:space="preserve">main </w:t>
      </w:r>
      <w:r w:rsidR="00CB7284">
        <w:t xml:space="preserve">HTA Lab </w:t>
      </w:r>
      <w:r w:rsidR="5E798A5F">
        <w:t xml:space="preserve">report for </w:t>
      </w:r>
      <w:r w:rsidR="00CB7284">
        <w:t xml:space="preserve">our </w:t>
      </w:r>
      <w:r w:rsidR="5E798A5F">
        <w:t>recommendations</w:t>
      </w:r>
      <w:r w:rsidR="72680855">
        <w:t>.</w:t>
      </w:r>
    </w:p>
    <w:sectPr w:rsidR="002B4F3E" w:rsidRPr="007469CC" w:rsidSect="002B4F3E">
      <w:headerReference w:type="default" r:id="rId4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53D55" w14:textId="77777777" w:rsidR="00FD6672" w:rsidRDefault="00FD6672" w:rsidP="00446BEE">
      <w:r>
        <w:separator/>
      </w:r>
    </w:p>
  </w:endnote>
  <w:endnote w:type="continuationSeparator" w:id="0">
    <w:p w14:paraId="1FC9FF71" w14:textId="77777777" w:rsidR="00FD6672" w:rsidRDefault="00FD6672" w:rsidP="00446BEE">
      <w:r>
        <w:continuationSeparator/>
      </w:r>
    </w:p>
  </w:endnote>
  <w:endnote w:type="continuationNotice" w:id="1">
    <w:p w14:paraId="37C0C4AF" w14:textId="77777777" w:rsidR="00FD6672" w:rsidRDefault="00FD6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2FF" w:usb1="1200A1FF" w:usb2="00000001" w:usb3="00000000" w:csb0="0000019F" w:csb1="00000000"/>
  </w:font>
  <w:font w:name="MS Mincho">
    <w:panose1 w:val="02020609040205080304"/>
    <w:charset w:val="80"/>
    <w:family w:val="modern"/>
    <w:pitch w:val="fixed"/>
    <w:sig w:usb0="E00002FF" w:usb1="6AC7FDFB" w:usb2="08000012" w:usb3="00000000" w:csb0="0002009F" w:csb1="00000000"/>
  </w:font>
  <w:font w:name="Lora SemiBold">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0907" w14:textId="0DB951A4" w:rsidR="00E57AE6" w:rsidRDefault="00E57AE6" w:rsidP="5DD8AEA6">
    <w:pPr>
      <w:tabs>
        <w:tab w:val="right" w:pos="8306"/>
      </w:tabs>
      <w:spacing w:after="240"/>
      <w:rPr>
        <w:rFonts w:ascii="Arial" w:hAnsi="Arial"/>
        <w:color w:val="000000"/>
        <w:sz w:val="18"/>
        <w:szCs w:val="18"/>
      </w:rPr>
    </w:pPr>
    <w:r w:rsidRPr="00E57AE6">
      <w:rPr>
        <w:rFonts w:ascii="Arial" w:hAnsi="Arial" w:cs="Arial"/>
      </w:rPr>
      <w:fldChar w:fldCharType="begin"/>
    </w:r>
    <w:r w:rsidRPr="00E57AE6">
      <w:rPr>
        <w:rFonts w:ascii="Arial" w:hAnsi="Arial" w:cs="Arial"/>
      </w:rPr>
      <w:instrText xml:space="preserve"> PAGE </w:instrText>
    </w:r>
    <w:r w:rsidRPr="00E57AE6">
      <w:rPr>
        <w:rFonts w:ascii="Arial" w:hAnsi="Arial" w:cs="Arial"/>
      </w:rPr>
      <w:fldChar w:fldCharType="separate"/>
    </w:r>
    <w:r w:rsidR="5DD8AEA6">
      <w:rPr>
        <w:rFonts w:ascii="Arial" w:hAnsi="Arial" w:cs="Arial"/>
      </w:rPr>
      <w:t>3</w:t>
    </w:r>
    <w:r w:rsidRPr="00E57AE6">
      <w:rPr>
        <w:rFonts w:ascii="Arial" w:hAnsi="Arial" w:cs="Arial"/>
      </w:rPr>
      <w:fldChar w:fldCharType="end"/>
    </w:r>
    <w:r w:rsidR="5DD8AEA6" w:rsidRPr="00E57AE6">
      <w:rPr>
        <w:rFonts w:ascii="Arial" w:hAnsi="Arial" w:cs="Arial"/>
      </w:rPr>
      <w:t xml:space="preserve"> of </w:t>
    </w:r>
    <w:r w:rsidRPr="00E57AE6">
      <w:rPr>
        <w:rFonts w:ascii="Arial" w:hAnsi="Arial" w:cs="Arial"/>
      </w:rPr>
      <w:fldChar w:fldCharType="begin"/>
    </w:r>
    <w:r w:rsidRPr="00E57AE6">
      <w:rPr>
        <w:rFonts w:ascii="Arial" w:hAnsi="Arial" w:cs="Arial"/>
      </w:rPr>
      <w:instrText>NUMPAGES</w:instrText>
    </w:r>
    <w:r w:rsidRPr="00E57AE6">
      <w:rPr>
        <w:rFonts w:ascii="Arial" w:hAnsi="Arial" w:cs="Arial"/>
      </w:rPr>
      <w:fldChar w:fldCharType="separate"/>
    </w:r>
    <w:r w:rsidR="5DD8AEA6">
      <w:rPr>
        <w:rFonts w:ascii="Arial" w:hAnsi="Arial" w:cs="Arial"/>
      </w:rPr>
      <w:t>4</w:t>
    </w:r>
    <w:r w:rsidRPr="00E57AE6">
      <w:rPr>
        <w:rFonts w:ascii="Arial" w:hAnsi="Arial" w:cs="Arial"/>
      </w:rPr>
      <w:fldChar w:fldCharType="end"/>
    </w:r>
  </w:p>
  <w:p w14:paraId="004DF1E9" w14:textId="2E6FCE21" w:rsidR="007400D7" w:rsidRPr="007400D7" w:rsidRDefault="42753707" w:rsidP="00E57AE6">
    <w:pPr>
      <w:tabs>
        <w:tab w:val="right" w:pos="8306"/>
      </w:tabs>
      <w:spacing w:after="240"/>
      <w:rPr>
        <w:rFonts w:ascii="Arial" w:hAnsi="Arial" w:cs="Arial"/>
        <w:color w:val="000000"/>
        <w:sz w:val="18"/>
        <w:szCs w:val="18"/>
      </w:rPr>
    </w:pPr>
    <w:r w:rsidRPr="42753707">
      <w:rPr>
        <w:rFonts w:ascii="Arial" w:hAnsi="Arial"/>
        <w:color w:val="000000" w:themeColor="text1"/>
        <w:sz w:val="18"/>
        <w:szCs w:val="18"/>
      </w:rPr>
      <w:t>© NICE 202</w:t>
    </w:r>
    <w:r w:rsidR="00D66789">
      <w:rPr>
        <w:rFonts w:ascii="Arial" w:hAnsi="Arial"/>
        <w:color w:val="000000" w:themeColor="text1"/>
        <w:sz w:val="18"/>
        <w:szCs w:val="18"/>
      </w:rPr>
      <w:t>6</w:t>
    </w:r>
    <w:r w:rsidRPr="42753707">
      <w:rPr>
        <w:rFonts w:ascii="Arial" w:hAnsi="Arial"/>
        <w:color w:val="000000" w:themeColor="text1"/>
        <w:sz w:val="18"/>
        <w:szCs w:val="18"/>
      </w:rPr>
      <w:t xml:space="preserve">. All rights reserved. Subject to </w:t>
    </w:r>
    <w:hyperlink r:id="rId1" w:anchor="notice-of-rights" w:history="1">
      <w:r w:rsidRPr="007C6CEC">
        <w:rPr>
          <w:rStyle w:val="Hyperlink"/>
          <w:rFonts w:ascii="Arial" w:hAnsi="Arial"/>
          <w:sz w:val="18"/>
          <w:szCs w:val="18"/>
        </w:rPr>
        <w:t>Notice of rights</w:t>
      </w:r>
    </w:hyperlink>
    <w:r w:rsidRPr="42753707">
      <w:rPr>
        <w:rFonts w:ascii="Arial" w:hAnsi="Arial"/>
        <w:color w:val="000000" w:themeColor="text1"/>
        <w:sz w:val="18"/>
        <w:szCs w:val="18"/>
      </w:rPr>
      <w:t>.</w:t>
    </w:r>
    <w:r w:rsidR="5DD8AEA6">
      <w:tab/>
    </w:r>
  </w:p>
  <w:p w14:paraId="15E3AE4D" w14:textId="7D847F59" w:rsidR="00155680" w:rsidRDefault="00155680" w:rsidP="00155680">
    <w:pPr>
      <w:pStyle w:val="Footer"/>
      <w:rPr>
        <w:color w:val="000000" w:themeColor="text1"/>
        <w:sz w:val="18"/>
        <w:szCs w:val="18"/>
      </w:rPr>
    </w:pPr>
    <w:r w:rsidRPr="00155680">
      <w:rPr>
        <w:color w:val="000000" w:themeColor="text1"/>
        <w:sz w:val="18"/>
        <w:szCs w:val="18"/>
      </w:rPr>
      <w:t xml:space="preserve">Infrastructure and service redesign: examining the methods for capturing implementation costs- </w:t>
    </w:r>
    <w:r w:rsidR="00D66789">
      <w:rPr>
        <w:color w:val="000000" w:themeColor="text1"/>
        <w:sz w:val="18"/>
        <w:szCs w:val="18"/>
      </w:rPr>
      <w:t>Appendix B</w:t>
    </w:r>
    <w:r w:rsidR="00222297">
      <w:rPr>
        <w:color w:val="000000" w:themeColor="text1"/>
        <w:sz w:val="18"/>
        <w:szCs w:val="18"/>
      </w:rPr>
      <w:t xml:space="preserve"> </w:t>
    </w:r>
  </w:p>
  <w:p w14:paraId="49461CE2" w14:textId="56681B9F" w:rsidR="007400D7" w:rsidRPr="00B75946" w:rsidRDefault="00905C51" w:rsidP="00155680">
    <w:pPr>
      <w:pStyle w:val="Footer"/>
      <w:rPr>
        <w:color w:val="000000"/>
        <w:sz w:val="18"/>
        <w:szCs w:val="18"/>
        <w:highlight w:val="yellow"/>
      </w:rPr>
    </w:pPr>
    <w:r>
      <w:rPr>
        <w:color w:val="000000" w:themeColor="text1"/>
        <w:sz w:val="18"/>
        <w:szCs w:val="18"/>
      </w:rPr>
      <w:t>June</w:t>
    </w:r>
    <w:r w:rsidR="00CE35C5">
      <w:rPr>
        <w:color w:val="000000" w:themeColor="text1"/>
        <w:sz w:val="18"/>
        <w:szCs w:val="18"/>
      </w:rPr>
      <w:t xml:space="preserve"> 2</w:t>
    </w:r>
    <w:r w:rsidR="00155680" w:rsidRPr="00155680">
      <w:rPr>
        <w:color w:val="000000" w:themeColor="text1"/>
        <w:sz w:val="18"/>
        <w:szCs w:val="18"/>
      </w:rPr>
      <w:t>026</w:t>
    </w:r>
  </w:p>
  <w:p w14:paraId="339F88C0" w14:textId="644CFEAD" w:rsidR="00E57AE6" w:rsidRPr="00E57AE6" w:rsidRDefault="00E57AE6" w:rsidP="3392959B">
    <w:pPr>
      <w:pStyle w:val="Footer"/>
      <w:rPr>
        <w:sz w:val="12"/>
        <w:szCs w:val="12"/>
        <w:highlight w:val="yell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C039" w14:textId="4CE9597D" w:rsidR="008E7826" w:rsidRDefault="008E7826" w:rsidP="0007747A">
    <w:pPr>
      <w:pStyle w:val="Footer"/>
      <w:jc w:val="center"/>
    </w:pPr>
    <w:r w:rsidRPr="008E7826">
      <w:fldChar w:fldCharType="begin"/>
    </w:r>
    <w:r w:rsidRPr="008E7826">
      <w:instrText xml:space="preserve"> PAGE </w:instrText>
    </w:r>
    <w:r w:rsidRPr="008E7826">
      <w:fldChar w:fldCharType="separate"/>
    </w:r>
    <w:r w:rsidRPr="008E7826">
      <w:rPr>
        <w:noProof/>
      </w:rPr>
      <w:t>2</w:t>
    </w:r>
    <w:r w:rsidRPr="008E7826">
      <w:fldChar w:fldCharType="end"/>
    </w:r>
    <w:r w:rsidRPr="008E7826">
      <w:t xml:space="preserve"> of </w:t>
    </w:r>
    <w:r>
      <w:fldChar w:fldCharType="begin"/>
    </w:r>
    <w:r>
      <w:instrText>NUMPAGES</w:instrText>
    </w:r>
    <w:r>
      <w:fldChar w:fldCharType="separate"/>
    </w:r>
    <w:r w:rsidRPr="008E78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94372" w14:textId="77777777" w:rsidR="00FD6672" w:rsidRDefault="00FD6672" w:rsidP="00446BEE">
      <w:r>
        <w:separator/>
      </w:r>
    </w:p>
  </w:footnote>
  <w:footnote w:type="continuationSeparator" w:id="0">
    <w:p w14:paraId="3F44EF02" w14:textId="77777777" w:rsidR="00FD6672" w:rsidRDefault="00FD6672" w:rsidP="00446BEE">
      <w:r>
        <w:continuationSeparator/>
      </w:r>
    </w:p>
  </w:footnote>
  <w:footnote w:type="continuationNotice" w:id="1">
    <w:p w14:paraId="43E6AF72" w14:textId="77777777" w:rsidR="00FD6672" w:rsidRDefault="00FD66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1E4890D0" w14:textId="77777777" w:rsidTr="5DD8AEA6">
      <w:trPr>
        <w:trHeight w:val="300"/>
      </w:trPr>
      <w:tc>
        <w:tcPr>
          <w:tcW w:w="2765" w:type="dxa"/>
        </w:tcPr>
        <w:p w14:paraId="528DF69F" w14:textId="77777777" w:rsidR="5DD8AEA6" w:rsidRDefault="5DD8AEA6" w:rsidP="5DD8AEA6">
          <w:pPr>
            <w:pStyle w:val="Header"/>
            <w:ind w:left="-115"/>
          </w:pPr>
        </w:p>
      </w:tc>
      <w:tc>
        <w:tcPr>
          <w:tcW w:w="2765" w:type="dxa"/>
        </w:tcPr>
        <w:p w14:paraId="1624F8F7" w14:textId="532BEFD6" w:rsidR="5DD8AEA6" w:rsidRDefault="5DD8AEA6" w:rsidP="5DD8AEA6">
          <w:pPr>
            <w:pStyle w:val="Header"/>
            <w:jc w:val="center"/>
          </w:pPr>
        </w:p>
      </w:tc>
      <w:tc>
        <w:tcPr>
          <w:tcW w:w="2765" w:type="dxa"/>
        </w:tcPr>
        <w:p w14:paraId="52A55157" w14:textId="7C8E3608" w:rsidR="5DD8AEA6" w:rsidRDefault="5DD8AEA6" w:rsidP="5DD8AEA6">
          <w:pPr>
            <w:pStyle w:val="Header"/>
            <w:ind w:right="-115"/>
            <w:jc w:val="right"/>
          </w:pPr>
        </w:p>
      </w:tc>
    </w:tr>
  </w:tbl>
  <w:p w14:paraId="739027A6" w14:textId="021D9D5C" w:rsidR="5DD8AEA6" w:rsidRDefault="5DD8AEA6" w:rsidP="5DD8A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0030" w14:textId="77777777" w:rsidR="008F6FB7" w:rsidRDefault="008F6FB7">
    <w:pPr>
      <w:pStyle w:val="Header"/>
    </w:pPr>
    <w:r>
      <w:rPr>
        <w:noProof/>
      </w:rPr>
      <w:drawing>
        <wp:anchor distT="0" distB="0" distL="114300" distR="114300" simplePos="0" relativeHeight="251658240" behindDoc="0" locked="0" layoutInCell="1" allowOverlap="1" wp14:anchorId="09DFF5BE" wp14:editId="6FE31FF0">
          <wp:simplePos x="0" y="0"/>
          <wp:positionH relativeFrom="column">
            <wp:posOffset>0</wp:posOffset>
          </wp:positionH>
          <wp:positionV relativeFrom="page">
            <wp:posOffset>447675</wp:posOffset>
          </wp:positionV>
          <wp:extent cx="2444400" cy="252000"/>
          <wp:effectExtent l="0" t="0" r="0" b="0"/>
          <wp:wrapNone/>
          <wp:docPr id="2009290667" name="Picture 2009290667"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3AD7090D" w14:textId="77777777" w:rsidTr="5DD8AEA6">
      <w:trPr>
        <w:trHeight w:val="300"/>
      </w:trPr>
      <w:tc>
        <w:tcPr>
          <w:tcW w:w="2765" w:type="dxa"/>
        </w:tcPr>
        <w:p w14:paraId="6D48A4D3" w14:textId="2E8A55F2" w:rsidR="5DD8AEA6" w:rsidRDefault="5DD8AEA6" w:rsidP="5DD8AEA6">
          <w:pPr>
            <w:pStyle w:val="Header"/>
            <w:ind w:left="-115"/>
          </w:pPr>
        </w:p>
      </w:tc>
      <w:tc>
        <w:tcPr>
          <w:tcW w:w="2765" w:type="dxa"/>
        </w:tcPr>
        <w:p w14:paraId="6690EB49" w14:textId="2E9FFA49" w:rsidR="5DD8AEA6" w:rsidRDefault="5DD8AEA6" w:rsidP="5DD8AEA6">
          <w:pPr>
            <w:pStyle w:val="Header"/>
            <w:jc w:val="center"/>
          </w:pPr>
        </w:p>
      </w:tc>
      <w:tc>
        <w:tcPr>
          <w:tcW w:w="2765" w:type="dxa"/>
        </w:tcPr>
        <w:p w14:paraId="5718B597" w14:textId="551C1D60" w:rsidR="5DD8AEA6" w:rsidRDefault="5DD8AEA6" w:rsidP="5DD8AEA6">
          <w:pPr>
            <w:pStyle w:val="Header"/>
            <w:ind w:right="-115"/>
            <w:jc w:val="right"/>
          </w:pPr>
        </w:p>
      </w:tc>
    </w:tr>
  </w:tbl>
  <w:p w14:paraId="29FD1648" w14:textId="5FF26952" w:rsidR="5DD8AEA6" w:rsidRDefault="5DD8AEA6" w:rsidP="5DD8AE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1C18297C" w14:textId="77777777" w:rsidTr="5DD8AEA6">
      <w:trPr>
        <w:trHeight w:val="300"/>
      </w:trPr>
      <w:tc>
        <w:tcPr>
          <w:tcW w:w="2765" w:type="dxa"/>
        </w:tcPr>
        <w:p w14:paraId="04CB7BCE" w14:textId="52B2E3A0" w:rsidR="5DD8AEA6" w:rsidRPr="0067144D" w:rsidRDefault="5DD8AEA6" w:rsidP="5DD8AEA6">
          <w:pPr>
            <w:pStyle w:val="Header"/>
            <w:ind w:left="-115"/>
            <w:rPr>
              <w:b/>
              <w:bCs/>
            </w:rPr>
          </w:pPr>
        </w:p>
      </w:tc>
      <w:tc>
        <w:tcPr>
          <w:tcW w:w="2765" w:type="dxa"/>
        </w:tcPr>
        <w:p w14:paraId="49C5B1E1" w14:textId="25EE81F6" w:rsidR="5DD8AEA6" w:rsidRDefault="5DD8AEA6" w:rsidP="5DD8AEA6">
          <w:pPr>
            <w:pStyle w:val="Header"/>
            <w:jc w:val="center"/>
          </w:pPr>
        </w:p>
      </w:tc>
      <w:tc>
        <w:tcPr>
          <w:tcW w:w="2765" w:type="dxa"/>
        </w:tcPr>
        <w:p w14:paraId="52B458A8" w14:textId="74F20C05" w:rsidR="5DD8AEA6" w:rsidRDefault="5DD8AEA6" w:rsidP="5DD8AEA6">
          <w:pPr>
            <w:pStyle w:val="Header"/>
            <w:ind w:right="-115"/>
            <w:jc w:val="right"/>
          </w:pPr>
        </w:p>
      </w:tc>
    </w:tr>
  </w:tbl>
  <w:p w14:paraId="67EBBC3F" w14:textId="34FE9CC0" w:rsidR="5DD8AEA6" w:rsidRDefault="5DD8AEA6" w:rsidP="00013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2602544"/>
    <w:multiLevelType w:val="hybridMultilevel"/>
    <w:tmpl w:val="B21A1354"/>
    <w:lvl w:ilvl="0" w:tplc="DA34882C">
      <w:start w:val="1"/>
      <w:numFmt w:val="bullet"/>
      <w:lvlText w:val=""/>
      <w:lvlJc w:val="left"/>
      <w:pPr>
        <w:ind w:left="1000" w:hanging="360"/>
      </w:pPr>
      <w:rPr>
        <w:rFonts w:ascii="Symbol" w:hAnsi="Symbol"/>
      </w:rPr>
    </w:lvl>
    <w:lvl w:ilvl="1" w:tplc="A998DE10">
      <w:start w:val="1"/>
      <w:numFmt w:val="bullet"/>
      <w:lvlText w:val=""/>
      <w:lvlJc w:val="left"/>
      <w:pPr>
        <w:ind w:left="1000" w:hanging="360"/>
      </w:pPr>
      <w:rPr>
        <w:rFonts w:ascii="Symbol" w:hAnsi="Symbol"/>
      </w:rPr>
    </w:lvl>
    <w:lvl w:ilvl="2" w:tplc="8DBC0DE2">
      <w:start w:val="1"/>
      <w:numFmt w:val="bullet"/>
      <w:lvlText w:val=""/>
      <w:lvlJc w:val="left"/>
      <w:pPr>
        <w:ind w:left="1000" w:hanging="360"/>
      </w:pPr>
      <w:rPr>
        <w:rFonts w:ascii="Symbol" w:hAnsi="Symbol"/>
      </w:rPr>
    </w:lvl>
    <w:lvl w:ilvl="3" w:tplc="1A2A11C0">
      <w:start w:val="1"/>
      <w:numFmt w:val="bullet"/>
      <w:lvlText w:val=""/>
      <w:lvlJc w:val="left"/>
      <w:pPr>
        <w:ind w:left="1000" w:hanging="360"/>
      </w:pPr>
      <w:rPr>
        <w:rFonts w:ascii="Symbol" w:hAnsi="Symbol"/>
      </w:rPr>
    </w:lvl>
    <w:lvl w:ilvl="4" w:tplc="776E248E">
      <w:start w:val="1"/>
      <w:numFmt w:val="bullet"/>
      <w:lvlText w:val=""/>
      <w:lvlJc w:val="left"/>
      <w:pPr>
        <w:ind w:left="1000" w:hanging="360"/>
      </w:pPr>
      <w:rPr>
        <w:rFonts w:ascii="Symbol" w:hAnsi="Symbol"/>
      </w:rPr>
    </w:lvl>
    <w:lvl w:ilvl="5" w:tplc="D8EC59C0">
      <w:start w:val="1"/>
      <w:numFmt w:val="bullet"/>
      <w:lvlText w:val=""/>
      <w:lvlJc w:val="left"/>
      <w:pPr>
        <w:ind w:left="1000" w:hanging="360"/>
      </w:pPr>
      <w:rPr>
        <w:rFonts w:ascii="Symbol" w:hAnsi="Symbol"/>
      </w:rPr>
    </w:lvl>
    <w:lvl w:ilvl="6" w:tplc="7FA2D660">
      <w:start w:val="1"/>
      <w:numFmt w:val="bullet"/>
      <w:lvlText w:val=""/>
      <w:lvlJc w:val="left"/>
      <w:pPr>
        <w:ind w:left="1000" w:hanging="360"/>
      </w:pPr>
      <w:rPr>
        <w:rFonts w:ascii="Symbol" w:hAnsi="Symbol"/>
      </w:rPr>
    </w:lvl>
    <w:lvl w:ilvl="7" w:tplc="AD8EA3EC">
      <w:start w:val="1"/>
      <w:numFmt w:val="bullet"/>
      <w:lvlText w:val=""/>
      <w:lvlJc w:val="left"/>
      <w:pPr>
        <w:ind w:left="1000" w:hanging="360"/>
      </w:pPr>
      <w:rPr>
        <w:rFonts w:ascii="Symbol" w:hAnsi="Symbol"/>
      </w:rPr>
    </w:lvl>
    <w:lvl w:ilvl="8" w:tplc="22B8585A">
      <w:start w:val="1"/>
      <w:numFmt w:val="bullet"/>
      <w:lvlText w:val=""/>
      <w:lvlJc w:val="left"/>
      <w:pPr>
        <w:ind w:left="1000" w:hanging="360"/>
      </w:pPr>
      <w:rPr>
        <w:rFonts w:ascii="Symbol" w:hAnsi="Symbol"/>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C3584"/>
    <w:multiLevelType w:val="multilevel"/>
    <w:tmpl w:val="8D464F12"/>
    <w:lvl w:ilvl="0">
      <w:start w:val="1"/>
      <w:numFmt w:val="decimal"/>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b w:val="0"/>
        <w:bCs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las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50BD18BA"/>
    <w:multiLevelType w:val="multilevel"/>
    <w:tmpl w:val="7CE6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9C93D14"/>
    <w:multiLevelType w:val="hybridMultilevel"/>
    <w:tmpl w:val="554CD630"/>
    <w:lvl w:ilvl="0" w:tplc="99140A6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CD535E"/>
    <w:multiLevelType w:val="multilevel"/>
    <w:tmpl w:val="2C3AFD5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985"/>
        </w:tabs>
        <w:ind w:left="1985"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696F2189"/>
    <w:multiLevelType w:val="hybridMultilevel"/>
    <w:tmpl w:val="7DD6DEFA"/>
    <w:lvl w:ilvl="0" w:tplc="B20870AC">
      <w:start w:val="1"/>
      <w:numFmt w:val="bullet"/>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9" w15:restartNumberingAfterBreak="0">
    <w:nsid w:val="7A2E0962"/>
    <w:multiLevelType w:val="multilevel"/>
    <w:tmpl w:val="5698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9716702">
    <w:abstractNumId w:val="12"/>
  </w:num>
  <w:num w:numId="2" w16cid:durableId="1595244151">
    <w:abstractNumId w:val="17"/>
  </w:num>
  <w:num w:numId="3" w16cid:durableId="368646558">
    <w:abstractNumId w:val="6"/>
  </w:num>
  <w:num w:numId="4" w16cid:durableId="534393170">
    <w:abstractNumId w:val="15"/>
  </w:num>
  <w:num w:numId="5" w16cid:durableId="609512517">
    <w:abstractNumId w:val="18"/>
  </w:num>
  <w:num w:numId="6" w16cid:durableId="1428035579">
    <w:abstractNumId w:val="7"/>
  </w:num>
  <w:num w:numId="7" w16cid:durableId="1570847782">
    <w:abstractNumId w:val="19"/>
  </w:num>
  <w:num w:numId="8" w16cid:durableId="1720128968">
    <w:abstractNumId w:val="10"/>
  </w:num>
  <w:num w:numId="9" w16cid:durableId="10464143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07478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9578225">
    <w:abstractNumId w:val="7"/>
  </w:num>
  <w:num w:numId="12" w16cid:durableId="1940066939">
    <w:abstractNumId w:val="7"/>
  </w:num>
  <w:num w:numId="13" w16cid:durableId="4405342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0718631">
    <w:abstractNumId w:val="7"/>
  </w:num>
  <w:num w:numId="15" w16cid:durableId="3500336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4032480">
    <w:abstractNumId w:val="7"/>
  </w:num>
  <w:num w:numId="17" w16cid:durableId="15589346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8004589">
    <w:abstractNumId w:val="7"/>
  </w:num>
  <w:num w:numId="19" w16cid:durableId="1485510660">
    <w:abstractNumId w:val="0"/>
  </w:num>
  <w:num w:numId="20" w16cid:durableId="2002196544">
    <w:abstractNumId w:val="5"/>
  </w:num>
  <w:num w:numId="21" w16cid:durableId="1963994703">
    <w:abstractNumId w:val="8"/>
  </w:num>
  <w:num w:numId="22" w16cid:durableId="1468744360">
    <w:abstractNumId w:val="9"/>
  </w:num>
  <w:num w:numId="23" w16cid:durableId="1775133225">
    <w:abstractNumId w:val="9"/>
  </w:num>
  <w:num w:numId="24" w16cid:durableId="127207257">
    <w:abstractNumId w:val="3"/>
  </w:num>
  <w:num w:numId="25" w16cid:durableId="79063451">
    <w:abstractNumId w:val="4"/>
  </w:num>
  <w:num w:numId="26" w16cid:durableId="948702188">
    <w:abstractNumId w:val="1"/>
  </w:num>
  <w:num w:numId="27" w16cid:durableId="452402574">
    <w:abstractNumId w:val="16"/>
  </w:num>
  <w:num w:numId="28" w16cid:durableId="285356936">
    <w:abstractNumId w:val="7"/>
  </w:num>
  <w:num w:numId="29" w16cid:durableId="464735202">
    <w:abstractNumId w:val="7"/>
  </w:num>
  <w:num w:numId="30" w16cid:durableId="1694843742">
    <w:abstractNumId w:val="13"/>
  </w:num>
  <w:num w:numId="31" w16cid:durableId="674066206">
    <w:abstractNumId w:val="12"/>
  </w:num>
  <w:num w:numId="32" w16cid:durableId="483471737">
    <w:abstractNumId w:val="11"/>
  </w:num>
  <w:num w:numId="33" w16cid:durableId="917179998">
    <w:abstractNumId w:val="15"/>
  </w:num>
  <w:num w:numId="34" w16cid:durableId="1796370199">
    <w:abstractNumId w:val="2"/>
  </w:num>
  <w:num w:numId="35" w16cid:durableId="1722099162">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A8"/>
    <w:rsid w:val="000004BC"/>
    <w:rsid w:val="00002F00"/>
    <w:rsid w:val="00005367"/>
    <w:rsid w:val="000053F8"/>
    <w:rsid w:val="00005482"/>
    <w:rsid w:val="00005FD0"/>
    <w:rsid w:val="0000797C"/>
    <w:rsid w:val="0001306E"/>
    <w:rsid w:val="00013F4D"/>
    <w:rsid w:val="000153EB"/>
    <w:rsid w:val="0001707F"/>
    <w:rsid w:val="00017F79"/>
    <w:rsid w:val="00024D0A"/>
    <w:rsid w:val="00024E76"/>
    <w:rsid w:val="00026A72"/>
    <w:rsid w:val="00027A93"/>
    <w:rsid w:val="00033E7C"/>
    <w:rsid w:val="00034CB1"/>
    <w:rsid w:val="000408CC"/>
    <w:rsid w:val="000468A6"/>
    <w:rsid w:val="000564A3"/>
    <w:rsid w:val="00061C5A"/>
    <w:rsid w:val="000648AB"/>
    <w:rsid w:val="000653DD"/>
    <w:rsid w:val="000660BF"/>
    <w:rsid w:val="00070065"/>
    <w:rsid w:val="00071C6B"/>
    <w:rsid w:val="00076FCC"/>
    <w:rsid w:val="0007747A"/>
    <w:rsid w:val="00077AD4"/>
    <w:rsid w:val="000823AE"/>
    <w:rsid w:val="0008241C"/>
    <w:rsid w:val="00084DAB"/>
    <w:rsid w:val="00086AC2"/>
    <w:rsid w:val="00091758"/>
    <w:rsid w:val="000918F2"/>
    <w:rsid w:val="00092198"/>
    <w:rsid w:val="000931E1"/>
    <w:rsid w:val="000952BE"/>
    <w:rsid w:val="00096014"/>
    <w:rsid w:val="000A0D61"/>
    <w:rsid w:val="000A19CA"/>
    <w:rsid w:val="000A458B"/>
    <w:rsid w:val="000A4FEE"/>
    <w:rsid w:val="000A597B"/>
    <w:rsid w:val="000A60D8"/>
    <w:rsid w:val="000B23EC"/>
    <w:rsid w:val="000B5939"/>
    <w:rsid w:val="000C280C"/>
    <w:rsid w:val="000C2D6D"/>
    <w:rsid w:val="000C4F99"/>
    <w:rsid w:val="000C51A1"/>
    <w:rsid w:val="000C560F"/>
    <w:rsid w:val="000D28D8"/>
    <w:rsid w:val="000E13FB"/>
    <w:rsid w:val="000E393E"/>
    <w:rsid w:val="000E44F5"/>
    <w:rsid w:val="000E4D4E"/>
    <w:rsid w:val="000E5003"/>
    <w:rsid w:val="000E5278"/>
    <w:rsid w:val="000E7288"/>
    <w:rsid w:val="000E7EFA"/>
    <w:rsid w:val="000F2016"/>
    <w:rsid w:val="000F55CB"/>
    <w:rsid w:val="000F5B31"/>
    <w:rsid w:val="000F7BE2"/>
    <w:rsid w:val="00101558"/>
    <w:rsid w:val="001048DB"/>
    <w:rsid w:val="001050B5"/>
    <w:rsid w:val="00105F42"/>
    <w:rsid w:val="00106D66"/>
    <w:rsid w:val="00107122"/>
    <w:rsid w:val="001102C2"/>
    <w:rsid w:val="00112889"/>
    <w:rsid w:val="00112B3E"/>
    <w:rsid w:val="001134E7"/>
    <w:rsid w:val="0011544F"/>
    <w:rsid w:val="001160A2"/>
    <w:rsid w:val="0012012B"/>
    <w:rsid w:val="00120D0D"/>
    <w:rsid w:val="00121290"/>
    <w:rsid w:val="00122C70"/>
    <w:rsid w:val="001260FB"/>
    <w:rsid w:val="001261CA"/>
    <w:rsid w:val="00126973"/>
    <w:rsid w:val="00127C70"/>
    <w:rsid w:val="00131F1A"/>
    <w:rsid w:val="00132527"/>
    <w:rsid w:val="00133672"/>
    <w:rsid w:val="001336FF"/>
    <w:rsid w:val="00133E1A"/>
    <w:rsid w:val="00133E30"/>
    <w:rsid w:val="00135C00"/>
    <w:rsid w:val="00135EA1"/>
    <w:rsid w:val="00136206"/>
    <w:rsid w:val="00137C0C"/>
    <w:rsid w:val="00140286"/>
    <w:rsid w:val="0014109E"/>
    <w:rsid w:val="00141DCB"/>
    <w:rsid w:val="0014204E"/>
    <w:rsid w:val="0014256F"/>
    <w:rsid w:val="00145CE7"/>
    <w:rsid w:val="001471C1"/>
    <w:rsid w:val="00150EA5"/>
    <w:rsid w:val="001511C0"/>
    <w:rsid w:val="00152F86"/>
    <w:rsid w:val="001541AD"/>
    <w:rsid w:val="001543B7"/>
    <w:rsid w:val="00155680"/>
    <w:rsid w:val="00157BBE"/>
    <w:rsid w:val="00161231"/>
    <w:rsid w:val="0016156A"/>
    <w:rsid w:val="0016183E"/>
    <w:rsid w:val="00162517"/>
    <w:rsid w:val="001648CF"/>
    <w:rsid w:val="00165148"/>
    <w:rsid w:val="0016681F"/>
    <w:rsid w:val="001669BE"/>
    <w:rsid w:val="0017062A"/>
    <w:rsid w:val="0017169E"/>
    <w:rsid w:val="001734B5"/>
    <w:rsid w:val="00173D4C"/>
    <w:rsid w:val="00174759"/>
    <w:rsid w:val="00177CF1"/>
    <w:rsid w:val="001806A4"/>
    <w:rsid w:val="00180A9F"/>
    <w:rsid w:val="00180D21"/>
    <w:rsid w:val="0018457C"/>
    <w:rsid w:val="0019090B"/>
    <w:rsid w:val="0019121B"/>
    <w:rsid w:val="001913B0"/>
    <w:rsid w:val="00192CA9"/>
    <w:rsid w:val="001931D2"/>
    <w:rsid w:val="00195560"/>
    <w:rsid w:val="00197CA3"/>
    <w:rsid w:val="001A11E6"/>
    <w:rsid w:val="001A6635"/>
    <w:rsid w:val="001B0ABB"/>
    <w:rsid w:val="001B0EE9"/>
    <w:rsid w:val="001B11B3"/>
    <w:rsid w:val="001B173E"/>
    <w:rsid w:val="001B2A50"/>
    <w:rsid w:val="001B43CC"/>
    <w:rsid w:val="001B65B3"/>
    <w:rsid w:val="001B6CEC"/>
    <w:rsid w:val="001B6F9E"/>
    <w:rsid w:val="001C09BE"/>
    <w:rsid w:val="001D048C"/>
    <w:rsid w:val="001D04DD"/>
    <w:rsid w:val="001D06C4"/>
    <w:rsid w:val="001D1AD3"/>
    <w:rsid w:val="001D2C88"/>
    <w:rsid w:val="001D6F6A"/>
    <w:rsid w:val="001D7202"/>
    <w:rsid w:val="001E01C3"/>
    <w:rsid w:val="001E0C90"/>
    <w:rsid w:val="001E1E6C"/>
    <w:rsid w:val="001E60D6"/>
    <w:rsid w:val="001E6277"/>
    <w:rsid w:val="001E7E56"/>
    <w:rsid w:val="001F2040"/>
    <w:rsid w:val="001F475D"/>
    <w:rsid w:val="001F55A6"/>
    <w:rsid w:val="001F670E"/>
    <w:rsid w:val="001F7178"/>
    <w:rsid w:val="001F73C9"/>
    <w:rsid w:val="00200858"/>
    <w:rsid w:val="00201E92"/>
    <w:rsid w:val="002024E4"/>
    <w:rsid w:val="00204EE8"/>
    <w:rsid w:val="00207F7D"/>
    <w:rsid w:val="00212399"/>
    <w:rsid w:val="002124D5"/>
    <w:rsid w:val="00213187"/>
    <w:rsid w:val="00213544"/>
    <w:rsid w:val="00215762"/>
    <w:rsid w:val="0021615D"/>
    <w:rsid w:val="00216DF9"/>
    <w:rsid w:val="00220302"/>
    <w:rsid w:val="0022103C"/>
    <w:rsid w:val="002220F8"/>
    <w:rsid w:val="00222297"/>
    <w:rsid w:val="0022247C"/>
    <w:rsid w:val="00222A26"/>
    <w:rsid w:val="002257CF"/>
    <w:rsid w:val="002278F2"/>
    <w:rsid w:val="00230940"/>
    <w:rsid w:val="002309CA"/>
    <w:rsid w:val="00233D06"/>
    <w:rsid w:val="00235909"/>
    <w:rsid w:val="002359F7"/>
    <w:rsid w:val="002370E3"/>
    <w:rsid w:val="0023780B"/>
    <w:rsid w:val="002408EA"/>
    <w:rsid w:val="00241679"/>
    <w:rsid w:val="002444C6"/>
    <w:rsid w:val="00246C8A"/>
    <w:rsid w:val="00247918"/>
    <w:rsid w:val="00250693"/>
    <w:rsid w:val="0025101C"/>
    <w:rsid w:val="002539B0"/>
    <w:rsid w:val="002544AD"/>
    <w:rsid w:val="0025603E"/>
    <w:rsid w:val="002610B3"/>
    <w:rsid w:val="0026293D"/>
    <w:rsid w:val="00263145"/>
    <w:rsid w:val="002708B8"/>
    <w:rsid w:val="00272235"/>
    <w:rsid w:val="00273043"/>
    <w:rsid w:val="002735B1"/>
    <w:rsid w:val="0027566A"/>
    <w:rsid w:val="00281699"/>
    <w:rsid w:val="002819D7"/>
    <w:rsid w:val="00281FD5"/>
    <w:rsid w:val="00284C17"/>
    <w:rsid w:val="00287008"/>
    <w:rsid w:val="00287C0A"/>
    <w:rsid w:val="002910D4"/>
    <w:rsid w:val="00291337"/>
    <w:rsid w:val="002914D8"/>
    <w:rsid w:val="00292672"/>
    <w:rsid w:val="0029370C"/>
    <w:rsid w:val="00294F60"/>
    <w:rsid w:val="002A0D65"/>
    <w:rsid w:val="002A105E"/>
    <w:rsid w:val="002A2D95"/>
    <w:rsid w:val="002A6749"/>
    <w:rsid w:val="002B1DAE"/>
    <w:rsid w:val="002B278D"/>
    <w:rsid w:val="002B37FF"/>
    <w:rsid w:val="002B4776"/>
    <w:rsid w:val="002B4F3E"/>
    <w:rsid w:val="002B5F19"/>
    <w:rsid w:val="002B66B6"/>
    <w:rsid w:val="002C1A7E"/>
    <w:rsid w:val="002C1EF1"/>
    <w:rsid w:val="002C2A43"/>
    <w:rsid w:val="002C3050"/>
    <w:rsid w:val="002C4A23"/>
    <w:rsid w:val="002C6C02"/>
    <w:rsid w:val="002D23A1"/>
    <w:rsid w:val="002D3376"/>
    <w:rsid w:val="002D339C"/>
    <w:rsid w:val="002D398F"/>
    <w:rsid w:val="002D44C8"/>
    <w:rsid w:val="002D4C23"/>
    <w:rsid w:val="002D5B6C"/>
    <w:rsid w:val="002E0005"/>
    <w:rsid w:val="002E0EF1"/>
    <w:rsid w:val="002E2970"/>
    <w:rsid w:val="002E51D1"/>
    <w:rsid w:val="002E5713"/>
    <w:rsid w:val="002F3FF5"/>
    <w:rsid w:val="002F4346"/>
    <w:rsid w:val="002F4A0A"/>
    <w:rsid w:val="002F6CBC"/>
    <w:rsid w:val="0030327A"/>
    <w:rsid w:val="003044A9"/>
    <w:rsid w:val="0030554D"/>
    <w:rsid w:val="003118B2"/>
    <w:rsid w:val="00311ED0"/>
    <w:rsid w:val="00311FB4"/>
    <w:rsid w:val="00313CE9"/>
    <w:rsid w:val="003143DF"/>
    <w:rsid w:val="003147C9"/>
    <w:rsid w:val="0031613F"/>
    <w:rsid w:val="00325353"/>
    <w:rsid w:val="003260E4"/>
    <w:rsid w:val="00330CBB"/>
    <w:rsid w:val="003336F0"/>
    <w:rsid w:val="00335C0C"/>
    <w:rsid w:val="00341E34"/>
    <w:rsid w:val="00343CF1"/>
    <w:rsid w:val="00344278"/>
    <w:rsid w:val="00350AFB"/>
    <w:rsid w:val="0035149E"/>
    <w:rsid w:val="00356AD3"/>
    <w:rsid w:val="0036183A"/>
    <w:rsid w:val="003644D8"/>
    <w:rsid w:val="003648C5"/>
    <w:rsid w:val="003702D1"/>
    <w:rsid w:val="00370DBE"/>
    <w:rsid w:val="00371A7E"/>
    <w:rsid w:val="003722FA"/>
    <w:rsid w:val="003730F3"/>
    <w:rsid w:val="00373E7F"/>
    <w:rsid w:val="00374DAD"/>
    <w:rsid w:val="00382734"/>
    <w:rsid w:val="003849B4"/>
    <w:rsid w:val="00386AB1"/>
    <w:rsid w:val="003878E3"/>
    <w:rsid w:val="00387B27"/>
    <w:rsid w:val="003921D1"/>
    <w:rsid w:val="00392819"/>
    <w:rsid w:val="003928EE"/>
    <w:rsid w:val="003952D7"/>
    <w:rsid w:val="00397383"/>
    <w:rsid w:val="003A0151"/>
    <w:rsid w:val="003A61DC"/>
    <w:rsid w:val="003A6C1D"/>
    <w:rsid w:val="003A742A"/>
    <w:rsid w:val="003B1C60"/>
    <w:rsid w:val="003B2ACE"/>
    <w:rsid w:val="003B647B"/>
    <w:rsid w:val="003B7297"/>
    <w:rsid w:val="003C1EA2"/>
    <w:rsid w:val="003C605D"/>
    <w:rsid w:val="003C6CA2"/>
    <w:rsid w:val="003C7331"/>
    <w:rsid w:val="003C7AAF"/>
    <w:rsid w:val="003D1491"/>
    <w:rsid w:val="003D189A"/>
    <w:rsid w:val="003D1C1A"/>
    <w:rsid w:val="003D1E4F"/>
    <w:rsid w:val="003D3861"/>
    <w:rsid w:val="003D498B"/>
    <w:rsid w:val="003D4E56"/>
    <w:rsid w:val="003E1D7C"/>
    <w:rsid w:val="003E1F30"/>
    <w:rsid w:val="003E2FD8"/>
    <w:rsid w:val="003E3077"/>
    <w:rsid w:val="003E3A1A"/>
    <w:rsid w:val="003E74E7"/>
    <w:rsid w:val="003E7AFE"/>
    <w:rsid w:val="003F0A04"/>
    <w:rsid w:val="003F1C1C"/>
    <w:rsid w:val="003F23E6"/>
    <w:rsid w:val="003F36DF"/>
    <w:rsid w:val="003F54B9"/>
    <w:rsid w:val="003F6CEC"/>
    <w:rsid w:val="00401C03"/>
    <w:rsid w:val="00402227"/>
    <w:rsid w:val="00403BDB"/>
    <w:rsid w:val="00404EAD"/>
    <w:rsid w:val="00405D68"/>
    <w:rsid w:val="004075B6"/>
    <w:rsid w:val="00407E61"/>
    <w:rsid w:val="004109D2"/>
    <w:rsid w:val="00413A2B"/>
    <w:rsid w:val="00416BB7"/>
    <w:rsid w:val="00420952"/>
    <w:rsid w:val="004215E5"/>
    <w:rsid w:val="00425433"/>
    <w:rsid w:val="004257C0"/>
    <w:rsid w:val="00426032"/>
    <w:rsid w:val="0042620D"/>
    <w:rsid w:val="00426C41"/>
    <w:rsid w:val="004271CB"/>
    <w:rsid w:val="0042792E"/>
    <w:rsid w:val="00427EA6"/>
    <w:rsid w:val="004313C1"/>
    <w:rsid w:val="00432427"/>
    <w:rsid w:val="00434FF3"/>
    <w:rsid w:val="00441221"/>
    <w:rsid w:val="00443384"/>
    <w:rsid w:val="00443FFA"/>
    <w:rsid w:val="00444DFB"/>
    <w:rsid w:val="00446BEE"/>
    <w:rsid w:val="00450D84"/>
    <w:rsid w:val="00451924"/>
    <w:rsid w:val="00452E30"/>
    <w:rsid w:val="00452F82"/>
    <w:rsid w:val="00453CA0"/>
    <w:rsid w:val="00464508"/>
    <w:rsid w:val="004651E8"/>
    <w:rsid w:val="00467060"/>
    <w:rsid w:val="00467517"/>
    <w:rsid w:val="004702D5"/>
    <w:rsid w:val="00473A40"/>
    <w:rsid w:val="00473F68"/>
    <w:rsid w:val="004753FB"/>
    <w:rsid w:val="0047687C"/>
    <w:rsid w:val="00476A50"/>
    <w:rsid w:val="00477C6E"/>
    <w:rsid w:val="0048078B"/>
    <w:rsid w:val="00482333"/>
    <w:rsid w:val="00483325"/>
    <w:rsid w:val="00484498"/>
    <w:rsid w:val="0048623B"/>
    <w:rsid w:val="00490F94"/>
    <w:rsid w:val="00492A85"/>
    <w:rsid w:val="0049373E"/>
    <w:rsid w:val="00494018"/>
    <w:rsid w:val="004A00D1"/>
    <w:rsid w:val="004A30D1"/>
    <w:rsid w:val="004A4B4F"/>
    <w:rsid w:val="004A4C2C"/>
    <w:rsid w:val="004A588A"/>
    <w:rsid w:val="004A66AD"/>
    <w:rsid w:val="004A7388"/>
    <w:rsid w:val="004A73E8"/>
    <w:rsid w:val="004B377A"/>
    <w:rsid w:val="004B4414"/>
    <w:rsid w:val="004B675C"/>
    <w:rsid w:val="004B6B53"/>
    <w:rsid w:val="004B7AA8"/>
    <w:rsid w:val="004C0D7B"/>
    <w:rsid w:val="004C132A"/>
    <w:rsid w:val="004C4B42"/>
    <w:rsid w:val="004C4D72"/>
    <w:rsid w:val="004C70F4"/>
    <w:rsid w:val="004D02CE"/>
    <w:rsid w:val="004D1A2F"/>
    <w:rsid w:val="004D27B7"/>
    <w:rsid w:val="004E22FC"/>
    <w:rsid w:val="004E268A"/>
    <w:rsid w:val="004E5CD7"/>
    <w:rsid w:val="004E671C"/>
    <w:rsid w:val="004E7061"/>
    <w:rsid w:val="004F0445"/>
    <w:rsid w:val="004F3270"/>
    <w:rsid w:val="004F4C19"/>
    <w:rsid w:val="004F52B6"/>
    <w:rsid w:val="004F63A2"/>
    <w:rsid w:val="005014BC"/>
    <w:rsid w:val="005020ED"/>
    <w:rsid w:val="0050256D"/>
    <w:rsid w:val="005025A1"/>
    <w:rsid w:val="00504C08"/>
    <w:rsid w:val="005054BD"/>
    <w:rsid w:val="00505F43"/>
    <w:rsid w:val="00507B08"/>
    <w:rsid w:val="00511930"/>
    <w:rsid w:val="005124C6"/>
    <w:rsid w:val="00512C1B"/>
    <w:rsid w:val="00512D10"/>
    <w:rsid w:val="0051346A"/>
    <w:rsid w:val="00514A29"/>
    <w:rsid w:val="0051515C"/>
    <w:rsid w:val="005151DB"/>
    <w:rsid w:val="005154CC"/>
    <w:rsid w:val="00515BF3"/>
    <w:rsid w:val="00515C22"/>
    <w:rsid w:val="00516133"/>
    <w:rsid w:val="00517F89"/>
    <w:rsid w:val="00520168"/>
    <w:rsid w:val="00520F1D"/>
    <w:rsid w:val="00525928"/>
    <w:rsid w:val="00525A2F"/>
    <w:rsid w:val="00527B8A"/>
    <w:rsid w:val="0053124C"/>
    <w:rsid w:val="005317C6"/>
    <w:rsid w:val="005322CB"/>
    <w:rsid w:val="00534334"/>
    <w:rsid w:val="00534AFE"/>
    <w:rsid w:val="00535AC8"/>
    <w:rsid w:val="00535B56"/>
    <w:rsid w:val="00536AE0"/>
    <w:rsid w:val="00537648"/>
    <w:rsid w:val="00545759"/>
    <w:rsid w:val="005460DD"/>
    <w:rsid w:val="005461C1"/>
    <w:rsid w:val="00547FB3"/>
    <w:rsid w:val="00550FBA"/>
    <w:rsid w:val="005510CA"/>
    <w:rsid w:val="00552DD9"/>
    <w:rsid w:val="005539AC"/>
    <w:rsid w:val="005547EB"/>
    <w:rsid w:val="005557C0"/>
    <w:rsid w:val="00563574"/>
    <w:rsid w:val="0056788F"/>
    <w:rsid w:val="00570BB1"/>
    <w:rsid w:val="0057153E"/>
    <w:rsid w:val="00573E51"/>
    <w:rsid w:val="00573EDA"/>
    <w:rsid w:val="00574499"/>
    <w:rsid w:val="00576A61"/>
    <w:rsid w:val="00577A0C"/>
    <w:rsid w:val="00577A0F"/>
    <w:rsid w:val="00581E79"/>
    <w:rsid w:val="005821F0"/>
    <w:rsid w:val="005826E5"/>
    <w:rsid w:val="00584EA7"/>
    <w:rsid w:val="00584FC6"/>
    <w:rsid w:val="00591AC4"/>
    <w:rsid w:val="00591B37"/>
    <w:rsid w:val="00592A94"/>
    <w:rsid w:val="0059329C"/>
    <w:rsid w:val="0059363B"/>
    <w:rsid w:val="00594C3A"/>
    <w:rsid w:val="00594FFD"/>
    <w:rsid w:val="005952B3"/>
    <w:rsid w:val="005A02D5"/>
    <w:rsid w:val="005A2197"/>
    <w:rsid w:val="005A31A0"/>
    <w:rsid w:val="005A71F3"/>
    <w:rsid w:val="005B35E1"/>
    <w:rsid w:val="005B5669"/>
    <w:rsid w:val="005C0035"/>
    <w:rsid w:val="005C0839"/>
    <w:rsid w:val="005C1533"/>
    <w:rsid w:val="005C33C3"/>
    <w:rsid w:val="005C3E1B"/>
    <w:rsid w:val="005C5BCC"/>
    <w:rsid w:val="005C63B0"/>
    <w:rsid w:val="005D4C95"/>
    <w:rsid w:val="005D52D0"/>
    <w:rsid w:val="005D5EAE"/>
    <w:rsid w:val="005E1D01"/>
    <w:rsid w:val="005E38CC"/>
    <w:rsid w:val="005E41DE"/>
    <w:rsid w:val="005E6963"/>
    <w:rsid w:val="005E71A7"/>
    <w:rsid w:val="005E7D48"/>
    <w:rsid w:val="005F3A31"/>
    <w:rsid w:val="00600430"/>
    <w:rsid w:val="006012A2"/>
    <w:rsid w:val="006017A3"/>
    <w:rsid w:val="00603551"/>
    <w:rsid w:val="006036AD"/>
    <w:rsid w:val="0061117F"/>
    <w:rsid w:val="0061478B"/>
    <w:rsid w:val="00614FDF"/>
    <w:rsid w:val="006162F6"/>
    <w:rsid w:val="00617637"/>
    <w:rsid w:val="00617732"/>
    <w:rsid w:val="00621C21"/>
    <w:rsid w:val="006231E2"/>
    <w:rsid w:val="006234B9"/>
    <w:rsid w:val="006234F3"/>
    <w:rsid w:val="00624140"/>
    <w:rsid w:val="0062434C"/>
    <w:rsid w:val="00625A2F"/>
    <w:rsid w:val="00626350"/>
    <w:rsid w:val="00627251"/>
    <w:rsid w:val="00630907"/>
    <w:rsid w:val="00630FC7"/>
    <w:rsid w:val="00632A3D"/>
    <w:rsid w:val="00634118"/>
    <w:rsid w:val="0063567A"/>
    <w:rsid w:val="006407DE"/>
    <w:rsid w:val="00641562"/>
    <w:rsid w:val="0065014E"/>
    <w:rsid w:val="00652C6D"/>
    <w:rsid w:val="00654316"/>
    <w:rsid w:val="0065453C"/>
    <w:rsid w:val="00654790"/>
    <w:rsid w:val="00654F86"/>
    <w:rsid w:val="006574FF"/>
    <w:rsid w:val="006576EB"/>
    <w:rsid w:val="00657781"/>
    <w:rsid w:val="006625BA"/>
    <w:rsid w:val="00662EC0"/>
    <w:rsid w:val="00664617"/>
    <w:rsid w:val="00664903"/>
    <w:rsid w:val="00666CF3"/>
    <w:rsid w:val="006709A9"/>
    <w:rsid w:val="0067144D"/>
    <w:rsid w:val="006737C0"/>
    <w:rsid w:val="0067401A"/>
    <w:rsid w:val="00675669"/>
    <w:rsid w:val="00676668"/>
    <w:rsid w:val="006775E5"/>
    <w:rsid w:val="006802A7"/>
    <w:rsid w:val="00681218"/>
    <w:rsid w:val="0068158C"/>
    <w:rsid w:val="006830D2"/>
    <w:rsid w:val="006839A3"/>
    <w:rsid w:val="006844DE"/>
    <w:rsid w:val="006921E1"/>
    <w:rsid w:val="00693A92"/>
    <w:rsid w:val="00693CA9"/>
    <w:rsid w:val="00693E55"/>
    <w:rsid w:val="0069462C"/>
    <w:rsid w:val="00696C0A"/>
    <w:rsid w:val="00697252"/>
    <w:rsid w:val="00697ECE"/>
    <w:rsid w:val="006A14A8"/>
    <w:rsid w:val="006A1C5F"/>
    <w:rsid w:val="006A28FB"/>
    <w:rsid w:val="006A50E3"/>
    <w:rsid w:val="006A52A2"/>
    <w:rsid w:val="006A5B58"/>
    <w:rsid w:val="006A6D60"/>
    <w:rsid w:val="006A7D6D"/>
    <w:rsid w:val="006B0AAD"/>
    <w:rsid w:val="006B1A77"/>
    <w:rsid w:val="006B2C28"/>
    <w:rsid w:val="006B33BF"/>
    <w:rsid w:val="006B3BE5"/>
    <w:rsid w:val="006C1567"/>
    <w:rsid w:val="006C2A9F"/>
    <w:rsid w:val="006C30BB"/>
    <w:rsid w:val="006C3E12"/>
    <w:rsid w:val="006C7519"/>
    <w:rsid w:val="006D2EF6"/>
    <w:rsid w:val="006D4338"/>
    <w:rsid w:val="006D4810"/>
    <w:rsid w:val="006D4C33"/>
    <w:rsid w:val="006D5803"/>
    <w:rsid w:val="006D79C2"/>
    <w:rsid w:val="006E1BEE"/>
    <w:rsid w:val="006E1EB2"/>
    <w:rsid w:val="006E462F"/>
    <w:rsid w:val="006E60A4"/>
    <w:rsid w:val="006E6625"/>
    <w:rsid w:val="006E7C9E"/>
    <w:rsid w:val="006F0BDC"/>
    <w:rsid w:val="006F20B4"/>
    <w:rsid w:val="006F7F5A"/>
    <w:rsid w:val="00700D68"/>
    <w:rsid w:val="0070234E"/>
    <w:rsid w:val="00704E88"/>
    <w:rsid w:val="007054F0"/>
    <w:rsid w:val="00706859"/>
    <w:rsid w:val="007156DB"/>
    <w:rsid w:val="00720EBC"/>
    <w:rsid w:val="007213B2"/>
    <w:rsid w:val="0072251A"/>
    <w:rsid w:val="00723549"/>
    <w:rsid w:val="00724DFC"/>
    <w:rsid w:val="00725051"/>
    <w:rsid w:val="007257C4"/>
    <w:rsid w:val="00726E18"/>
    <w:rsid w:val="0072727D"/>
    <w:rsid w:val="007337B8"/>
    <w:rsid w:val="00736348"/>
    <w:rsid w:val="00737122"/>
    <w:rsid w:val="00737FF4"/>
    <w:rsid w:val="007400D7"/>
    <w:rsid w:val="00741D1B"/>
    <w:rsid w:val="00744809"/>
    <w:rsid w:val="007456B2"/>
    <w:rsid w:val="00745ABE"/>
    <w:rsid w:val="007469CC"/>
    <w:rsid w:val="00747131"/>
    <w:rsid w:val="00747ACF"/>
    <w:rsid w:val="00750F0D"/>
    <w:rsid w:val="00753085"/>
    <w:rsid w:val="007530B3"/>
    <w:rsid w:val="00755270"/>
    <w:rsid w:val="0076113F"/>
    <w:rsid w:val="007627BF"/>
    <w:rsid w:val="007653B0"/>
    <w:rsid w:val="00766F02"/>
    <w:rsid w:val="007717E0"/>
    <w:rsid w:val="00771ABF"/>
    <w:rsid w:val="0077376B"/>
    <w:rsid w:val="007745CF"/>
    <w:rsid w:val="0077621C"/>
    <w:rsid w:val="0078003E"/>
    <w:rsid w:val="00781C41"/>
    <w:rsid w:val="007858A2"/>
    <w:rsid w:val="00785C8F"/>
    <w:rsid w:val="00790915"/>
    <w:rsid w:val="00792564"/>
    <w:rsid w:val="00793FAA"/>
    <w:rsid w:val="007976CC"/>
    <w:rsid w:val="007A07AB"/>
    <w:rsid w:val="007A40E1"/>
    <w:rsid w:val="007A5951"/>
    <w:rsid w:val="007A6804"/>
    <w:rsid w:val="007B0C93"/>
    <w:rsid w:val="007B2155"/>
    <w:rsid w:val="007B4267"/>
    <w:rsid w:val="007B4AD8"/>
    <w:rsid w:val="007B6435"/>
    <w:rsid w:val="007C090C"/>
    <w:rsid w:val="007C446F"/>
    <w:rsid w:val="007C5857"/>
    <w:rsid w:val="007C5CE2"/>
    <w:rsid w:val="007C6921"/>
    <w:rsid w:val="007C6CEC"/>
    <w:rsid w:val="007C768C"/>
    <w:rsid w:val="007D2722"/>
    <w:rsid w:val="007D6061"/>
    <w:rsid w:val="007E0416"/>
    <w:rsid w:val="007E0D14"/>
    <w:rsid w:val="007E3C8D"/>
    <w:rsid w:val="007E6B7D"/>
    <w:rsid w:val="007E73FC"/>
    <w:rsid w:val="007F0083"/>
    <w:rsid w:val="007F3C54"/>
    <w:rsid w:val="007F5176"/>
    <w:rsid w:val="007F582D"/>
    <w:rsid w:val="007F5D76"/>
    <w:rsid w:val="007F7355"/>
    <w:rsid w:val="00802A45"/>
    <w:rsid w:val="008058CD"/>
    <w:rsid w:val="008075E1"/>
    <w:rsid w:val="0081113A"/>
    <w:rsid w:val="00811C77"/>
    <w:rsid w:val="00815809"/>
    <w:rsid w:val="008177B7"/>
    <w:rsid w:val="0082032C"/>
    <w:rsid w:val="0082274B"/>
    <w:rsid w:val="00822850"/>
    <w:rsid w:val="00822869"/>
    <w:rsid w:val="00823194"/>
    <w:rsid w:val="00825235"/>
    <w:rsid w:val="00825984"/>
    <w:rsid w:val="00827911"/>
    <w:rsid w:val="00830246"/>
    <w:rsid w:val="00831CEF"/>
    <w:rsid w:val="00833D8A"/>
    <w:rsid w:val="00835E66"/>
    <w:rsid w:val="00836115"/>
    <w:rsid w:val="00837BE8"/>
    <w:rsid w:val="008424EA"/>
    <w:rsid w:val="00845A78"/>
    <w:rsid w:val="00845C56"/>
    <w:rsid w:val="00845ECD"/>
    <w:rsid w:val="00846F17"/>
    <w:rsid w:val="0085041B"/>
    <w:rsid w:val="008525E9"/>
    <w:rsid w:val="00852B7B"/>
    <w:rsid w:val="00853B50"/>
    <w:rsid w:val="008544BD"/>
    <w:rsid w:val="00855C33"/>
    <w:rsid w:val="00856B5A"/>
    <w:rsid w:val="0085791B"/>
    <w:rsid w:val="00857BCF"/>
    <w:rsid w:val="00861211"/>
    <w:rsid w:val="00861B92"/>
    <w:rsid w:val="008626EF"/>
    <w:rsid w:val="0086303E"/>
    <w:rsid w:val="008632FD"/>
    <w:rsid w:val="00863DB3"/>
    <w:rsid w:val="00864446"/>
    <w:rsid w:val="00870441"/>
    <w:rsid w:val="008736DD"/>
    <w:rsid w:val="00875003"/>
    <w:rsid w:val="0087605F"/>
    <w:rsid w:val="008765FA"/>
    <w:rsid w:val="008804B0"/>
    <w:rsid w:val="008814FB"/>
    <w:rsid w:val="00882FBE"/>
    <w:rsid w:val="0088412D"/>
    <w:rsid w:val="008863FC"/>
    <w:rsid w:val="0088730B"/>
    <w:rsid w:val="0088738A"/>
    <w:rsid w:val="00887E07"/>
    <w:rsid w:val="00891DF2"/>
    <w:rsid w:val="00895F0E"/>
    <w:rsid w:val="0089668C"/>
    <w:rsid w:val="00896D1D"/>
    <w:rsid w:val="008A1DD1"/>
    <w:rsid w:val="008A41BF"/>
    <w:rsid w:val="008A4D4D"/>
    <w:rsid w:val="008A4E2A"/>
    <w:rsid w:val="008B29C5"/>
    <w:rsid w:val="008B48AD"/>
    <w:rsid w:val="008B52E7"/>
    <w:rsid w:val="008B64F9"/>
    <w:rsid w:val="008C1C53"/>
    <w:rsid w:val="008C32D0"/>
    <w:rsid w:val="008C3E2E"/>
    <w:rsid w:val="008C5B56"/>
    <w:rsid w:val="008D140D"/>
    <w:rsid w:val="008D14F1"/>
    <w:rsid w:val="008D3360"/>
    <w:rsid w:val="008D3464"/>
    <w:rsid w:val="008D3CF6"/>
    <w:rsid w:val="008E1917"/>
    <w:rsid w:val="008E33BF"/>
    <w:rsid w:val="008E374E"/>
    <w:rsid w:val="008E40B0"/>
    <w:rsid w:val="008E65DF"/>
    <w:rsid w:val="008E6F1E"/>
    <w:rsid w:val="008E7651"/>
    <w:rsid w:val="008E7826"/>
    <w:rsid w:val="008F1D5C"/>
    <w:rsid w:val="008F30BB"/>
    <w:rsid w:val="008F3B36"/>
    <w:rsid w:val="008F3C07"/>
    <w:rsid w:val="008F522C"/>
    <w:rsid w:val="008F5E30"/>
    <w:rsid w:val="008F6706"/>
    <w:rsid w:val="008F6FB7"/>
    <w:rsid w:val="008F7E42"/>
    <w:rsid w:val="00901949"/>
    <w:rsid w:val="00903378"/>
    <w:rsid w:val="00905C51"/>
    <w:rsid w:val="009138F7"/>
    <w:rsid w:val="00914D7F"/>
    <w:rsid w:val="00914EE9"/>
    <w:rsid w:val="00916297"/>
    <w:rsid w:val="00920ABB"/>
    <w:rsid w:val="00922538"/>
    <w:rsid w:val="00922FBF"/>
    <w:rsid w:val="00926F60"/>
    <w:rsid w:val="0092738F"/>
    <w:rsid w:val="009314B4"/>
    <w:rsid w:val="0093158A"/>
    <w:rsid w:val="0093512A"/>
    <w:rsid w:val="009360C1"/>
    <w:rsid w:val="009401FE"/>
    <w:rsid w:val="00943DC2"/>
    <w:rsid w:val="009464AC"/>
    <w:rsid w:val="00947775"/>
    <w:rsid w:val="00955B27"/>
    <w:rsid w:val="00955FDF"/>
    <w:rsid w:val="009610AD"/>
    <w:rsid w:val="0096309F"/>
    <w:rsid w:val="0096334B"/>
    <w:rsid w:val="0096472E"/>
    <w:rsid w:val="00967A1E"/>
    <w:rsid w:val="00967BF7"/>
    <w:rsid w:val="00970231"/>
    <w:rsid w:val="009702E8"/>
    <w:rsid w:val="00970D5B"/>
    <w:rsid w:val="00970DDD"/>
    <w:rsid w:val="0097265F"/>
    <w:rsid w:val="0097305A"/>
    <w:rsid w:val="00975A16"/>
    <w:rsid w:val="00977490"/>
    <w:rsid w:val="009827E5"/>
    <w:rsid w:val="00987375"/>
    <w:rsid w:val="00990C2C"/>
    <w:rsid w:val="00990C3E"/>
    <w:rsid w:val="00992871"/>
    <w:rsid w:val="00992DCD"/>
    <w:rsid w:val="00993E32"/>
    <w:rsid w:val="00994911"/>
    <w:rsid w:val="00995D23"/>
    <w:rsid w:val="009A1236"/>
    <w:rsid w:val="009A156A"/>
    <w:rsid w:val="009A31EA"/>
    <w:rsid w:val="009A539A"/>
    <w:rsid w:val="009A6CA9"/>
    <w:rsid w:val="009B50F5"/>
    <w:rsid w:val="009B780D"/>
    <w:rsid w:val="009C2DD0"/>
    <w:rsid w:val="009C414D"/>
    <w:rsid w:val="009C6ABC"/>
    <w:rsid w:val="009C74EA"/>
    <w:rsid w:val="009D648B"/>
    <w:rsid w:val="009E30ED"/>
    <w:rsid w:val="009E33F9"/>
    <w:rsid w:val="009E39B2"/>
    <w:rsid w:val="009E4CFC"/>
    <w:rsid w:val="009E680B"/>
    <w:rsid w:val="009E76DE"/>
    <w:rsid w:val="009E7CCD"/>
    <w:rsid w:val="009F17D5"/>
    <w:rsid w:val="009F603E"/>
    <w:rsid w:val="009F787D"/>
    <w:rsid w:val="00A00F0C"/>
    <w:rsid w:val="00A020A8"/>
    <w:rsid w:val="00A053EF"/>
    <w:rsid w:val="00A06721"/>
    <w:rsid w:val="00A145B4"/>
    <w:rsid w:val="00A15A1F"/>
    <w:rsid w:val="00A307A3"/>
    <w:rsid w:val="00A31212"/>
    <w:rsid w:val="00A3325A"/>
    <w:rsid w:val="00A33BCB"/>
    <w:rsid w:val="00A34084"/>
    <w:rsid w:val="00A36CA7"/>
    <w:rsid w:val="00A37D1B"/>
    <w:rsid w:val="00A4097F"/>
    <w:rsid w:val="00A41255"/>
    <w:rsid w:val="00A41641"/>
    <w:rsid w:val="00A416A5"/>
    <w:rsid w:val="00A42A76"/>
    <w:rsid w:val="00A43013"/>
    <w:rsid w:val="00A436ED"/>
    <w:rsid w:val="00A46F75"/>
    <w:rsid w:val="00A5119E"/>
    <w:rsid w:val="00A555F5"/>
    <w:rsid w:val="00A56687"/>
    <w:rsid w:val="00A566BE"/>
    <w:rsid w:val="00A6167B"/>
    <w:rsid w:val="00A62338"/>
    <w:rsid w:val="00A63F57"/>
    <w:rsid w:val="00A66278"/>
    <w:rsid w:val="00A70201"/>
    <w:rsid w:val="00A71EC2"/>
    <w:rsid w:val="00A75C9D"/>
    <w:rsid w:val="00A76BE6"/>
    <w:rsid w:val="00A83AFA"/>
    <w:rsid w:val="00A84D3C"/>
    <w:rsid w:val="00A85701"/>
    <w:rsid w:val="00A87458"/>
    <w:rsid w:val="00A91B1A"/>
    <w:rsid w:val="00A93CB0"/>
    <w:rsid w:val="00A94106"/>
    <w:rsid w:val="00A94DF4"/>
    <w:rsid w:val="00AA021C"/>
    <w:rsid w:val="00AA041E"/>
    <w:rsid w:val="00AA3C20"/>
    <w:rsid w:val="00AA5969"/>
    <w:rsid w:val="00AA6C11"/>
    <w:rsid w:val="00AA725C"/>
    <w:rsid w:val="00AB0998"/>
    <w:rsid w:val="00AB4CB4"/>
    <w:rsid w:val="00AB60B8"/>
    <w:rsid w:val="00AB655B"/>
    <w:rsid w:val="00AC1AB2"/>
    <w:rsid w:val="00AC31F0"/>
    <w:rsid w:val="00AC3453"/>
    <w:rsid w:val="00AC5E49"/>
    <w:rsid w:val="00AD0A68"/>
    <w:rsid w:val="00AD0F8A"/>
    <w:rsid w:val="00AD25B1"/>
    <w:rsid w:val="00AD3B77"/>
    <w:rsid w:val="00AD5DE2"/>
    <w:rsid w:val="00AE099B"/>
    <w:rsid w:val="00AF079C"/>
    <w:rsid w:val="00AF108A"/>
    <w:rsid w:val="00AF1587"/>
    <w:rsid w:val="00AF5E2F"/>
    <w:rsid w:val="00B01B86"/>
    <w:rsid w:val="00B02E55"/>
    <w:rsid w:val="00B036C1"/>
    <w:rsid w:val="00B04476"/>
    <w:rsid w:val="00B049DD"/>
    <w:rsid w:val="00B05FDC"/>
    <w:rsid w:val="00B06948"/>
    <w:rsid w:val="00B07190"/>
    <w:rsid w:val="00B107B2"/>
    <w:rsid w:val="00B10E02"/>
    <w:rsid w:val="00B114A2"/>
    <w:rsid w:val="00B13F69"/>
    <w:rsid w:val="00B14F16"/>
    <w:rsid w:val="00B153D2"/>
    <w:rsid w:val="00B16AD9"/>
    <w:rsid w:val="00B177AE"/>
    <w:rsid w:val="00B21858"/>
    <w:rsid w:val="00B22BE7"/>
    <w:rsid w:val="00B22E8A"/>
    <w:rsid w:val="00B2316D"/>
    <w:rsid w:val="00B23AAD"/>
    <w:rsid w:val="00B24C0D"/>
    <w:rsid w:val="00B27361"/>
    <w:rsid w:val="00B31A4F"/>
    <w:rsid w:val="00B31D7A"/>
    <w:rsid w:val="00B35F18"/>
    <w:rsid w:val="00B42B81"/>
    <w:rsid w:val="00B43B67"/>
    <w:rsid w:val="00B455B8"/>
    <w:rsid w:val="00B461FA"/>
    <w:rsid w:val="00B52832"/>
    <w:rsid w:val="00B5431F"/>
    <w:rsid w:val="00B56099"/>
    <w:rsid w:val="00B6276C"/>
    <w:rsid w:val="00B64FC2"/>
    <w:rsid w:val="00B64FFA"/>
    <w:rsid w:val="00B6505A"/>
    <w:rsid w:val="00B65A11"/>
    <w:rsid w:val="00B70CA8"/>
    <w:rsid w:val="00B733B6"/>
    <w:rsid w:val="00B75946"/>
    <w:rsid w:val="00B75F14"/>
    <w:rsid w:val="00B80F64"/>
    <w:rsid w:val="00B8167D"/>
    <w:rsid w:val="00B8314D"/>
    <w:rsid w:val="00B85741"/>
    <w:rsid w:val="00B86ADE"/>
    <w:rsid w:val="00B86D3C"/>
    <w:rsid w:val="00B93164"/>
    <w:rsid w:val="00B93EF7"/>
    <w:rsid w:val="00B940A7"/>
    <w:rsid w:val="00B94FD6"/>
    <w:rsid w:val="00B9582A"/>
    <w:rsid w:val="00B96CCA"/>
    <w:rsid w:val="00B96F73"/>
    <w:rsid w:val="00BB02D1"/>
    <w:rsid w:val="00BB034B"/>
    <w:rsid w:val="00BB28E2"/>
    <w:rsid w:val="00BB4295"/>
    <w:rsid w:val="00BB79DF"/>
    <w:rsid w:val="00BC0340"/>
    <w:rsid w:val="00BC04DB"/>
    <w:rsid w:val="00BC184B"/>
    <w:rsid w:val="00BC2D7E"/>
    <w:rsid w:val="00BD0F6E"/>
    <w:rsid w:val="00BD44F4"/>
    <w:rsid w:val="00BD7E83"/>
    <w:rsid w:val="00BE087C"/>
    <w:rsid w:val="00BE1283"/>
    <w:rsid w:val="00BE35F4"/>
    <w:rsid w:val="00BE5BD1"/>
    <w:rsid w:val="00BE67F3"/>
    <w:rsid w:val="00BE7788"/>
    <w:rsid w:val="00BF1BF6"/>
    <w:rsid w:val="00BF2868"/>
    <w:rsid w:val="00BF3E96"/>
    <w:rsid w:val="00BF6EB2"/>
    <w:rsid w:val="00BF7FE0"/>
    <w:rsid w:val="00C01F28"/>
    <w:rsid w:val="00C021C9"/>
    <w:rsid w:val="00C03B46"/>
    <w:rsid w:val="00C03CF9"/>
    <w:rsid w:val="00C0555A"/>
    <w:rsid w:val="00C06962"/>
    <w:rsid w:val="00C10FA2"/>
    <w:rsid w:val="00C118BD"/>
    <w:rsid w:val="00C13983"/>
    <w:rsid w:val="00C163C9"/>
    <w:rsid w:val="00C218FD"/>
    <w:rsid w:val="00C21B4C"/>
    <w:rsid w:val="00C23334"/>
    <w:rsid w:val="00C23AB2"/>
    <w:rsid w:val="00C24CD3"/>
    <w:rsid w:val="00C2674C"/>
    <w:rsid w:val="00C3496C"/>
    <w:rsid w:val="00C36044"/>
    <w:rsid w:val="00C3653C"/>
    <w:rsid w:val="00C41A0D"/>
    <w:rsid w:val="00C4442A"/>
    <w:rsid w:val="00C4476B"/>
    <w:rsid w:val="00C4497C"/>
    <w:rsid w:val="00C5255E"/>
    <w:rsid w:val="00C529BF"/>
    <w:rsid w:val="00C53565"/>
    <w:rsid w:val="00C61714"/>
    <w:rsid w:val="00C62DCA"/>
    <w:rsid w:val="00C63380"/>
    <w:rsid w:val="00C70F32"/>
    <w:rsid w:val="00C71144"/>
    <w:rsid w:val="00C71C93"/>
    <w:rsid w:val="00C7206D"/>
    <w:rsid w:val="00C75AEB"/>
    <w:rsid w:val="00C77C66"/>
    <w:rsid w:val="00C80767"/>
    <w:rsid w:val="00C8184C"/>
    <w:rsid w:val="00C81F4D"/>
    <w:rsid w:val="00C82AEA"/>
    <w:rsid w:val="00C839F2"/>
    <w:rsid w:val="00C851A5"/>
    <w:rsid w:val="00C85682"/>
    <w:rsid w:val="00C950E3"/>
    <w:rsid w:val="00C95884"/>
    <w:rsid w:val="00C96411"/>
    <w:rsid w:val="00CA0508"/>
    <w:rsid w:val="00CA06B9"/>
    <w:rsid w:val="00CA73F1"/>
    <w:rsid w:val="00CA7FC2"/>
    <w:rsid w:val="00CB2369"/>
    <w:rsid w:val="00CB333A"/>
    <w:rsid w:val="00CB50EF"/>
    <w:rsid w:val="00CB5887"/>
    <w:rsid w:val="00CB7284"/>
    <w:rsid w:val="00CC0073"/>
    <w:rsid w:val="00CC07FF"/>
    <w:rsid w:val="00CC1751"/>
    <w:rsid w:val="00CC35C7"/>
    <w:rsid w:val="00CC4A1B"/>
    <w:rsid w:val="00CD14A6"/>
    <w:rsid w:val="00CD4858"/>
    <w:rsid w:val="00CE10B2"/>
    <w:rsid w:val="00CE25DA"/>
    <w:rsid w:val="00CE2607"/>
    <w:rsid w:val="00CE35C5"/>
    <w:rsid w:val="00CE5C11"/>
    <w:rsid w:val="00CF1395"/>
    <w:rsid w:val="00CF1426"/>
    <w:rsid w:val="00CF289B"/>
    <w:rsid w:val="00CF2E5C"/>
    <w:rsid w:val="00CF542F"/>
    <w:rsid w:val="00CF58B7"/>
    <w:rsid w:val="00CF6619"/>
    <w:rsid w:val="00D0055A"/>
    <w:rsid w:val="00D014A2"/>
    <w:rsid w:val="00D017C6"/>
    <w:rsid w:val="00D02A8F"/>
    <w:rsid w:val="00D03FE7"/>
    <w:rsid w:val="00D04971"/>
    <w:rsid w:val="00D04A39"/>
    <w:rsid w:val="00D07DB3"/>
    <w:rsid w:val="00D10715"/>
    <w:rsid w:val="00D10BB1"/>
    <w:rsid w:val="00D11435"/>
    <w:rsid w:val="00D13D9A"/>
    <w:rsid w:val="00D14939"/>
    <w:rsid w:val="00D151EA"/>
    <w:rsid w:val="00D15401"/>
    <w:rsid w:val="00D15BD8"/>
    <w:rsid w:val="00D1699D"/>
    <w:rsid w:val="00D20736"/>
    <w:rsid w:val="00D2078C"/>
    <w:rsid w:val="00D229CE"/>
    <w:rsid w:val="00D22CF6"/>
    <w:rsid w:val="00D236A0"/>
    <w:rsid w:val="00D27742"/>
    <w:rsid w:val="00D27D7E"/>
    <w:rsid w:val="00D30067"/>
    <w:rsid w:val="00D30EE7"/>
    <w:rsid w:val="00D3298B"/>
    <w:rsid w:val="00D34BA9"/>
    <w:rsid w:val="00D351C1"/>
    <w:rsid w:val="00D35EFB"/>
    <w:rsid w:val="00D36217"/>
    <w:rsid w:val="00D3774F"/>
    <w:rsid w:val="00D47D55"/>
    <w:rsid w:val="00D504B3"/>
    <w:rsid w:val="00D53F58"/>
    <w:rsid w:val="00D54D90"/>
    <w:rsid w:val="00D56029"/>
    <w:rsid w:val="00D578A8"/>
    <w:rsid w:val="00D602BC"/>
    <w:rsid w:val="00D617B7"/>
    <w:rsid w:val="00D64445"/>
    <w:rsid w:val="00D66789"/>
    <w:rsid w:val="00D6703C"/>
    <w:rsid w:val="00D704CC"/>
    <w:rsid w:val="00D7081B"/>
    <w:rsid w:val="00D7356A"/>
    <w:rsid w:val="00D75C71"/>
    <w:rsid w:val="00D8235C"/>
    <w:rsid w:val="00D82DF7"/>
    <w:rsid w:val="00D82F9F"/>
    <w:rsid w:val="00D84B64"/>
    <w:rsid w:val="00D85AB8"/>
    <w:rsid w:val="00D86BF0"/>
    <w:rsid w:val="00D93F24"/>
    <w:rsid w:val="00D94736"/>
    <w:rsid w:val="00D95268"/>
    <w:rsid w:val="00D9679E"/>
    <w:rsid w:val="00DA072C"/>
    <w:rsid w:val="00DA0964"/>
    <w:rsid w:val="00DA144E"/>
    <w:rsid w:val="00DA2133"/>
    <w:rsid w:val="00DA3E84"/>
    <w:rsid w:val="00DA632C"/>
    <w:rsid w:val="00DB2161"/>
    <w:rsid w:val="00DB61FA"/>
    <w:rsid w:val="00DB7BE5"/>
    <w:rsid w:val="00DC12BA"/>
    <w:rsid w:val="00DC4E10"/>
    <w:rsid w:val="00DC544A"/>
    <w:rsid w:val="00DC6287"/>
    <w:rsid w:val="00DD3270"/>
    <w:rsid w:val="00DD7966"/>
    <w:rsid w:val="00DE14F1"/>
    <w:rsid w:val="00DE4611"/>
    <w:rsid w:val="00DE5DA6"/>
    <w:rsid w:val="00DF409D"/>
    <w:rsid w:val="00DF4A26"/>
    <w:rsid w:val="00E03ABF"/>
    <w:rsid w:val="00E066EF"/>
    <w:rsid w:val="00E06EC3"/>
    <w:rsid w:val="00E10D9E"/>
    <w:rsid w:val="00E1120D"/>
    <w:rsid w:val="00E12B04"/>
    <w:rsid w:val="00E1309C"/>
    <w:rsid w:val="00E13BCB"/>
    <w:rsid w:val="00E163C7"/>
    <w:rsid w:val="00E23634"/>
    <w:rsid w:val="00E243E7"/>
    <w:rsid w:val="00E24567"/>
    <w:rsid w:val="00E2599D"/>
    <w:rsid w:val="00E26D5E"/>
    <w:rsid w:val="00E332E4"/>
    <w:rsid w:val="00E3633A"/>
    <w:rsid w:val="00E3755C"/>
    <w:rsid w:val="00E37EE6"/>
    <w:rsid w:val="00E427FF"/>
    <w:rsid w:val="00E42A94"/>
    <w:rsid w:val="00E452C2"/>
    <w:rsid w:val="00E51079"/>
    <w:rsid w:val="00E51920"/>
    <w:rsid w:val="00E52E4D"/>
    <w:rsid w:val="00E52E9E"/>
    <w:rsid w:val="00E53C74"/>
    <w:rsid w:val="00E54112"/>
    <w:rsid w:val="00E54FB7"/>
    <w:rsid w:val="00E5529F"/>
    <w:rsid w:val="00E557A4"/>
    <w:rsid w:val="00E559BB"/>
    <w:rsid w:val="00E567FC"/>
    <w:rsid w:val="00E568A9"/>
    <w:rsid w:val="00E56B81"/>
    <w:rsid w:val="00E57AE6"/>
    <w:rsid w:val="00E64120"/>
    <w:rsid w:val="00E64662"/>
    <w:rsid w:val="00E6556F"/>
    <w:rsid w:val="00E660A1"/>
    <w:rsid w:val="00E6722F"/>
    <w:rsid w:val="00E717F5"/>
    <w:rsid w:val="00E719C1"/>
    <w:rsid w:val="00E72190"/>
    <w:rsid w:val="00E72AE9"/>
    <w:rsid w:val="00E7415F"/>
    <w:rsid w:val="00E745BD"/>
    <w:rsid w:val="00E745FB"/>
    <w:rsid w:val="00E75030"/>
    <w:rsid w:val="00E75344"/>
    <w:rsid w:val="00E77238"/>
    <w:rsid w:val="00E776B6"/>
    <w:rsid w:val="00E77F64"/>
    <w:rsid w:val="00E8134D"/>
    <w:rsid w:val="00E81405"/>
    <w:rsid w:val="00E82331"/>
    <w:rsid w:val="00E82FCB"/>
    <w:rsid w:val="00E83EDF"/>
    <w:rsid w:val="00E84D54"/>
    <w:rsid w:val="00E851C4"/>
    <w:rsid w:val="00E86F2C"/>
    <w:rsid w:val="00E90F6C"/>
    <w:rsid w:val="00E95B8B"/>
    <w:rsid w:val="00EA3CB5"/>
    <w:rsid w:val="00EA3F6A"/>
    <w:rsid w:val="00EA5237"/>
    <w:rsid w:val="00EA5EC7"/>
    <w:rsid w:val="00EA63A1"/>
    <w:rsid w:val="00EA7BAC"/>
    <w:rsid w:val="00EB096F"/>
    <w:rsid w:val="00EB244C"/>
    <w:rsid w:val="00EB4887"/>
    <w:rsid w:val="00EB4D95"/>
    <w:rsid w:val="00EB5EFC"/>
    <w:rsid w:val="00EC27FA"/>
    <w:rsid w:val="00EC3A20"/>
    <w:rsid w:val="00ED29D0"/>
    <w:rsid w:val="00ED372D"/>
    <w:rsid w:val="00ED42C3"/>
    <w:rsid w:val="00ED5662"/>
    <w:rsid w:val="00ED5A6D"/>
    <w:rsid w:val="00ED7093"/>
    <w:rsid w:val="00EE0BBC"/>
    <w:rsid w:val="00EE1B3C"/>
    <w:rsid w:val="00EE26BE"/>
    <w:rsid w:val="00EE61B6"/>
    <w:rsid w:val="00EF04BA"/>
    <w:rsid w:val="00EF0A29"/>
    <w:rsid w:val="00EF4D12"/>
    <w:rsid w:val="00EF57AB"/>
    <w:rsid w:val="00F011DD"/>
    <w:rsid w:val="00F01F44"/>
    <w:rsid w:val="00F04075"/>
    <w:rsid w:val="00F055F1"/>
    <w:rsid w:val="00F05BC6"/>
    <w:rsid w:val="00F07370"/>
    <w:rsid w:val="00F10C52"/>
    <w:rsid w:val="00F10EA7"/>
    <w:rsid w:val="00F11A56"/>
    <w:rsid w:val="00F1398B"/>
    <w:rsid w:val="00F14A4E"/>
    <w:rsid w:val="00F16BF6"/>
    <w:rsid w:val="00F21B70"/>
    <w:rsid w:val="00F23470"/>
    <w:rsid w:val="00F24DC8"/>
    <w:rsid w:val="00F24DEB"/>
    <w:rsid w:val="00F2596E"/>
    <w:rsid w:val="00F33D10"/>
    <w:rsid w:val="00F34134"/>
    <w:rsid w:val="00F35D57"/>
    <w:rsid w:val="00F41A16"/>
    <w:rsid w:val="00F4214E"/>
    <w:rsid w:val="00F42B5E"/>
    <w:rsid w:val="00F4689F"/>
    <w:rsid w:val="00F470D8"/>
    <w:rsid w:val="00F47B8A"/>
    <w:rsid w:val="00F53CFA"/>
    <w:rsid w:val="00F549D0"/>
    <w:rsid w:val="00F57F5A"/>
    <w:rsid w:val="00F610AF"/>
    <w:rsid w:val="00F6547D"/>
    <w:rsid w:val="00F668E0"/>
    <w:rsid w:val="00F7067A"/>
    <w:rsid w:val="00F706DD"/>
    <w:rsid w:val="00F72CEB"/>
    <w:rsid w:val="00F74399"/>
    <w:rsid w:val="00F75A35"/>
    <w:rsid w:val="00F76B85"/>
    <w:rsid w:val="00F7731D"/>
    <w:rsid w:val="00F77FE2"/>
    <w:rsid w:val="00F80118"/>
    <w:rsid w:val="00F832E2"/>
    <w:rsid w:val="00F850CF"/>
    <w:rsid w:val="00F8735F"/>
    <w:rsid w:val="00F90858"/>
    <w:rsid w:val="00F91D43"/>
    <w:rsid w:val="00F939CB"/>
    <w:rsid w:val="00F93F21"/>
    <w:rsid w:val="00F967E3"/>
    <w:rsid w:val="00F96937"/>
    <w:rsid w:val="00FA0137"/>
    <w:rsid w:val="00FA0373"/>
    <w:rsid w:val="00FA1903"/>
    <w:rsid w:val="00FA2C5A"/>
    <w:rsid w:val="00FA754C"/>
    <w:rsid w:val="00FA7947"/>
    <w:rsid w:val="00FB101B"/>
    <w:rsid w:val="00FB3CA8"/>
    <w:rsid w:val="00FB49BA"/>
    <w:rsid w:val="00FB73B7"/>
    <w:rsid w:val="00FC0A82"/>
    <w:rsid w:val="00FC1558"/>
    <w:rsid w:val="00FC2D11"/>
    <w:rsid w:val="00FC38EE"/>
    <w:rsid w:val="00FC49DF"/>
    <w:rsid w:val="00FC4DA4"/>
    <w:rsid w:val="00FC5B34"/>
    <w:rsid w:val="00FC6230"/>
    <w:rsid w:val="00FC7FB1"/>
    <w:rsid w:val="00FD451E"/>
    <w:rsid w:val="00FD6672"/>
    <w:rsid w:val="00FD6FBF"/>
    <w:rsid w:val="00FD7759"/>
    <w:rsid w:val="00FE1DDE"/>
    <w:rsid w:val="00FE4637"/>
    <w:rsid w:val="00FE467B"/>
    <w:rsid w:val="00FE55D2"/>
    <w:rsid w:val="00FE759C"/>
    <w:rsid w:val="00FF252B"/>
    <w:rsid w:val="00FF3D2D"/>
    <w:rsid w:val="00FF53FD"/>
    <w:rsid w:val="00FF61E7"/>
    <w:rsid w:val="00FF673C"/>
    <w:rsid w:val="01453781"/>
    <w:rsid w:val="01A149C0"/>
    <w:rsid w:val="02305297"/>
    <w:rsid w:val="02365453"/>
    <w:rsid w:val="02BB1414"/>
    <w:rsid w:val="043FEAF6"/>
    <w:rsid w:val="04674AFA"/>
    <w:rsid w:val="04EF4191"/>
    <w:rsid w:val="051EF4F5"/>
    <w:rsid w:val="06A52601"/>
    <w:rsid w:val="081B0BAA"/>
    <w:rsid w:val="095528BD"/>
    <w:rsid w:val="09859867"/>
    <w:rsid w:val="0A3086DE"/>
    <w:rsid w:val="0AD2D555"/>
    <w:rsid w:val="0B04F3EB"/>
    <w:rsid w:val="0C5CA113"/>
    <w:rsid w:val="0C8DDB1F"/>
    <w:rsid w:val="0D27473E"/>
    <w:rsid w:val="0D5AC02F"/>
    <w:rsid w:val="0D91765D"/>
    <w:rsid w:val="0E4BA265"/>
    <w:rsid w:val="0F325452"/>
    <w:rsid w:val="10AB1DE4"/>
    <w:rsid w:val="11AB5395"/>
    <w:rsid w:val="12A6F317"/>
    <w:rsid w:val="12ADDAF3"/>
    <w:rsid w:val="12F339E6"/>
    <w:rsid w:val="15845951"/>
    <w:rsid w:val="167CBCA7"/>
    <w:rsid w:val="169CBAE6"/>
    <w:rsid w:val="181EBBD8"/>
    <w:rsid w:val="1950D7BC"/>
    <w:rsid w:val="19774A4F"/>
    <w:rsid w:val="197BC498"/>
    <w:rsid w:val="1AECA81D"/>
    <w:rsid w:val="1C2B4F4F"/>
    <w:rsid w:val="1C88787E"/>
    <w:rsid w:val="1CA580C6"/>
    <w:rsid w:val="1D54FF6B"/>
    <w:rsid w:val="1ED6F79D"/>
    <w:rsid w:val="1F78804D"/>
    <w:rsid w:val="205137A1"/>
    <w:rsid w:val="208AD376"/>
    <w:rsid w:val="2175636D"/>
    <w:rsid w:val="22928DE2"/>
    <w:rsid w:val="24BF25BE"/>
    <w:rsid w:val="2523CEAD"/>
    <w:rsid w:val="253FBFEC"/>
    <w:rsid w:val="259C6A6C"/>
    <w:rsid w:val="25F49284"/>
    <w:rsid w:val="26100C44"/>
    <w:rsid w:val="266BA367"/>
    <w:rsid w:val="26BF9F0E"/>
    <w:rsid w:val="26F77383"/>
    <w:rsid w:val="26FCDE69"/>
    <w:rsid w:val="2704E292"/>
    <w:rsid w:val="27630944"/>
    <w:rsid w:val="27A7CBCF"/>
    <w:rsid w:val="27ABDCA5"/>
    <w:rsid w:val="27B69203"/>
    <w:rsid w:val="29A13234"/>
    <w:rsid w:val="29F73FD0"/>
    <w:rsid w:val="2B1A0A96"/>
    <w:rsid w:val="2B931031"/>
    <w:rsid w:val="2BC96EC6"/>
    <w:rsid w:val="2C06F566"/>
    <w:rsid w:val="2FA8516F"/>
    <w:rsid w:val="3085AE85"/>
    <w:rsid w:val="30AAB17D"/>
    <w:rsid w:val="3392959B"/>
    <w:rsid w:val="348D6195"/>
    <w:rsid w:val="34BDEA88"/>
    <w:rsid w:val="36A62176"/>
    <w:rsid w:val="36B5857F"/>
    <w:rsid w:val="373984EC"/>
    <w:rsid w:val="37F06CFE"/>
    <w:rsid w:val="38F019E0"/>
    <w:rsid w:val="39E993E7"/>
    <w:rsid w:val="3ADB1FFE"/>
    <w:rsid w:val="3AFF0B67"/>
    <w:rsid w:val="3B118447"/>
    <w:rsid w:val="3DFFF78B"/>
    <w:rsid w:val="3EBB115A"/>
    <w:rsid w:val="3FAAC695"/>
    <w:rsid w:val="3FC73E0F"/>
    <w:rsid w:val="414CDC59"/>
    <w:rsid w:val="41573FB4"/>
    <w:rsid w:val="418E7841"/>
    <w:rsid w:val="42753707"/>
    <w:rsid w:val="45A25A13"/>
    <w:rsid w:val="45C19137"/>
    <w:rsid w:val="462AB0D7"/>
    <w:rsid w:val="464F8B9A"/>
    <w:rsid w:val="46722B29"/>
    <w:rsid w:val="477153B9"/>
    <w:rsid w:val="47A2A68E"/>
    <w:rsid w:val="48AED26C"/>
    <w:rsid w:val="4918A82A"/>
    <w:rsid w:val="4A7384A5"/>
    <w:rsid w:val="4AA46646"/>
    <w:rsid w:val="4AEB76AF"/>
    <w:rsid w:val="4C119B97"/>
    <w:rsid w:val="4C37E5CF"/>
    <w:rsid w:val="4D9E721A"/>
    <w:rsid w:val="4DAD6BF8"/>
    <w:rsid w:val="4DC5F036"/>
    <w:rsid w:val="4EBFF249"/>
    <w:rsid w:val="4F39D872"/>
    <w:rsid w:val="4F3FB2BF"/>
    <w:rsid w:val="50806052"/>
    <w:rsid w:val="51A280A1"/>
    <w:rsid w:val="5204F722"/>
    <w:rsid w:val="5232B8DC"/>
    <w:rsid w:val="53270E87"/>
    <w:rsid w:val="5595F90F"/>
    <w:rsid w:val="58821375"/>
    <w:rsid w:val="58D277C8"/>
    <w:rsid w:val="58E932B6"/>
    <w:rsid w:val="592C4B90"/>
    <w:rsid w:val="59300368"/>
    <w:rsid w:val="5936AC4B"/>
    <w:rsid w:val="5A537823"/>
    <w:rsid w:val="5ADFDFE3"/>
    <w:rsid w:val="5B947DF9"/>
    <w:rsid w:val="5BD931CA"/>
    <w:rsid w:val="5CB803AB"/>
    <w:rsid w:val="5CC86F6A"/>
    <w:rsid w:val="5DD8AEA6"/>
    <w:rsid w:val="5E261F86"/>
    <w:rsid w:val="5E798A5F"/>
    <w:rsid w:val="5EC193F9"/>
    <w:rsid w:val="5F0E32E5"/>
    <w:rsid w:val="5FEFA46D"/>
    <w:rsid w:val="6066787B"/>
    <w:rsid w:val="6117EF4E"/>
    <w:rsid w:val="61672D7E"/>
    <w:rsid w:val="61D41124"/>
    <w:rsid w:val="62E6FE2A"/>
    <w:rsid w:val="6470A714"/>
    <w:rsid w:val="64D00A47"/>
    <w:rsid w:val="662926D1"/>
    <w:rsid w:val="6758E840"/>
    <w:rsid w:val="6910AD38"/>
    <w:rsid w:val="69199229"/>
    <w:rsid w:val="6AB3B86C"/>
    <w:rsid w:val="6AB64ED6"/>
    <w:rsid w:val="6B59B6D1"/>
    <w:rsid w:val="6B5B94A1"/>
    <w:rsid w:val="6C8912E6"/>
    <w:rsid w:val="6D82ED7A"/>
    <w:rsid w:val="6E57B7E2"/>
    <w:rsid w:val="6FA9A750"/>
    <w:rsid w:val="6FED4026"/>
    <w:rsid w:val="7063392E"/>
    <w:rsid w:val="706F363C"/>
    <w:rsid w:val="72680855"/>
    <w:rsid w:val="72D085F9"/>
    <w:rsid w:val="731197A1"/>
    <w:rsid w:val="74C1611F"/>
    <w:rsid w:val="74E4A162"/>
    <w:rsid w:val="770B4130"/>
    <w:rsid w:val="773F42B3"/>
    <w:rsid w:val="774FA451"/>
    <w:rsid w:val="77603F94"/>
    <w:rsid w:val="7799CE02"/>
    <w:rsid w:val="792149D2"/>
    <w:rsid w:val="7AD645AD"/>
    <w:rsid w:val="7BB653D9"/>
    <w:rsid w:val="7DFDF7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404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qFormat="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70E3"/>
    <w:rPr>
      <w:sz w:val="24"/>
      <w:szCs w:val="24"/>
      <w:lang w:eastAsia="en-US"/>
    </w:rPr>
  </w:style>
  <w:style w:type="paragraph" w:styleId="Heading1">
    <w:name w:val="heading 1"/>
    <w:basedOn w:val="Normal"/>
    <w:next w:val="NICEnormal"/>
    <w:link w:val="Heading1Char"/>
    <w:qFormat/>
    <w:rsid w:val="00141DCB"/>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141DCB"/>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141DCB"/>
    <w:pPr>
      <w:keepNext/>
      <w:spacing w:before="12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141DCB"/>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141DCB"/>
    <w:pPr>
      <w:tabs>
        <w:tab w:val="num" w:pos="360"/>
        <w:tab w:val="left" w:pos="426"/>
      </w:tabs>
      <w:spacing w:after="240" w:line="360" w:lineRule="auto"/>
      <w:ind w:left="425" w:hanging="425"/>
    </w:pPr>
    <w:rPr>
      <w:rFonts w:ascii="Arial" w:hAnsi="Arial"/>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141DCB"/>
    <w:rPr>
      <w:rFonts w:ascii="Arial" w:hAnsi="Arial" w:cs="Arial"/>
      <w:b/>
      <w:bCs/>
      <w:kern w:val="32"/>
      <w:sz w:val="32"/>
      <w:szCs w:val="32"/>
      <w:lang w:eastAsia="en-US"/>
    </w:rPr>
  </w:style>
  <w:style w:type="paragraph" w:customStyle="1" w:styleId="Bullets">
    <w:name w:val="Bullets"/>
    <w:basedOn w:val="Normal"/>
    <w:uiPriority w:val="5"/>
    <w:qFormat/>
    <w:rsid w:val="00141DCB"/>
    <w:pPr>
      <w:spacing w:after="120" w:line="276" w:lineRule="auto"/>
      <w:ind w:left="1134" w:hanging="454"/>
    </w:pPr>
    <w:rPr>
      <w:rFonts w:ascii="Arial" w:hAnsi="Arial"/>
      <w:lang w:eastAsia="en-GB"/>
    </w:rPr>
  </w:style>
  <w:style w:type="paragraph" w:styleId="Header">
    <w:name w:val="header"/>
    <w:basedOn w:val="NICEnormalsinglespacing"/>
    <w:link w:val="HeaderChar"/>
    <w:rsid w:val="00141DCB"/>
    <w:pPr>
      <w:tabs>
        <w:tab w:val="center" w:pos="4153"/>
        <w:tab w:val="right" w:pos="8306"/>
      </w:tabs>
    </w:pPr>
  </w:style>
  <w:style w:type="character" w:customStyle="1" w:styleId="HeaderChar">
    <w:name w:val="Header Char"/>
    <w:basedOn w:val="DefaultParagraphFont"/>
    <w:link w:val="Header"/>
    <w:rsid w:val="009E680B"/>
    <w:rPr>
      <w:rFonts w:ascii="Arial" w:hAnsi="Arial"/>
      <w:sz w:val="24"/>
      <w:szCs w:val="24"/>
      <w:lang w:eastAsia="en-US"/>
    </w:rPr>
  </w:style>
  <w:style w:type="paragraph" w:styleId="Footer">
    <w:name w:val="footer"/>
    <w:basedOn w:val="NICEnormalsinglespacing"/>
    <w:link w:val="FooterChar"/>
    <w:rsid w:val="00141DCB"/>
    <w:pPr>
      <w:tabs>
        <w:tab w:val="center" w:pos="4153"/>
        <w:tab w:val="right" w:pos="8306"/>
      </w:tabs>
    </w:pPr>
  </w:style>
  <w:style w:type="character" w:customStyle="1" w:styleId="FooterChar">
    <w:name w:val="Footer Char"/>
    <w:basedOn w:val="DefaultParagraphFont"/>
    <w:link w:val="Footer"/>
    <w:rsid w:val="0017169E"/>
    <w:rPr>
      <w:rFonts w:ascii="Arial" w:hAnsi="Arial"/>
      <w:sz w:val="24"/>
      <w:szCs w:val="24"/>
      <w:lang w:eastAsia="en-US"/>
    </w:rPr>
  </w:style>
  <w:style w:type="paragraph" w:styleId="BalloonText">
    <w:name w:val="Balloon Text"/>
    <w:basedOn w:val="Normal"/>
    <w:link w:val="BalloonTextChar"/>
    <w:semiHidden/>
    <w:rsid w:val="00141DCB"/>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lang w:eastAsia="en-US"/>
    </w:rPr>
  </w:style>
  <w:style w:type="character" w:customStyle="1" w:styleId="Heading2Char">
    <w:name w:val="Heading 2 Char"/>
    <w:link w:val="Heading2"/>
    <w:rsid w:val="00141DCB"/>
    <w:rPr>
      <w:rFonts w:ascii="Arial" w:hAnsi="Arial" w:cs="Arial"/>
      <w:b/>
      <w:bCs/>
      <w:sz w:val="28"/>
      <w:szCs w:val="28"/>
      <w:lang w:eastAsia="en-US"/>
    </w:rPr>
  </w:style>
  <w:style w:type="character" w:customStyle="1" w:styleId="Heading3Char">
    <w:name w:val="Heading 3 Char"/>
    <w:basedOn w:val="DefaultParagraphFont"/>
    <w:link w:val="Heading3"/>
    <w:rsid w:val="00141DCB"/>
    <w:rPr>
      <w:rFonts w:ascii="Arial" w:hAnsi="Arial" w:cs="Arial"/>
      <w:b/>
      <w:bCs/>
      <w:sz w:val="26"/>
      <w:szCs w:val="26"/>
      <w:lang w:eastAsia="en-US"/>
    </w:rPr>
  </w:style>
  <w:style w:type="paragraph" w:customStyle="1" w:styleId="Subbullets">
    <w:name w:val="Sub bullets"/>
    <w:basedOn w:val="Normal"/>
    <w:uiPriority w:val="6"/>
    <w:qFormat/>
    <w:rsid w:val="00C85682"/>
    <w:pPr>
      <w:numPr>
        <w:numId w:val="3"/>
      </w:numPr>
      <w:tabs>
        <w:tab w:val="left" w:pos="1276"/>
      </w:tabs>
      <w:spacing w:line="360" w:lineRule="auto"/>
      <w:ind w:left="1276" w:hanging="312"/>
    </w:pPr>
    <w:rPr>
      <w:rFonts w:ascii="Arial" w:hAnsi="Arial"/>
    </w:rPr>
  </w:style>
  <w:style w:type="paragraph" w:customStyle="1" w:styleId="Paragraph">
    <w:name w:val="Paragraph"/>
    <w:basedOn w:val="Normal"/>
    <w:uiPriority w:val="4"/>
    <w:qFormat/>
    <w:rsid w:val="00624140"/>
    <w:pPr>
      <w:spacing w:after="240" w:line="360" w:lineRule="auto"/>
    </w:pPr>
    <w:rPr>
      <w:rFonts w:ascii="Arial" w:hAnsi="Arial"/>
    </w:rPr>
  </w:style>
  <w:style w:type="paragraph" w:styleId="TOC1">
    <w:name w:val="toc 1"/>
    <w:basedOn w:val="Normal"/>
    <w:next w:val="Normal"/>
    <w:autoRedefine/>
    <w:uiPriority w:val="39"/>
    <w:rsid w:val="00141DCB"/>
    <w:pPr>
      <w:spacing w:after="100"/>
    </w:p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sz w:val="24"/>
      <w:szCs w:val="28"/>
      <w:lang w:eastAsia="en-US"/>
    </w:rPr>
  </w:style>
  <w:style w:type="paragraph" w:styleId="Caption">
    <w:name w:val="caption"/>
    <w:basedOn w:val="NICEnormal"/>
    <w:next w:val="NICEnormal"/>
    <w:unhideWhenUsed/>
    <w:qFormat/>
    <w:rsid w:val="00141DCB"/>
    <w:pPr>
      <w:keepNext/>
      <w:spacing w:after="200"/>
    </w:pPr>
    <w:rPr>
      <w:b/>
      <w:bCs/>
      <w:iCs/>
      <w:szCs w:val="18"/>
    </w:rPr>
  </w:style>
  <w:style w:type="character" w:styleId="Hyperlink">
    <w:name w:val="Hyperlink"/>
    <w:uiPriority w:val="99"/>
    <w:rsid w:val="00141DCB"/>
    <w:rPr>
      <w:color w:val="0000FF"/>
      <w:u w:val="single"/>
    </w:rPr>
  </w:style>
  <w:style w:type="table" w:customStyle="1" w:styleId="PanelDefault">
    <w:name w:val="Panel (Default)"/>
    <w:basedOn w:val="TableNormal"/>
    <w:uiPriority w:val="99"/>
    <w:rsid w:val="00141DCB"/>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141DCB"/>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141DCB"/>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Tabletext">
    <w:name w:val="Table text"/>
    <w:basedOn w:val="NICEnormalsinglespacing"/>
    <w:rsid w:val="00141DCB"/>
    <w:pPr>
      <w:keepNext/>
      <w:spacing w:after="60"/>
    </w:pPr>
    <w:rPr>
      <w:sz w:val="22"/>
    </w:rPr>
  </w:style>
  <w:style w:type="paragraph" w:customStyle="1" w:styleId="Tablebullet">
    <w:name w:val="Table bullet"/>
    <w:basedOn w:val="Tabletext"/>
    <w:qFormat/>
    <w:rsid w:val="00141DCB"/>
    <w:pPr>
      <w:numPr>
        <w:numId w:val="33"/>
      </w:numPr>
    </w:pPr>
  </w:style>
  <w:style w:type="table" w:styleId="TableGrid">
    <w:name w:val="Table Grid"/>
    <w:basedOn w:val="TableNormal"/>
    <w:rsid w:val="00141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141DCB"/>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5"/>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Normal"/>
    <w:rsid w:val="00141DCB"/>
    <w:pPr>
      <w:keepNext/>
      <w:spacing w:before="240" w:after="240"/>
      <w:jc w:val="center"/>
      <w:outlineLvl w:val="0"/>
    </w:pPr>
    <w:rPr>
      <w:rFonts w:ascii="Arial" w:hAnsi="Arial" w:cs="Arial"/>
      <w:b/>
      <w:bCs/>
      <w:kern w:val="28"/>
      <w:sz w:val="32"/>
      <w:szCs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qFormat/>
    <w:rsid w:val="00141DCB"/>
    <w:rPr>
      <w:sz w:val="16"/>
      <w:szCs w:val="16"/>
    </w:rPr>
  </w:style>
  <w:style w:type="paragraph" w:styleId="CommentText">
    <w:name w:val="annotation text"/>
    <w:basedOn w:val="Normal"/>
    <w:link w:val="CommentTextChar"/>
    <w:qFormat/>
    <w:rsid w:val="00141DCB"/>
    <w:rPr>
      <w:sz w:val="20"/>
      <w:szCs w:val="20"/>
      <w:lang w:val="x-none"/>
    </w:rPr>
  </w:style>
  <w:style w:type="character" w:customStyle="1" w:styleId="CommentTextChar">
    <w:name w:val="Comment Text Char"/>
    <w:link w:val="CommentText"/>
    <w:qFormat/>
    <w:rsid w:val="00141DCB"/>
    <w:rPr>
      <w:lang w:val="x-none" w:eastAsia="en-US"/>
    </w:rPr>
  </w:style>
  <w:style w:type="paragraph" w:styleId="CommentSubject">
    <w:name w:val="annotation subject"/>
    <w:basedOn w:val="CommentText"/>
    <w:next w:val="CommentText"/>
    <w:link w:val="CommentSubjectChar"/>
    <w:semiHidden/>
    <w:rsid w:val="00141DCB"/>
    <w:rPr>
      <w:b/>
      <w:bCs/>
    </w:rPr>
  </w:style>
  <w:style w:type="character" w:customStyle="1" w:styleId="CommentSubjectChar">
    <w:name w:val="Comment Subject Char"/>
    <w:basedOn w:val="CommentTextChar"/>
    <w:link w:val="CommentSubject"/>
    <w:semiHidden/>
    <w:rsid w:val="003F0A04"/>
    <w:rPr>
      <w:b/>
      <w:bCs/>
      <w:lang w:val="x-none" w:eastAsia="en-US"/>
    </w:rPr>
  </w:style>
  <w:style w:type="character" w:customStyle="1" w:styleId="StyleCommentReference">
    <w:name w:val="Style Comment Reference +"/>
    <w:basedOn w:val="CommentReference"/>
    <w:rsid w:val="003F0A04"/>
    <w:rPr>
      <w:rFonts w:ascii="Arial" w:hAnsi="Arial"/>
      <w:b/>
      <w:sz w:val="44"/>
      <w:szCs w:val="16"/>
    </w:rPr>
  </w:style>
  <w:style w:type="paragraph" w:styleId="Revision">
    <w:name w:val="Revision"/>
    <w:hidden/>
    <w:uiPriority w:val="99"/>
    <w:semiHidden/>
    <w:rsid w:val="0000797C"/>
    <w:rPr>
      <w:sz w:val="24"/>
      <w:szCs w:val="24"/>
    </w:rPr>
  </w:style>
  <w:style w:type="paragraph" w:styleId="ListParagraph">
    <w:name w:val="List Paragraph"/>
    <w:basedOn w:val="Normal"/>
    <w:uiPriority w:val="34"/>
    <w:qFormat/>
    <w:rsid w:val="00141DCB"/>
    <w:pPr>
      <w:ind w:left="720"/>
      <w:contextualSpacing/>
    </w:pPr>
    <w:rPr>
      <w:lang w:eastAsia="en-GB"/>
    </w:rPr>
  </w:style>
  <w:style w:type="paragraph" w:customStyle="1" w:styleId="NICEnormalsinglespacing">
    <w:name w:val="NICE normal single spacing"/>
    <w:basedOn w:val="NICEnormal"/>
    <w:rsid w:val="00141DCB"/>
    <w:pPr>
      <w:spacing w:line="240" w:lineRule="auto"/>
    </w:pPr>
  </w:style>
  <w:style w:type="paragraph" w:customStyle="1" w:styleId="NICEnormal">
    <w:name w:val="NICE normal"/>
    <w:link w:val="NICEnormalChar"/>
    <w:qFormat/>
    <w:rsid w:val="00141DCB"/>
    <w:pPr>
      <w:spacing w:after="240" w:line="360" w:lineRule="auto"/>
    </w:pPr>
    <w:rPr>
      <w:rFonts w:ascii="Arial" w:hAnsi="Arial"/>
      <w:sz w:val="24"/>
      <w:szCs w:val="24"/>
      <w:lang w:eastAsia="en-US"/>
    </w:rPr>
  </w:style>
  <w:style w:type="character" w:customStyle="1" w:styleId="NICEnormalChar">
    <w:name w:val="NICE normal Char"/>
    <w:link w:val="NICEnormal"/>
    <w:rsid w:val="00141DCB"/>
    <w:rPr>
      <w:rFonts w:ascii="Arial" w:hAnsi="Arial"/>
      <w:sz w:val="24"/>
      <w:szCs w:val="24"/>
      <w:lang w:eastAsia="en-US"/>
    </w:rPr>
  </w:style>
  <w:style w:type="paragraph" w:customStyle="1" w:styleId="Numberedheading1">
    <w:name w:val="Numbered heading 1"/>
    <w:basedOn w:val="Heading1"/>
    <w:next w:val="NICEnormal"/>
    <w:link w:val="Numberedheading1CharChar"/>
    <w:qFormat/>
    <w:rsid w:val="00141DCB"/>
    <w:pPr>
      <w:numPr>
        <w:numId w:val="35"/>
      </w:numPr>
    </w:pPr>
    <w:rPr>
      <w:szCs w:val="24"/>
    </w:rPr>
  </w:style>
  <w:style w:type="character" w:customStyle="1" w:styleId="Numberedheading1CharChar">
    <w:name w:val="Numbered heading 1 Char Char"/>
    <w:link w:val="Numberedheading1"/>
    <w:rsid w:val="00141DCB"/>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E37EE6"/>
    <w:pPr>
      <w:numPr>
        <w:ilvl w:val="1"/>
        <w:numId w:val="35"/>
      </w:numPr>
      <w:ind w:left="1134"/>
    </w:pPr>
  </w:style>
  <w:style w:type="character" w:customStyle="1" w:styleId="Numberedheading2Char">
    <w:name w:val="Numbered heading 2 Char"/>
    <w:basedOn w:val="Heading2Char"/>
    <w:link w:val="Numberedheading2"/>
    <w:rsid w:val="00E37EE6"/>
    <w:rPr>
      <w:rFonts w:ascii="Arial" w:hAnsi="Arial" w:cs="Arial"/>
      <w:b/>
      <w:bCs/>
      <w:sz w:val="28"/>
      <w:szCs w:val="28"/>
      <w:lang w:eastAsia="en-US"/>
    </w:rPr>
  </w:style>
  <w:style w:type="character" w:styleId="PlaceholderText">
    <w:name w:val="Placeholder Text"/>
    <w:basedOn w:val="DefaultParagraphFont"/>
    <w:uiPriority w:val="99"/>
    <w:semiHidden/>
    <w:rsid w:val="00141DCB"/>
    <w:rPr>
      <w:color w:val="808080"/>
    </w:rPr>
  </w:style>
  <w:style w:type="paragraph" w:customStyle="1" w:styleId="Title1">
    <w:name w:val="Title 1"/>
    <w:basedOn w:val="Normal"/>
    <w:qFormat/>
    <w:rsid w:val="00141DCB"/>
    <w:pPr>
      <w:keepNext/>
      <w:spacing w:before="240" w:after="240"/>
      <w:jc w:val="center"/>
      <w:outlineLvl w:val="0"/>
    </w:pPr>
    <w:rPr>
      <w:rFonts w:ascii="Arial" w:hAnsi="Arial" w:cs="Arial"/>
      <w:b/>
      <w:bCs/>
      <w:kern w:val="28"/>
      <w:sz w:val="40"/>
      <w:szCs w:val="32"/>
    </w:rPr>
  </w:style>
  <w:style w:type="character" w:styleId="UnresolvedMention">
    <w:name w:val="Unresolved Mention"/>
    <w:basedOn w:val="DefaultParagraphFont"/>
    <w:uiPriority w:val="99"/>
    <w:semiHidden/>
    <w:unhideWhenUsed/>
    <w:rsid w:val="00141DCB"/>
    <w:rPr>
      <w:color w:val="605E5C"/>
      <w:shd w:val="clear" w:color="auto" w:fill="E1DFDD"/>
    </w:rPr>
  </w:style>
  <w:style w:type="character" w:styleId="Mention">
    <w:name w:val="Mention"/>
    <w:basedOn w:val="DefaultParagraphFont"/>
    <w:uiPriority w:val="99"/>
    <w:unhideWhenUsed/>
    <w:rsid w:val="00F77FE2"/>
    <w:rPr>
      <w:color w:val="2B579A"/>
      <w:shd w:val="clear" w:color="auto" w:fill="E1DFDD"/>
    </w:rPr>
  </w:style>
  <w:style w:type="character" w:styleId="FollowedHyperlink">
    <w:name w:val="FollowedHyperlink"/>
    <w:rsid w:val="00141DCB"/>
    <w:rPr>
      <w:color w:val="800080"/>
      <w:u w:val="single"/>
    </w:rPr>
  </w:style>
  <w:style w:type="paragraph" w:styleId="NormalWeb">
    <w:name w:val="Normal (Web)"/>
    <w:basedOn w:val="Normal"/>
    <w:semiHidden/>
    <w:rsid w:val="00771ABF"/>
  </w:style>
  <w:style w:type="paragraph" w:customStyle="1" w:styleId="Bulletindent1">
    <w:name w:val="Bullet indent 1"/>
    <w:basedOn w:val="NICEnormal"/>
    <w:link w:val="Bulletindent1Char"/>
    <w:rsid w:val="00141DCB"/>
    <w:pPr>
      <w:numPr>
        <w:numId w:val="19"/>
      </w:numPr>
      <w:spacing w:after="0"/>
    </w:pPr>
  </w:style>
  <w:style w:type="character" w:customStyle="1" w:styleId="Bulletindent1Char">
    <w:name w:val="Bullet indent 1 Char"/>
    <w:link w:val="Bulletindent1"/>
    <w:rsid w:val="00141DCB"/>
    <w:rPr>
      <w:rFonts w:ascii="Arial" w:hAnsi="Arial"/>
      <w:sz w:val="24"/>
      <w:szCs w:val="24"/>
      <w:lang w:eastAsia="en-US"/>
    </w:rPr>
  </w:style>
  <w:style w:type="paragraph" w:customStyle="1" w:styleId="Bulletindent1last">
    <w:name w:val="Bullet indent 1 last"/>
    <w:basedOn w:val="NICEnormal"/>
    <w:next w:val="NICEnormal"/>
    <w:rsid w:val="00141DCB"/>
    <w:pPr>
      <w:numPr>
        <w:numId w:val="20"/>
      </w:numPr>
    </w:pPr>
  </w:style>
  <w:style w:type="paragraph" w:customStyle="1" w:styleId="Bulletindent2">
    <w:name w:val="Bullet indent 2"/>
    <w:basedOn w:val="NICEnormal"/>
    <w:rsid w:val="00141DCB"/>
    <w:pPr>
      <w:numPr>
        <w:ilvl w:val="1"/>
        <w:numId w:val="21"/>
      </w:numPr>
      <w:spacing w:after="0"/>
    </w:pPr>
  </w:style>
  <w:style w:type="paragraph" w:customStyle="1" w:styleId="Bulletindent2last">
    <w:name w:val="Bullet indent 2 last"/>
    <w:basedOn w:val="Bulletindent2"/>
    <w:next w:val="NICEnormal"/>
    <w:rsid w:val="00141DCB"/>
    <w:pPr>
      <w:numPr>
        <w:numId w:val="23"/>
      </w:numPr>
      <w:spacing w:after="240"/>
    </w:pPr>
  </w:style>
  <w:style w:type="paragraph" w:customStyle="1" w:styleId="Bulletindent3">
    <w:name w:val="Bullet indent 3"/>
    <w:basedOn w:val="NICEnormal"/>
    <w:rsid w:val="00141DCB"/>
    <w:pPr>
      <w:numPr>
        <w:ilvl w:val="2"/>
        <w:numId w:val="23"/>
      </w:numPr>
      <w:spacing w:after="0"/>
    </w:pPr>
  </w:style>
  <w:style w:type="paragraph" w:customStyle="1" w:styleId="Bulletleft1">
    <w:name w:val="Bullet left 1"/>
    <w:basedOn w:val="NICEnormal"/>
    <w:qFormat/>
    <w:rsid w:val="00141DCB"/>
    <w:pPr>
      <w:numPr>
        <w:numId w:val="24"/>
      </w:numPr>
      <w:spacing w:after="0"/>
    </w:pPr>
  </w:style>
  <w:style w:type="paragraph" w:customStyle="1" w:styleId="Bulletleft1last">
    <w:name w:val="Bullet left 1 last"/>
    <w:basedOn w:val="NICEnormal"/>
    <w:link w:val="Bulletleft1lastChar"/>
    <w:rsid w:val="00141DCB"/>
    <w:pPr>
      <w:numPr>
        <w:numId w:val="25"/>
      </w:numPr>
    </w:pPr>
    <w:rPr>
      <w:rFonts w:cs="Arial"/>
    </w:rPr>
  </w:style>
  <w:style w:type="character" w:customStyle="1" w:styleId="Bulletleft1lastChar">
    <w:name w:val="Bullet left 1 last Char"/>
    <w:link w:val="Bulletleft1last"/>
    <w:rsid w:val="00141DCB"/>
    <w:rPr>
      <w:rFonts w:ascii="Arial" w:hAnsi="Arial" w:cs="Arial"/>
      <w:sz w:val="24"/>
      <w:szCs w:val="24"/>
      <w:lang w:eastAsia="en-US"/>
    </w:rPr>
  </w:style>
  <w:style w:type="paragraph" w:customStyle="1" w:styleId="Bulletleft2">
    <w:name w:val="Bullet left 2"/>
    <w:basedOn w:val="NICEnormal"/>
    <w:rsid w:val="00141DCB"/>
    <w:pPr>
      <w:numPr>
        <w:ilvl w:val="1"/>
        <w:numId w:val="26"/>
      </w:numPr>
      <w:spacing w:after="0"/>
    </w:pPr>
  </w:style>
  <w:style w:type="paragraph" w:customStyle="1" w:styleId="Bulletleft3">
    <w:name w:val="Bullet left 3"/>
    <w:basedOn w:val="NICEnormal"/>
    <w:rsid w:val="00141DCB"/>
    <w:pPr>
      <w:numPr>
        <w:ilvl w:val="2"/>
        <w:numId w:val="27"/>
      </w:numPr>
      <w:spacing w:after="0"/>
    </w:pPr>
  </w:style>
  <w:style w:type="paragraph" w:customStyle="1" w:styleId="Documentissuedate">
    <w:name w:val="Document issue date"/>
    <w:basedOn w:val="NICEnormal"/>
    <w:qFormat/>
    <w:rsid w:val="00141DCB"/>
    <w:rPr>
      <w:lang w:val="en-US"/>
    </w:rPr>
  </w:style>
  <w:style w:type="character" w:styleId="FootnoteReference">
    <w:name w:val="footnote reference"/>
    <w:rsid w:val="00141DCB"/>
    <w:rPr>
      <w:vertAlign w:val="superscript"/>
    </w:rPr>
  </w:style>
  <w:style w:type="paragraph" w:styleId="FootnoteText">
    <w:name w:val="footnote text"/>
    <w:basedOn w:val="Normal"/>
    <w:link w:val="FootnoteTextChar"/>
    <w:rsid w:val="00141DCB"/>
    <w:rPr>
      <w:sz w:val="20"/>
      <w:szCs w:val="20"/>
    </w:rPr>
  </w:style>
  <w:style w:type="character" w:customStyle="1" w:styleId="FootnoteTextChar">
    <w:name w:val="Footnote Text Char"/>
    <w:link w:val="FootnoteText"/>
    <w:rsid w:val="00141DCB"/>
    <w:rPr>
      <w:lang w:eastAsia="en-US"/>
    </w:rPr>
  </w:style>
  <w:style w:type="paragraph" w:customStyle="1" w:styleId="Guidanceissuedate">
    <w:name w:val="Guidance issue date"/>
    <w:basedOn w:val="NICEnormal"/>
    <w:qFormat/>
    <w:rsid w:val="00141DCB"/>
    <w:rPr>
      <w:lang w:val="en-US"/>
    </w:rPr>
  </w:style>
  <w:style w:type="paragraph" w:customStyle="1" w:styleId="NICEnormalindented">
    <w:name w:val="NICE normal indented"/>
    <w:basedOn w:val="NICEnormal"/>
    <w:rsid w:val="00141DCB"/>
    <w:pPr>
      <w:tabs>
        <w:tab w:val="left" w:pos="1134"/>
      </w:tabs>
      <w:ind w:left="1134"/>
    </w:pPr>
  </w:style>
  <w:style w:type="character" w:customStyle="1" w:styleId="normaltextrun">
    <w:name w:val="normaltextrun"/>
    <w:basedOn w:val="DefaultParagraphFont"/>
    <w:rsid w:val="00141DCB"/>
  </w:style>
  <w:style w:type="paragraph" w:customStyle="1" w:styleId="Numberedlevel2text">
    <w:name w:val="Numbered level 2 text"/>
    <w:basedOn w:val="Normal"/>
    <w:link w:val="Numberedlevel2textChar"/>
    <w:qFormat/>
    <w:rsid w:val="00141DCB"/>
    <w:pPr>
      <w:numPr>
        <w:ilvl w:val="1"/>
        <w:numId w:val="29"/>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141DCB"/>
    <w:rPr>
      <w:rFonts w:ascii="Arial" w:hAnsi="Arial"/>
      <w:bCs/>
      <w:iCs/>
      <w:sz w:val="24"/>
      <w:szCs w:val="28"/>
      <w:lang w:val="x-none" w:eastAsia="en-US"/>
    </w:rPr>
  </w:style>
  <w:style w:type="character" w:styleId="PageNumber">
    <w:name w:val="page number"/>
    <w:rsid w:val="00141DCB"/>
    <w:rPr>
      <w:rFonts w:ascii="Arial" w:hAnsi="Arial"/>
      <w:sz w:val="24"/>
    </w:rPr>
  </w:style>
  <w:style w:type="paragraph" w:customStyle="1" w:styleId="Panelbullet1">
    <w:name w:val="Panel bullet 1"/>
    <w:basedOn w:val="ListParagraph"/>
    <w:qFormat/>
    <w:rsid w:val="00141DCB"/>
    <w:pPr>
      <w:numPr>
        <w:numId w:val="30"/>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141DCB"/>
    <w:rPr>
      <w:color w:val="FFFFFF" w:themeColor="background1"/>
      <w:u w:val="single"/>
    </w:rPr>
  </w:style>
  <w:style w:type="paragraph" w:customStyle="1" w:styleId="Paragraphnonumbers">
    <w:name w:val="Paragraph no numbers"/>
    <w:basedOn w:val="Normal"/>
    <w:uiPriority w:val="99"/>
    <w:qFormat/>
    <w:rsid w:val="00141DCB"/>
    <w:pPr>
      <w:spacing w:after="240" w:line="276" w:lineRule="auto"/>
    </w:pPr>
    <w:rPr>
      <w:rFonts w:ascii="Arial" w:hAnsi="Arial"/>
      <w:lang w:eastAsia="en-GB"/>
    </w:rPr>
  </w:style>
  <w:style w:type="paragraph" w:styleId="Quote">
    <w:name w:val="Quote"/>
    <w:basedOn w:val="NICEnormal"/>
    <w:next w:val="NICEnormal"/>
    <w:link w:val="QuoteChar"/>
    <w:uiPriority w:val="29"/>
    <w:qFormat/>
    <w:rsid w:val="00141DCB"/>
    <w:pPr>
      <w:spacing w:before="200" w:after="160"/>
      <w:ind w:left="864" w:right="864"/>
      <w:jc w:val="center"/>
    </w:pPr>
    <w:rPr>
      <w:iCs/>
    </w:rPr>
  </w:style>
  <w:style w:type="character" w:customStyle="1" w:styleId="QuoteChar">
    <w:name w:val="Quote Char"/>
    <w:basedOn w:val="DefaultParagraphFont"/>
    <w:link w:val="Quote"/>
    <w:uiPriority w:val="29"/>
    <w:rsid w:val="00141DCB"/>
    <w:rPr>
      <w:rFonts w:ascii="Arial" w:hAnsi="Arial"/>
      <w:iCs/>
      <w:sz w:val="24"/>
      <w:szCs w:val="24"/>
      <w:lang w:eastAsia="en-US"/>
    </w:rPr>
  </w:style>
  <w:style w:type="paragraph" w:customStyle="1" w:styleId="Section412paragraphs">
    <w:name w:val="Section 4.1.2 paragraphs"/>
    <w:basedOn w:val="NICEnormal"/>
    <w:rsid w:val="00141DCB"/>
    <w:pPr>
      <w:numPr>
        <w:numId w:val="32"/>
      </w:numPr>
    </w:pPr>
  </w:style>
  <w:style w:type="character" w:customStyle="1" w:styleId="ui-provider">
    <w:name w:val="ui-provider"/>
    <w:basedOn w:val="DefaultParagraphFont"/>
    <w:rsid w:val="00141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TA688" TargetMode="External"/><Relationship Id="rId18" Type="http://schemas.openxmlformats.org/officeDocument/2006/relationships/hyperlink" Target="https://www.nice.org.uk/guidance/ta894" TargetMode="External"/><Relationship Id="rId26" Type="http://schemas.openxmlformats.org/officeDocument/2006/relationships/hyperlink" Target="https://www.nice.org.uk/guidance/indevelopment/gid-ta11220" TargetMode="External"/><Relationship Id="rId39" Type="http://schemas.openxmlformats.org/officeDocument/2006/relationships/hyperlink" Target="https://www.nice.org.uk/guidance/ta1026/chapter/committee-discussion" TargetMode="External"/><Relationship Id="rId21" Type="http://schemas.openxmlformats.org/officeDocument/2006/relationships/hyperlink" Target="https://www.nice.org.uk/guidance/indevelopment/gid-ta11220" TargetMode="External"/><Relationship Id="rId34" Type="http://schemas.openxmlformats.org/officeDocument/2006/relationships/hyperlink" Target="https://www.nice.org.uk/guidance/indevelopment/gid-ta11220" TargetMode="External"/><Relationship Id="rId42" Type="http://schemas.openxmlformats.org/officeDocument/2006/relationships/glossaryDocument" Target="glossary/document.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ice.org.uk/guidance/ta872" TargetMode="External"/><Relationship Id="rId20" Type="http://schemas.openxmlformats.org/officeDocument/2006/relationships/hyperlink" Target="https://www.nice.org.uk/guidance/ta1091" TargetMode="External"/><Relationship Id="rId29" Type="http://schemas.openxmlformats.org/officeDocument/2006/relationships/hyperlink" Target="https://www.nice.org.uk/guidance/TA688"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nice.org.uk/guidance/TA769" TargetMode="External"/><Relationship Id="rId32" Type="http://schemas.openxmlformats.org/officeDocument/2006/relationships/hyperlink" Target="https://www.nice.org.uk/guidance/ta872/chapter/3-Committee-discussion" TargetMode="External"/><Relationship Id="rId37" Type="http://schemas.openxmlformats.org/officeDocument/2006/relationships/hyperlink" Target="https://www.nice.org.uk/guidance/ta1026" TargetMode="External"/><Relationship Id="rId40"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www.nice.org.uk/guidance/ta854" TargetMode="External"/><Relationship Id="rId23" Type="http://schemas.openxmlformats.org/officeDocument/2006/relationships/hyperlink" Target="https://www.nice.org.uk/guidance/hst21" TargetMode="External"/><Relationship Id="rId28" Type="http://schemas.openxmlformats.org/officeDocument/2006/relationships/hyperlink" Target="https://www.nice.org.uk/guidance/hst21" TargetMode="External"/><Relationship Id="rId36" Type="http://schemas.openxmlformats.org/officeDocument/2006/relationships/hyperlink" Target="https://www.nice.org.uk/guidance/ta878" TargetMode="External"/><Relationship Id="rId10" Type="http://schemas.openxmlformats.org/officeDocument/2006/relationships/footer" Target="footer2.xml"/><Relationship Id="rId19" Type="http://schemas.openxmlformats.org/officeDocument/2006/relationships/hyperlink" Target="https://www.nice.org.uk/guidance/ta1026" TargetMode="External"/><Relationship Id="rId31" Type="http://schemas.openxmlformats.org/officeDocument/2006/relationships/hyperlink" Target="https://www.nice.org.uk/guidance/ta89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nice.org.uk/guidance/TA769" TargetMode="External"/><Relationship Id="rId22" Type="http://schemas.openxmlformats.org/officeDocument/2006/relationships/hyperlink" Target="https://www.nice.org.uk/guidance/indevelopment/gid-ta11221" TargetMode="External"/><Relationship Id="rId27" Type="http://schemas.openxmlformats.org/officeDocument/2006/relationships/hyperlink" Target="https://www.nice.org.uk/guidance/indevelopment/gid-ta11221" TargetMode="External"/><Relationship Id="rId30" Type="http://schemas.openxmlformats.org/officeDocument/2006/relationships/hyperlink" Target="https://www.nice.org.uk/guidance/ta1091/chapter/3-Committee-discussion" TargetMode="External"/><Relationship Id="rId35" Type="http://schemas.openxmlformats.org/officeDocument/2006/relationships/hyperlink" Target="https://www.nice.org.uk/guidance/indevelopment/gid-ta11221" TargetMode="Externa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nice.org.uk/guidance/TA501" TargetMode="External"/><Relationship Id="rId17" Type="http://schemas.openxmlformats.org/officeDocument/2006/relationships/hyperlink" Target="https://www.nice.org.uk/guidance/ta878" TargetMode="External"/><Relationship Id="rId25" Type="http://schemas.openxmlformats.org/officeDocument/2006/relationships/hyperlink" Target="https://www.nice.org.uk/guidance/ta854" TargetMode="External"/><Relationship Id="rId33" Type="http://schemas.openxmlformats.org/officeDocument/2006/relationships/hyperlink" Target="https://www.nice.org.uk/guidance/TA501" TargetMode="External"/><Relationship Id="rId38" Type="http://schemas.openxmlformats.org/officeDocument/2006/relationships/hyperlink" Target="https://www.nice.org.uk/guidance/ta854/chapter/3-Committee-discussio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A5EF0EE184221BB11A440B2A509AE"/>
        <w:category>
          <w:name w:val="General"/>
          <w:gallery w:val="placeholder"/>
        </w:category>
        <w:types>
          <w:type w:val="bbPlcHdr"/>
        </w:types>
        <w:behaviors>
          <w:behavior w:val="content"/>
        </w:behaviors>
        <w:guid w:val="{B08C7000-BD77-4974-9F34-AC33596CD7EF}"/>
      </w:docPartPr>
      <w:docPartBody>
        <w:p w:rsidR="00EC279B" w:rsidRDefault="007E0D14" w:rsidP="007E0D14">
          <w:pPr>
            <w:pStyle w:val="FB7A5EF0EE184221BB11A440B2A509AE"/>
          </w:pPr>
          <w:r w:rsidRPr="004C4B42">
            <w:rPr>
              <w:highlight w:val="lightGray"/>
            </w:rPr>
            <w:t>[Insert section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2FF" w:usb1="1200A1FF" w:usb2="00000001" w:usb3="00000000" w:csb0="0000019F" w:csb1="00000000"/>
  </w:font>
  <w:font w:name="MS Mincho">
    <w:panose1 w:val="02020609040205080304"/>
    <w:charset w:val="80"/>
    <w:family w:val="modern"/>
    <w:pitch w:val="fixed"/>
    <w:sig w:usb0="E00002FF" w:usb1="6AC7FDFB" w:usb2="08000012" w:usb3="00000000" w:csb0="0002009F" w:csb1="00000000"/>
  </w:font>
  <w:font w:name="Lora SemiBold">
    <w:panose1 w:val="00000000000000000000"/>
    <w:charset w:val="00"/>
    <w:family w:val="auto"/>
    <w:pitch w:val="variable"/>
    <w:sig w:usb0="A00002FF" w:usb1="5000204B"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B581B"/>
    <w:multiLevelType w:val="multilevel"/>
    <w:tmpl w:val="FFFFFFFF"/>
    <w:lvl w:ilvl="0">
      <w:start w:val="1"/>
      <w:numFmt w:val="decimal"/>
      <w:pStyle w:val="FB7A5EF0EE184221BB11A440B2A509A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4BB5390"/>
    <w:multiLevelType w:val="multilevel"/>
    <w:tmpl w:val="0546A9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4808348">
    <w:abstractNumId w:val="1"/>
  </w:num>
  <w:num w:numId="2" w16cid:durableId="107829016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A3"/>
    <w:rsid w:val="00073E1A"/>
    <w:rsid w:val="000860E4"/>
    <w:rsid w:val="000B7452"/>
    <w:rsid w:val="000E44F5"/>
    <w:rsid w:val="000E5278"/>
    <w:rsid w:val="001160A2"/>
    <w:rsid w:val="001471C1"/>
    <w:rsid w:val="00150EA5"/>
    <w:rsid w:val="00151E34"/>
    <w:rsid w:val="001600EC"/>
    <w:rsid w:val="001D2C88"/>
    <w:rsid w:val="00207F7D"/>
    <w:rsid w:val="00217358"/>
    <w:rsid w:val="002544AD"/>
    <w:rsid w:val="00257EF1"/>
    <w:rsid w:val="00281FD5"/>
    <w:rsid w:val="00283A7B"/>
    <w:rsid w:val="002910D4"/>
    <w:rsid w:val="0031613F"/>
    <w:rsid w:val="00353481"/>
    <w:rsid w:val="003644D8"/>
    <w:rsid w:val="003D498B"/>
    <w:rsid w:val="003F4C2E"/>
    <w:rsid w:val="00407E61"/>
    <w:rsid w:val="00444104"/>
    <w:rsid w:val="004B6B53"/>
    <w:rsid w:val="004B7AA8"/>
    <w:rsid w:val="004D27B7"/>
    <w:rsid w:val="005317C6"/>
    <w:rsid w:val="00534AFE"/>
    <w:rsid w:val="00535B56"/>
    <w:rsid w:val="005461A7"/>
    <w:rsid w:val="005957BE"/>
    <w:rsid w:val="005B6BA3"/>
    <w:rsid w:val="005D460A"/>
    <w:rsid w:val="005E6FC0"/>
    <w:rsid w:val="0061117F"/>
    <w:rsid w:val="00666CF3"/>
    <w:rsid w:val="006C2A9F"/>
    <w:rsid w:val="006D5803"/>
    <w:rsid w:val="00793E0B"/>
    <w:rsid w:val="007C446F"/>
    <w:rsid w:val="007C5857"/>
    <w:rsid w:val="007D08F8"/>
    <w:rsid w:val="007E0D14"/>
    <w:rsid w:val="007F630B"/>
    <w:rsid w:val="008058CD"/>
    <w:rsid w:val="008A4164"/>
    <w:rsid w:val="008E1917"/>
    <w:rsid w:val="00901949"/>
    <w:rsid w:val="00914675"/>
    <w:rsid w:val="00930EEE"/>
    <w:rsid w:val="00995D23"/>
    <w:rsid w:val="009E39B2"/>
    <w:rsid w:val="009F4FDF"/>
    <w:rsid w:val="00A416A5"/>
    <w:rsid w:val="00AE3134"/>
    <w:rsid w:val="00AF1587"/>
    <w:rsid w:val="00B13F69"/>
    <w:rsid w:val="00B40050"/>
    <w:rsid w:val="00B96F73"/>
    <w:rsid w:val="00C43EC9"/>
    <w:rsid w:val="00C61714"/>
    <w:rsid w:val="00CE3A9E"/>
    <w:rsid w:val="00D03129"/>
    <w:rsid w:val="00DA0964"/>
    <w:rsid w:val="00DC6287"/>
    <w:rsid w:val="00E03178"/>
    <w:rsid w:val="00E53C74"/>
    <w:rsid w:val="00E567FC"/>
    <w:rsid w:val="00E72190"/>
    <w:rsid w:val="00E878C5"/>
    <w:rsid w:val="00E93C06"/>
    <w:rsid w:val="00E94E96"/>
    <w:rsid w:val="00E9741C"/>
    <w:rsid w:val="00EC279B"/>
    <w:rsid w:val="00F72CEB"/>
    <w:rsid w:val="00F76B85"/>
    <w:rsid w:val="00F817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6B946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279B"/>
    <w:pPr>
      <w:keepNext/>
      <w:spacing w:before="240" w:after="120" w:line="360" w:lineRule="auto"/>
      <w:outlineLvl w:val="0"/>
    </w:pPr>
    <w:rPr>
      <w:rFonts w:ascii="Arial" w:eastAsia="Times New Roman" w:hAnsi="Arial" w:cs="Arial"/>
      <w:b/>
      <w:bCs/>
      <w:kern w:val="32"/>
      <w:sz w:val="32"/>
      <w:szCs w:val="3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D14"/>
    <w:rPr>
      <w:color w:val="666666"/>
    </w:rPr>
  </w:style>
  <w:style w:type="character" w:customStyle="1" w:styleId="Heading1Char">
    <w:name w:val="Heading 1 Char"/>
    <w:link w:val="Heading1"/>
    <w:rsid w:val="00EC279B"/>
    <w:rPr>
      <w:rFonts w:ascii="Arial" w:eastAsia="Times New Roman" w:hAnsi="Arial" w:cs="Arial"/>
      <w:b/>
      <w:bCs/>
      <w:kern w:val="32"/>
      <w:sz w:val="32"/>
      <w:szCs w:val="32"/>
      <w:lang w:eastAsia="en-US"/>
      <w14:ligatures w14:val="none"/>
    </w:rPr>
  </w:style>
  <w:style w:type="paragraph" w:customStyle="1" w:styleId="FB7A5EF0EE184221BB11A440B2A509AE">
    <w:name w:val="FB7A5EF0EE184221BB11A440B2A509AE"/>
    <w:rsid w:val="007E0D14"/>
    <w:pPr>
      <w:keepNext/>
      <w:numPr>
        <w:numId w:val="2"/>
      </w:numPr>
      <w:tabs>
        <w:tab w:val="num" w:pos="1134"/>
      </w:tabs>
      <w:spacing w:before="240" w:after="120" w:line="360" w:lineRule="auto"/>
      <w:ind w:left="1134" w:hanging="1134"/>
      <w:outlineLvl w:val="0"/>
    </w:pPr>
    <w:rPr>
      <w:rFonts w:ascii="Arial" w:eastAsia="Times New Roman" w:hAnsi="Arial" w:cs="Arial"/>
      <w:b/>
      <w:bCs/>
      <w:kern w:val="32"/>
      <w:sz w:val="3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1818</Words>
  <Characters>10751</Characters>
  <Application>Microsoft Office Word</Application>
  <DocSecurity>0</DocSecurity>
  <Lines>228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12514</CharactersWithSpaces>
  <SharedDoc>false</SharedDoc>
  <HLinks>
    <vt:vector size="234" baseType="variant">
      <vt:variant>
        <vt:i4>7864381</vt:i4>
      </vt:variant>
      <vt:variant>
        <vt:i4>144</vt:i4>
      </vt:variant>
      <vt:variant>
        <vt:i4>0</vt:i4>
      </vt:variant>
      <vt:variant>
        <vt:i4>5</vt:i4>
      </vt:variant>
      <vt:variant>
        <vt:lpwstr>https://www.nice.org.uk/guidance/ta1026/chapter/committee-discussion</vt:lpwstr>
      </vt:variant>
      <vt:variant>
        <vt:lpwstr>treatment-pathway-for-overweight-and-obesity-in-the-nhs</vt:lpwstr>
      </vt:variant>
      <vt:variant>
        <vt:i4>1048642</vt:i4>
      </vt:variant>
      <vt:variant>
        <vt:i4>141</vt:i4>
      </vt:variant>
      <vt:variant>
        <vt:i4>0</vt:i4>
      </vt:variant>
      <vt:variant>
        <vt:i4>5</vt:i4>
      </vt:variant>
      <vt:variant>
        <vt:lpwstr>https://www.nice.org.uk/guidance/ta854/chapter/3-Committee-discussion</vt:lpwstr>
      </vt:variant>
      <vt:variant>
        <vt:lpwstr>other-factors</vt:lpwstr>
      </vt:variant>
      <vt:variant>
        <vt:i4>8060966</vt:i4>
      </vt:variant>
      <vt:variant>
        <vt:i4>138</vt:i4>
      </vt:variant>
      <vt:variant>
        <vt:i4>0</vt:i4>
      </vt:variant>
      <vt:variant>
        <vt:i4>5</vt:i4>
      </vt:variant>
      <vt:variant>
        <vt:lpwstr>https://www.nice.org.uk/guidance/ta1026</vt:lpwstr>
      </vt:variant>
      <vt:variant>
        <vt:lpwstr/>
      </vt:variant>
      <vt:variant>
        <vt:i4>7864353</vt:i4>
      </vt:variant>
      <vt:variant>
        <vt:i4>135</vt:i4>
      </vt:variant>
      <vt:variant>
        <vt:i4>0</vt:i4>
      </vt:variant>
      <vt:variant>
        <vt:i4>5</vt:i4>
      </vt:variant>
      <vt:variant>
        <vt:lpwstr>https://www.nice.org.uk/guidance/ta878</vt:lpwstr>
      </vt:variant>
      <vt:variant>
        <vt:lpwstr/>
      </vt:variant>
      <vt:variant>
        <vt:i4>4128892</vt:i4>
      </vt:variant>
      <vt:variant>
        <vt:i4>132</vt:i4>
      </vt:variant>
      <vt:variant>
        <vt:i4>0</vt:i4>
      </vt:variant>
      <vt:variant>
        <vt:i4>5</vt:i4>
      </vt:variant>
      <vt:variant>
        <vt:lpwstr>https://www.nice.org.uk/guidance/indevelopment/gid-ta11221</vt:lpwstr>
      </vt:variant>
      <vt:variant>
        <vt:lpwstr/>
      </vt:variant>
      <vt:variant>
        <vt:i4>4063356</vt:i4>
      </vt:variant>
      <vt:variant>
        <vt:i4>129</vt:i4>
      </vt:variant>
      <vt:variant>
        <vt:i4>0</vt:i4>
      </vt:variant>
      <vt:variant>
        <vt:i4>5</vt:i4>
      </vt:variant>
      <vt:variant>
        <vt:lpwstr>https://www.nice.org.uk/guidance/indevelopment/gid-ta11220</vt:lpwstr>
      </vt:variant>
      <vt:variant>
        <vt:lpwstr/>
      </vt:variant>
      <vt:variant>
        <vt:i4>8126502</vt:i4>
      </vt:variant>
      <vt:variant>
        <vt:i4>126</vt:i4>
      </vt:variant>
      <vt:variant>
        <vt:i4>0</vt:i4>
      </vt:variant>
      <vt:variant>
        <vt:i4>5</vt:i4>
      </vt:variant>
      <vt:variant>
        <vt:lpwstr>https://www.nice.org.uk/guidance/TA501</vt:lpwstr>
      </vt:variant>
      <vt:variant>
        <vt:lpwstr/>
      </vt:variant>
      <vt:variant>
        <vt:i4>5046367</vt:i4>
      </vt:variant>
      <vt:variant>
        <vt:i4>123</vt:i4>
      </vt:variant>
      <vt:variant>
        <vt:i4>0</vt:i4>
      </vt:variant>
      <vt:variant>
        <vt:i4>5</vt:i4>
      </vt:variant>
      <vt:variant>
        <vt:lpwstr>https://www.nice.org.uk/guidance/ta872/chapter/3-Committee-discussion</vt:lpwstr>
      </vt:variant>
      <vt:variant>
        <vt:lpwstr/>
      </vt:variant>
      <vt:variant>
        <vt:i4>7602223</vt:i4>
      </vt:variant>
      <vt:variant>
        <vt:i4>120</vt:i4>
      </vt:variant>
      <vt:variant>
        <vt:i4>0</vt:i4>
      </vt:variant>
      <vt:variant>
        <vt:i4>5</vt:i4>
      </vt:variant>
      <vt:variant>
        <vt:lpwstr>https://www.nice.org.uk/guidance/ta894</vt:lpwstr>
      </vt:variant>
      <vt:variant>
        <vt:lpwstr/>
      </vt:variant>
      <vt:variant>
        <vt:i4>5374028</vt:i4>
      </vt:variant>
      <vt:variant>
        <vt:i4>117</vt:i4>
      </vt:variant>
      <vt:variant>
        <vt:i4>0</vt:i4>
      </vt:variant>
      <vt:variant>
        <vt:i4>5</vt:i4>
      </vt:variant>
      <vt:variant>
        <vt:lpwstr>https://www.nice.org.uk/guidance/ta1091/chapter/3-Committee-discussion</vt:lpwstr>
      </vt:variant>
      <vt:variant>
        <vt:lpwstr>adverse-events-and-need-for-monitoring</vt:lpwstr>
      </vt:variant>
      <vt:variant>
        <vt:i4>7733294</vt:i4>
      </vt:variant>
      <vt:variant>
        <vt:i4>114</vt:i4>
      </vt:variant>
      <vt:variant>
        <vt:i4>0</vt:i4>
      </vt:variant>
      <vt:variant>
        <vt:i4>5</vt:i4>
      </vt:variant>
      <vt:variant>
        <vt:lpwstr>https://www.nice.org.uk/guidance/TA688</vt:lpwstr>
      </vt:variant>
      <vt:variant>
        <vt:lpwstr/>
      </vt:variant>
      <vt:variant>
        <vt:i4>2162742</vt:i4>
      </vt:variant>
      <vt:variant>
        <vt:i4>111</vt:i4>
      </vt:variant>
      <vt:variant>
        <vt:i4>0</vt:i4>
      </vt:variant>
      <vt:variant>
        <vt:i4>5</vt:i4>
      </vt:variant>
      <vt:variant>
        <vt:lpwstr>https://www.nice.org.uk/guidance/hst21</vt:lpwstr>
      </vt:variant>
      <vt:variant>
        <vt:lpwstr/>
      </vt:variant>
      <vt:variant>
        <vt:i4>4128892</vt:i4>
      </vt:variant>
      <vt:variant>
        <vt:i4>108</vt:i4>
      </vt:variant>
      <vt:variant>
        <vt:i4>0</vt:i4>
      </vt:variant>
      <vt:variant>
        <vt:i4>5</vt:i4>
      </vt:variant>
      <vt:variant>
        <vt:lpwstr>https://www.nice.org.uk/guidance/indevelopment/gid-ta11221</vt:lpwstr>
      </vt:variant>
      <vt:variant>
        <vt:lpwstr/>
      </vt:variant>
      <vt:variant>
        <vt:i4>4063356</vt:i4>
      </vt:variant>
      <vt:variant>
        <vt:i4>105</vt:i4>
      </vt:variant>
      <vt:variant>
        <vt:i4>0</vt:i4>
      </vt:variant>
      <vt:variant>
        <vt:i4>5</vt:i4>
      </vt:variant>
      <vt:variant>
        <vt:lpwstr>https://www.nice.org.uk/guidance/indevelopment/gid-ta11220</vt:lpwstr>
      </vt:variant>
      <vt:variant>
        <vt:lpwstr/>
      </vt:variant>
      <vt:variant>
        <vt:i4>7602211</vt:i4>
      </vt:variant>
      <vt:variant>
        <vt:i4>102</vt:i4>
      </vt:variant>
      <vt:variant>
        <vt:i4>0</vt:i4>
      </vt:variant>
      <vt:variant>
        <vt:i4>5</vt:i4>
      </vt:variant>
      <vt:variant>
        <vt:lpwstr>https://www.nice.org.uk/guidance/ta854</vt:lpwstr>
      </vt:variant>
      <vt:variant>
        <vt:lpwstr/>
      </vt:variant>
      <vt:variant>
        <vt:i4>7733280</vt:i4>
      </vt:variant>
      <vt:variant>
        <vt:i4>99</vt:i4>
      </vt:variant>
      <vt:variant>
        <vt:i4>0</vt:i4>
      </vt:variant>
      <vt:variant>
        <vt:i4>5</vt:i4>
      </vt:variant>
      <vt:variant>
        <vt:lpwstr>https://www.nice.org.uk/guidance/TA769</vt:lpwstr>
      </vt:variant>
      <vt:variant>
        <vt:lpwstr/>
      </vt:variant>
      <vt:variant>
        <vt:i4>2162742</vt:i4>
      </vt:variant>
      <vt:variant>
        <vt:i4>96</vt:i4>
      </vt:variant>
      <vt:variant>
        <vt:i4>0</vt:i4>
      </vt:variant>
      <vt:variant>
        <vt:i4>5</vt:i4>
      </vt:variant>
      <vt:variant>
        <vt:lpwstr>https://www.nice.org.uk/guidance/hst21</vt:lpwstr>
      </vt:variant>
      <vt:variant>
        <vt:lpwstr/>
      </vt:variant>
      <vt:variant>
        <vt:i4>4128892</vt:i4>
      </vt:variant>
      <vt:variant>
        <vt:i4>93</vt:i4>
      </vt:variant>
      <vt:variant>
        <vt:i4>0</vt:i4>
      </vt:variant>
      <vt:variant>
        <vt:i4>5</vt:i4>
      </vt:variant>
      <vt:variant>
        <vt:lpwstr>https://www.nice.org.uk/guidance/indevelopment/gid-ta11221</vt:lpwstr>
      </vt:variant>
      <vt:variant>
        <vt:lpwstr/>
      </vt:variant>
      <vt:variant>
        <vt:i4>4063356</vt:i4>
      </vt:variant>
      <vt:variant>
        <vt:i4>90</vt:i4>
      </vt:variant>
      <vt:variant>
        <vt:i4>0</vt:i4>
      </vt:variant>
      <vt:variant>
        <vt:i4>5</vt:i4>
      </vt:variant>
      <vt:variant>
        <vt:lpwstr>https://www.nice.org.uk/guidance/indevelopment/gid-ta11220</vt:lpwstr>
      </vt:variant>
      <vt:variant>
        <vt:lpwstr/>
      </vt:variant>
      <vt:variant>
        <vt:i4>7340070</vt:i4>
      </vt:variant>
      <vt:variant>
        <vt:i4>87</vt:i4>
      </vt:variant>
      <vt:variant>
        <vt:i4>0</vt:i4>
      </vt:variant>
      <vt:variant>
        <vt:i4>5</vt:i4>
      </vt:variant>
      <vt:variant>
        <vt:lpwstr>https://www.nice.org.uk/guidance/ta1091</vt:lpwstr>
      </vt:variant>
      <vt:variant>
        <vt:lpwstr/>
      </vt:variant>
      <vt:variant>
        <vt:i4>8060966</vt:i4>
      </vt:variant>
      <vt:variant>
        <vt:i4>84</vt:i4>
      </vt:variant>
      <vt:variant>
        <vt:i4>0</vt:i4>
      </vt:variant>
      <vt:variant>
        <vt:i4>5</vt:i4>
      </vt:variant>
      <vt:variant>
        <vt:lpwstr>https://www.nice.org.uk/guidance/ta1026</vt:lpwstr>
      </vt:variant>
      <vt:variant>
        <vt:lpwstr/>
      </vt:variant>
      <vt:variant>
        <vt:i4>7602223</vt:i4>
      </vt:variant>
      <vt:variant>
        <vt:i4>81</vt:i4>
      </vt:variant>
      <vt:variant>
        <vt:i4>0</vt:i4>
      </vt:variant>
      <vt:variant>
        <vt:i4>5</vt:i4>
      </vt:variant>
      <vt:variant>
        <vt:lpwstr>https://www.nice.org.uk/guidance/ta894</vt:lpwstr>
      </vt:variant>
      <vt:variant>
        <vt:lpwstr/>
      </vt:variant>
      <vt:variant>
        <vt:i4>7864353</vt:i4>
      </vt:variant>
      <vt:variant>
        <vt:i4>78</vt:i4>
      </vt:variant>
      <vt:variant>
        <vt:i4>0</vt:i4>
      </vt:variant>
      <vt:variant>
        <vt:i4>5</vt:i4>
      </vt:variant>
      <vt:variant>
        <vt:lpwstr>https://www.nice.org.uk/guidance/ta878</vt:lpwstr>
      </vt:variant>
      <vt:variant>
        <vt:lpwstr/>
      </vt:variant>
      <vt:variant>
        <vt:i4>7471137</vt:i4>
      </vt:variant>
      <vt:variant>
        <vt:i4>75</vt:i4>
      </vt:variant>
      <vt:variant>
        <vt:i4>0</vt:i4>
      </vt:variant>
      <vt:variant>
        <vt:i4>5</vt:i4>
      </vt:variant>
      <vt:variant>
        <vt:lpwstr>https://www.nice.org.uk/guidance/ta872</vt:lpwstr>
      </vt:variant>
      <vt:variant>
        <vt:lpwstr/>
      </vt:variant>
      <vt:variant>
        <vt:i4>7602211</vt:i4>
      </vt:variant>
      <vt:variant>
        <vt:i4>72</vt:i4>
      </vt:variant>
      <vt:variant>
        <vt:i4>0</vt:i4>
      </vt:variant>
      <vt:variant>
        <vt:i4>5</vt:i4>
      </vt:variant>
      <vt:variant>
        <vt:lpwstr>https://www.nice.org.uk/guidance/ta854</vt:lpwstr>
      </vt:variant>
      <vt:variant>
        <vt:lpwstr/>
      </vt:variant>
      <vt:variant>
        <vt:i4>7733280</vt:i4>
      </vt:variant>
      <vt:variant>
        <vt:i4>69</vt:i4>
      </vt:variant>
      <vt:variant>
        <vt:i4>0</vt:i4>
      </vt:variant>
      <vt:variant>
        <vt:i4>5</vt:i4>
      </vt:variant>
      <vt:variant>
        <vt:lpwstr>https://www.nice.org.uk/guidance/TA769</vt:lpwstr>
      </vt:variant>
      <vt:variant>
        <vt:lpwstr/>
      </vt:variant>
      <vt:variant>
        <vt:i4>7733294</vt:i4>
      </vt:variant>
      <vt:variant>
        <vt:i4>66</vt:i4>
      </vt:variant>
      <vt:variant>
        <vt:i4>0</vt:i4>
      </vt:variant>
      <vt:variant>
        <vt:i4>5</vt:i4>
      </vt:variant>
      <vt:variant>
        <vt:lpwstr>https://www.nice.org.uk/guidance/TA688</vt:lpwstr>
      </vt:variant>
      <vt:variant>
        <vt:lpwstr/>
      </vt:variant>
      <vt:variant>
        <vt:i4>8126502</vt:i4>
      </vt:variant>
      <vt:variant>
        <vt:i4>63</vt:i4>
      </vt:variant>
      <vt:variant>
        <vt:i4>0</vt:i4>
      </vt:variant>
      <vt:variant>
        <vt:i4>5</vt:i4>
      </vt:variant>
      <vt:variant>
        <vt:lpwstr>https://www.nice.org.uk/guidance/TA501</vt:lpwstr>
      </vt:variant>
      <vt:variant>
        <vt:lpwstr/>
      </vt:variant>
      <vt:variant>
        <vt:i4>1966138</vt:i4>
      </vt:variant>
      <vt:variant>
        <vt:i4>56</vt:i4>
      </vt:variant>
      <vt:variant>
        <vt:i4>0</vt:i4>
      </vt:variant>
      <vt:variant>
        <vt:i4>5</vt:i4>
      </vt:variant>
      <vt:variant>
        <vt:lpwstr/>
      </vt:variant>
      <vt:variant>
        <vt:lpwstr>_Toc221098035</vt:lpwstr>
      </vt:variant>
      <vt:variant>
        <vt:i4>1966138</vt:i4>
      </vt:variant>
      <vt:variant>
        <vt:i4>50</vt:i4>
      </vt:variant>
      <vt:variant>
        <vt:i4>0</vt:i4>
      </vt:variant>
      <vt:variant>
        <vt:i4>5</vt:i4>
      </vt:variant>
      <vt:variant>
        <vt:lpwstr/>
      </vt:variant>
      <vt:variant>
        <vt:lpwstr>_Toc221098034</vt:lpwstr>
      </vt:variant>
      <vt:variant>
        <vt:i4>1966138</vt:i4>
      </vt:variant>
      <vt:variant>
        <vt:i4>44</vt:i4>
      </vt:variant>
      <vt:variant>
        <vt:i4>0</vt:i4>
      </vt:variant>
      <vt:variant>
        <vt:i4>5</vt:i4>
      </vt:variant>
      <vt:variant>
        <vt:lpwstr/>
      </vt:variant>
      <vt:variant>
        <vt:lpwstr>_Toc221098033</vt:lpwstr>
      </vt:variant>
      <vt:variant>
        <vt:i4>1966138</vt:i4>
      </vt:variant>
      <vt:variant>
        <vt:i4>38</vt:i4>
      </vt:variant>
      <vt:variant>
        <vt:i4>0</vt:i4>
      </vt:variant>
      <vt:variant>
        <vt:i4>5</vt:i4>
      </vt:variant>
      <vt:variant>
        <vt:lpwstr/>
      </vt:variant>
      <vt:variant>
        <vt:lpwstr>_Toc221098032</vt:lpwstr>
      </vt:variant>
      <vt:variant>
        <vt:i4>1966138</vt:i4>
      </vt:variant>
      <vt:variant>
        <vt:i4>32</vt:i4>
      </vt:variant>
      <vt:variant>
        <vt:i4>0</vt:i4>
      </vt:variant>
      <vt:variant>
        <vt:i4>5</vt:i4>
      </vt:variant>
      <vt:variant>
        <vt:lpwstr/>
      </vt:variant>
      <vt:variant>
        <vt:lpwstr>_Toc221098031</vt:lpwstr>
      </vt:variant>
      <vt:variant>
        <vt:i4>1966138</vt:i4>
      </vt:variant>
      <vt:variant>
        <vt:i4>26</vt:i4>
      </vt:variant>
      <vt:variant>
        <vt:i4>0</vt:i4>
      </vt:variant>
      <vt:variant>
        <vt:i4>5</vt:i4>
      </vt:variant>
      <vt:variant>
        <vt:lpwstr/>
      </vt:variant>
      <vt:variant>
        <vt:lpwstr>_Toc221098030</vt:lpwstr>
      </vt:variant>
      <vt:variant>
        <vt:i4>2031674</vt:i4>
      </vt:variant>
      <vt:variant>
        <vt:i4>20</vt:i4>
      </vt:variant>
      <vt:variant>
        <vt:i4>0</vt:i4>
      </vt:variant>
      <vt:variant>
        <vt:i4>5</vt:i4>
      </vt:variant>
      <vt:variant>
        <vt:lpwstr/>
      </vt:variant>
      <vt:variant>
        <vt:lpwstr>_Toc221098029</vt:lpwstr>
      </vt:variant>
      <vt:variant>
        <vt:i4>2031674</vt:i4>
      </vt:variant>
      <vt:variant>
        <vt:i4>14</vt:i4>
      </vt:variant>
      <vt:variant>
        <vt:i4>0</vt:i4>
      </vt:variant>
      <vt:variant>
        <vt:i4>5</vt:i4>
      </vt:variant>
      <vt:variant>
        <vt:lpwstr/>
      </vt:variant>
      <vt:variant>
        <vt:lpwstr>_Toc221098026</vt:lpwstr>
      </vt:variant>
      <vt:variant>
        <vt:i4>2031674</vt:i4>
      </vt:variant>
      <vt:variant>
        <vt:i4>8</vt:i4>
      </vt:variant>
      <vt:variant>
        <vt:i4>0</vt:i4>
      </vt:variant>
      <vt:variant>
        <vt:i4>5</vt:i4>
      </vt:variant>
      <vt:variant>
        <vt:lpwstr/>
      </vt:variant>
      <vt:variant>
        <vt:lpwstr>_Toc221098025</vt:lpwstr>
      </vt:variant>
      <vt:variant>
        <vt:i4>2031674</vt:i4>
      </vt:variant>
      <vt:variant>
        <vt:i4>2</vt:i4>
      </vt:variant>
      <vt:variant>
        <vt:i4>0</vt:i4>
      </vt:variant>
      <vt:variant>
        <vt:i4>5</vt:i4>
      </vt:variant>
      <vt:variant>
        <vt:lpwstr/>
      </vt:variant>
      <vt:variant>
        <vt:lpwstr>_Toc221098024</vt:lpwstr>
      </vt:variant>
      <vt:variant>
        <vt:i4>4194324</vt:i4>
      </vt:variant>
      <vt:variant>
        <vt:i4>6</vt:i4>
      </vt:variant>
      <vt:variant>
        <vt:i4>0</vt:i4>
      </vt:variant>
      <vt:variant>
        <vt:i4>5</vt:i4>
      </vt:variant>
      <vt:variant>
        <vt:lpwstr>https://www.nice.org.uk/terms-and-conditions</vt:lpwstr>
      </vt:variant>
      <vt:variant>
        <vt:lpwstr>notice-of-rights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2026-07-07T10:01:00Z</dcterms:created>
  <dcterms:modified xsi:type="dcterms:W3CDTF">2026-07-07T10:02:00Z</dcterms:modified>
</cp:coreProperties>
</file>