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1DBC" w14:textId="6550DD67" w:rsidR="004B64A5" w:rsidRPr="007D5808" w:rsidRDefault="004B64A5" w:rsidP="004B64A5">
      <w:pPr>
        <w:pStyle w:val="Title1"/>
        <w:rPr>
          <w:szCs w:val="40"/>
          <w:lang w:eastAsia="en-GB"/>
        </w:rPr>
      </w:pPr>
      <w:bookmarkStart w:id="0" w:name="_Toc177990550"/>
      <w:bookmarkStart w:id="1" w:name="_Toc177994673"/>
      <w:bookmarkStart w:id="2" w:name="_Toc177995078"/>
      <w:bookmarkStart w:id="3" w:name="_Toc217335282"/>
      <w:bookmarkStart w:id="4" w:name="_Toc217393611"/>
      <w:bookmarkStart w:id="5" w:name="_Toc218866421"/>
      <w:bookmarkStart w:id="6" w:name="_Toc218866480"/>
      <w:bookmarkStart w:id="7" w:name="_Toc219114941"/>
      <w:bookmarkStart w:id="8" w:name="_Toc219479260"/>
      <w:bookmarkStart w:id="9" w:name="_Toc219713723"/>
      <w:bookmarkStart w:id="10" w:name="_Toc219713962"/>
      <w:bookmarkStart w:id="11" w:name="_Toc221097771"/>
      <w:bookmarkStart w:id="12" w:name="_Hlk217397982"/>
      <w:r w:rsidRPr="007D5808">
        <w:rPr>
          <w:szCs w:val="40"/>
          <w:lang w:eastAsia="en-GB"/>
        </w:rPr>
        <w:t>Infrastructure and service redesign: examining the methods for capturing implementation costs</w:t>
      </w:r>
      <w:bookmarkEnd w:id="0"/>
      <w:bookmarkEnd w:id="1"/>
      <w:bookmarkEnd w:id="2"/>
      <w:bookmarkEnd w:id="3"/>
      <w:bookmarkEnd w:id="4"/>
      <w:bookmarkEnd w:id="5"/>
      <w:bookmarkEnd w:id="6"/>
      <w:bookmarkEnd w:id="7"/>
      <w:bookmarkEnd w:id="8"/>
      <w:bookmarkEnd w:id="9"/>
      <w:bookmarkEnd w:id="10"/>
      <w:bookmarkEnd w:id="11"/>
    </w:p>
    <w:p w14:paraId="255D7596" w14:textId="025C974A" w:rsidR="004B64A5" w:rsidRPr="007D5808" w:rsidRDefault="004B64A5" w:rsidP="004B64A5">
      <w:pPr>
        <w:pStyle w:val="Heading1"/>
        <w:jc w:val="center"/>
        <w:rPr>
          <w:sz w:val="40"/>
          <w:szCs w:val="40"/>
        </w:rPr>
      </w:pPr>
      <w:bookmarkStart w:id="13" w:name="_Toc218866422"/>
      <w:bookmarkStart w:id="14" w:name="_Toc218866481"/>
      <w:bookmarkStart w:id="15" w:name="_Toc219114942"/>
      <w:bookmarkStart w:id="16" w:name="_Toc219479261"/>
      <w:bookmarkStart w:id="17" w:name="_Toc219713724"/>
      <w:bookmarkStart w:id="18" w:name="_Toc219713963"/>
      <w:bookmarkStart w:id="19" w:name="_Toc221097772"/>
      <w:r w:rsidRPr="007D5808">
        <w:rPr>
          <w:sz w:val="40"/>
          <w:szCs w:val="40"/>
        </w:rPr>
        <w:t xml:space="preserve">Appendix </w:t>
      </w:r>
      <w:r w:rsidR="00CB5F95">
        <w:rPr>
          <w:sz w:val="40"/>
          <w:szCs w:val="40"/>
        </w:rPr>
        <w:t>F</w:t>
      </w:r>
      <w:r w:rsidR="00370E61">
        <w:rPr>
          <w:sz w:val="40"/>
          <w:szCs w:val="40"/>
        </w:rPr>
        <w:t>.</w:t>
      </w:r>
      <w:r w:rsidRPr="007D5808">
        <w:rPr>
          <w:sz w:val="40"/>
          <w:szCs w:val="40"/>
        </w:rPr>
        <w:t xml:space="preserve"> Stakeholder </w:t>
      </w:r>
      <w:r w:rsidR="008C4571" w:rsidRPr="007D5808">
        <w:rPr>
          <w:sz w:val="40"/>
          <w:szCs w:val="40"/>
        </w:rPr>
        <w:t>e</w:t>
      </w:r>
      <w:r w:rsidRPr="007D5808">
        <w:rPr>
          <w:sz w:val="40"/>
          <w:szCs w:val="40"/>
        </w:rPr>
        <w:t>ngagement</w:t>
      </w:r>
      <w:bookmarkEnd w:id="13"/>
      <w:bookmarkEnd w:id="14"/>
      <w:bookmarkEnd w:id="15"/>
      <w:bookmarkEnd w:id="16"/>
      <w:bookmarkEnd w:id="17"/>
      <w:bookmarkEnd w:id="18"/>
      <w:bookmarkEnd w:id="19"/>
    </w:p>
    <w:p w14:paraId="6F0EB1E7" w14:textId="4F9D5E6D" w:rsidR="006A14A8" w:rsidRPr="007400D7" w:rsidRDefault="12ADDAF3" w:rsidP="3392959B">
      <w:pPr>
        <w:pStyle w:val="Title1"/>
        <w:rPr>
          <w:sz w:val="32"/>
        </w:rPr>
      </w:pPr>
      <w:bookmarkStart w:id="20" w:name="_Toc177990551"/>
      <w:bookmarkStart w:id="21" w:name="_Toc177994674"/>
      <w:bookmarkStart w:id="22" w:name="_Toc177995079"/>
      <w:bookmarkStart w:id="23" w:name="_Toc218866423"/>
      <w:bookmarkStart w:id="24" w:name="_Toc218866482"/>
      <w:bookmarkStart w:id="25" w:name="_Toc219114943"/>
      <w:bookmarkStart w:id="26" w:name="_Toc219479262"/>
      <w:bookmarkStart w:id="27" w:name="_Toc219713725"/>
      <w:bookmarkStart w:id="28" w:name="_Toc219713964"/>
      <w:bookmarkStart w:id="29" w:name="_Toc221097773"/>
      <w:bookmarkEnd w:id="12"/>
      <w:r w:rsidRPr="3392959B">
        <w:rPr>
          <w:sz w:val="32"/>
        </w:rPr>
        <w:t>HTA Innovation Laborator</w:t>
      </w:r>
      <w:r w:rsidR="5E261F86" w:rsidRPr="3392959B">
        <w:rPr>
          <w:sz w:val="32"/>
        </w:rPr>
        <w:t>y</w:t>
      </w:r>
      <w:bookmarkEnd w:id="20"/>
      <w:bookmarkEnd w:id="21"/>
      <w:bookmarkEnd w:id="22"/>
      <w:bookmarkEnd w:id="23"/>
      <w:bookmarkEnd w:id="24"/>
      <w:bookmarkEnd w:id="25"/>
      <w:bookmarkEnd w:id="26"/>
      <w:bookmarkEnd w:id="27"/>
      <w:bookmarkEnd w:id="28"/>
      <w:bookmarkEnd w:id="29"/>
    </w:p>
    <w:p w14:paraId="043B811B" w14:textId="625F4A08" w:rsidR="006A14A8" w:rsidRPr="007400D7" w:rsidRDefault="006A14A8" w:rsidP="006B3BE5">
      <w:pPr>
        <w:pStyle w:val="NICEnormal"/>
      </w:pPr>
    </w:p>
    <w:p w14:paraId="6A7A15C9" w14:textId="77777777" w:rsidR="007400D7" w:rsidRDefault="007400D7" w:rsidP="006A14A8">
      <w:pPr>
        <w:pStyle w:val="Paragraph"/>
        <w:rPr>
          <w:lang w:eastAsia="en-GB"/>
        </w:rPr>
      </w:pPr>
    </w:p>
    <w:p w14:paraId="4636A212" w14:textId="4B8A396D" w:rsidR="007400D7" w:rsidRDefault="00A84F48" w:rsidP="006A14A8">
      <w:pPr>
        <w:pStyle w:val="Paragraph"/>
        <w:rPr>
          <w:lang w:eastAsia="en-GB"/>
        </w:rPr>
      </w:pPr>
      <w:r>
        <w:rPr>
          <w:lang w:eastAsia="en-GB"/>
        </w:rPr>
        <w:t>June</w:t>
      </w:r>
      <w:r w:rsidR="00C92377">
        <w:rPr>
          <w:lang w:eastAsia="en-GB"/>
        </w:rPr>
        <w:t xml:space="preserve"> </w:t>
      </w:r>
      <w:r w:rsidR="00AA50DB">
        <w:rPr>
          <w:lang w:eastAsia="en-GB"/>
        </w:rPr>
        <w:t>2026</w:t>
      </w:r>
    </w:p>
    <w:p w14:paraId="33E33590" w14:textId="77777777" w:rsidR="007400D7" w:rsidRDefault="007400D7" w:rsidP="006A14A8">
      <w:pPr>
        <w:pStyle w:val="Paragraph"/>
        <w:rPr>
          <w:lang w:eastAsia="en-GB"/>
        </w:rPr>
      </w:pPr>
    </w:p>
    <w:p w14:paraId="155ACBCA" w14:textId="77777777" w:rsidR="007400D7" w:rsidRDefault="007400D7" w:rsidP="006A14A8">
      <w:pPr>
        <w:pStyle w:val="Paragraph"/>
        <w:rPr>
          <w:lang w:eastAsia="en-GB"/>
        </w:rPr>
      </w:pPr>
    </w:p>
    <w:p w14:paraId="1BA865C3" w14:textId="77777777" w:rsidR="007400D7" w:rsidRDefault="007400D7" w:rsidP="006A14A8">
      <w:pPr>
        <w:pStyle w:val="Paragraph"/>
        <w:rPr>
          <w:lang w:eastAsia="en-GB"/>
        </w:rPr>
      </w:pPr>
    </w:p>
    <w:p w14:paraId="0C82D6BB" w14:textId="2F15831B" w:rsidR="006D4C33" w:rsidRPr="00E02817" w:rsidRDefault="006D4C33" w:rsidP="00E02817">
      <w:pPr>
        <w:pStyle w:val="Heading1"/>
        <w:sectPr w:rsidR="006D4C33" w:rsidRPr="00E02817" w:rsidSect="002B4F3E">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7004E4D5" w14:textId="24B06451" w:rsidR="007400D7" w:rsidRDefault="007400D7" w:rsidP="00373E7F">
      <w:pPr>
        <w:pStyle w:val="Heading1"/>
      </w:pPr>
      <w:bookmarkStart w:id="30" w:name="_Toc177990553"/>
      <w:bookmarkStart w:id="31" w:name="_Toc177994676"/>
      <w:bookmarkStart w:id="32" w:name="_Toc177995081"/>
      <w:bookmarkStart w:id="33" w:name="_Toc218866425"/>
      <w:bookmarkStart w:id="34" w:name="_Toc218866484"/>
      <w:bookmarkStart w:id="35" w:name="_Toc219114945"/>
      <w:bookmarkStart w:id="36" w:name="_Toc219479264"/>
      <w:bookmarkStart w:id="37" w:name="_Toc219713727"/>
      <w:bookmarkStart w:id="38" w:name="_Toc219713966"/>
      <w:bookmarkStart w:id="39" w:name="_Toc221097775"/>
      <w:r>
        <w:t>Contents</w:t>
      </w:r>
      <w:bookmarkEnd w:id="30"/>
      <w:bookmarkEnd w:id="31"/>
      <w:bookmarkEnd w:id="32"/>
      <w:bookmarkEnd w:id="33"/>
      <w:bookmarkEnd w:id="34"/>
      <w:bookmarkEnd w:id="35"/>
      <w:bookmarkEnd w:id="36"/>
      <w:bookmarkEnd w:id="37"/>
      <w:bookmarkEnd w:id="38"/>
      <w:bookmarkEnd w:id="39"/>
    </w:p>
    <w:sdt>
      <w:sdtPr>
        <w:id w:val="-1128930595"/>
        <w:docPartObj>
          <w:docPartGallery w:val="Table of Contents"/>
          <w:docPartUnique/>
        </w:docPartObj>
      </w:sdtPr>
      <w:sdtContent>
        <w:p w14:paraId="37CA7ADD" w14:textId="6703C677" w:rsidR="00201661" w:rsidRDefault="00F93F21" w:rsidP="00201661">
          <w:pPr>
            <w:pStyle w:val="TOC1"/>
            <w:tabs>
              <w:tab w:val="right" w:leader="dot" w:pos="8296"/>
            </w:tabs>
            <w:rPr>
              <w:rFonts w:asciiTheme="minorHAnsi" w:eastAsiaTheme="minorEastAsia" w:hAnsiTheme="minorHAnsi" w:cstheme="minorBidi"/>
              <w:noProof/>
              <w:kern w:val="2"/>
              <w:lang w:eastAsia="en-GB"/>
              <w14:ligatures w14:val="standardContextual"/>
            </w:rPr>
          </w:pPr>
          <w:r>
            <w:rPr>
              <w:rFonts w:ascii="Arial" w:hAnsi="Arial"/>
            </w:rPr>
            <w:fldChar w:fldCharType="begin"/>
          </w:r>
          <w:r>
            <w:instrText xml:space="preserve"> TOC \o "1-3" \h \z \u </w:instrText>
          </w:r>
          <w:r>
            <w:rPr>
              <w:rFonts w:ascii="Arial" w:hAnsi="Arial"/>
            </w:rPr>
            <w:fldChar w:fldCharType="separate"/>
          </w:r>
        </w:p>
        <w:p w14:paraId="1A3C665B" w14:textId="2F0F27F8" w:rsidR="00201661" w:rsidRPr="005C651F" w:rsidRDefault="00201661">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776" w:history="1">
            <w:r w:rsidRPr="005C651F">
              <w:rPr>
                <w:rStyle w:val="Hyperlink"/>
                <w:rFonts w:ascii="Arial" w:hAnsi="Arial" w:cs="Arial"/>
                <w:noProof/>
              </w:rPr>
              <w:t>1</w:t>
            </w:r>
            <w:r w:rsidRPr="005C651F">
              <w:rPr>
                <w:rFonts w:ascii="Arial" w:eastAsiaTheme="minorEastAsia" w:hAnsi="Arial" w:cs="Arial"/>
                <w:noProof/>
                <w:kern w:val="2"/>
                <w:lang w:eastAsia="en-GB"/>
                <w14:ligatures w14:val="standardContextual"/>
              </w:rPr>
              <w:tab/>
            </w:r>
            <w:r w:rsidRPr="005C651F">
              <w:rPr>
                <w:rStyle w:val="Hyperlink"/>
                <w:rFonts w:ascii="Arial" w:hAnsi="Arial" w:cs="Arial"/>
                <w:noProof/>
              </w:rPr>
              <w:t>Purpose and scope</w:t>
            </w:r>
            <w:r w:rsidRPr="005C651F">
              <w:rPr>
                <w:rFonts w:ascii="Arial" w:hAnsi="Arial" w:cs="Arial"/>
                <w:noProof/>
                <w:webHidden/>
              </w:rPr>
              <w:tab/>
            </w:r>
            <w:r w:rsidRPr="005C651F">
              <w:rPr>
                <w:rFonts w:ascii="Arial" w:hAnsi="Arial" w:cs="Arial"/>
                <w:noProof/>
                <w:webHidden/>
              </w:rPr>
              <w:fldChar w:fldCharType="begin"/>
            </w:r>
            <w:r w:rsidRPr="005C651F">
              <w:rPr>
                <w:rFonts w:ascii="Arial" w:hAnsi="Arial" w:cs="Arial"/>
                <w:noProof/>
                <w:webHidden/>
              </w:rPr>
              <w:instrText xml:space="preserve"> PAGEREF _Toc221097776 \h </w:instrText>
            </w:r>
            <w:r w:rsidRPr="005C651F">
              <w:rPr>
                <w:rFonts w:ascii="Arial" w:hAnsi="Arial" w:cs="Arial"/>
                <w:noProof/>
                <w:webHidden/>
              </w:rPr>
            </w:r>
            <w:r w:rsidRPr="005C651F">
              <w:rPr>
                <w:rFonts w:ascii="Arial" w:hAnsi="Arial" w:cs="Arial"/>
                <w:noProof/>
                <w:webHidden/>
              </w:rPr>
              <w:fldChar w:fldCharType="separate"/>
            </w:r>
            <w:r w:rsidR="00644115">
              <w:rPr>
                <w:rFonts w:ascii="Arial" w:hAnsi="Arial" w:cs="Arial"/>
                <w:noProof/>
                <w:webHidden/>
              </w:rPr>
              <w:t>3</w:t>
            </w:r>
            <w:r w:rsidRPr="005C651F">
              <w:rPr>
                <w:rFonts w:ascii="Arial" w:hAnsi="Arial" w:cs="Arial"/>
                <w:noProof/>
                <w:webHidden/>
              </w:rPr>
              <w:fldChar w:fldCharType="end"/>
            </w:r>
          </w:hyperlink>
        </w:p>
        <w:p w14:paraId="1A2F7505" w14:textId="7A9F10CC" w:rsidR="00201661" w:rsidRPr="005C651F" w:rsidRDefault="00201661">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777" w:history="1">
            <w:r w:rsidRPr="005C651F">
              <w:rPr>
                <w:rStyle w:val="Hyperlink"/>
                <w:rFonts w:ascii="Arial" w:hAnsi="Arial" w:cs="Arial"/>
                <w:noProof/>
              </w:rPr>
              <w:t>2</w:t>
            </w:r>
            <w:r w:rsidRPr="005C651F">
              <w:rPr>
                <w:rFonts w:ascii="Arial" w:eastAsiaTheme="minorEastAsia" w:hAnsi="Arial" w:cs="Arial"/>
                <w:noProof/>
                <w:kern w:val="2"/>
                <w:lang w:eastAsia="en-GB"/>
                <w14:ligatures w14:val="standardContextual"/>
              </w:rPr>
              <w:tab/>
            </w:r>
            <w:r w:rsidRPr="005C651F">
              <w:rPr>
                <w:rStyle w:val="Hyperlink"/>
                <w:rFonts w:ascii="Arial" w:hAnsi="Arial" w:cs="Arial"/>
                <w:noProof/>
              </w:rPr>
              <w:t>Aim and methods</w:t>
            </w:r>
            <w:r w:rsidRPr="005C651F">
              <w:rPr>
                <w:rFonts w:ascii="Arial" w:hAnsi="Arial" w:cs="Arial"/>
                <w:noProof/>
                <w:webHidden/>
              </w:rPr>
              <w:tab/>
            </w:r>
            <w:r w:rsidRPr="005C651F">
              <w:rPr>
                <w:rFonts w:ascii="Arial" w:hAnsi="Arial" w:cs="Arial"/>
                <w:noProof/>
                <w:webHidden/>
              </w:rPr>
              <w:fldChar w:fldCharType="begin"/>
            </w:r>
            <w:r w:rsidRPr="005C651F">
              <w:rPr>
                <w:rFonts w:ascii="Arial" w:hAnsi="Arial" w:cs="Arial"/>
                <w:noProof/>
                <w:webHidden/>
              </w:rPr>
              <w:instrText xml:space="preserve"> PAGEREF _Toc221097777 \h </w:instrText>
            </w:r>
            <w:r w:rsidRPr="005C651F">
              <w:rPr>
                <w:rFonts w:ascii="Arial" w:hAnsi="Arial" w:cs="Arial"/>
                <w:noProof/>
                <w:webHidden/>
              </w:rPr>
            </w:r>
            <w:r w:rsidRPr="005C651F">
              <w:rPr>
                <w:rFonts w:ascii="Arial" w:hAnsi="Arial" w:cs="Arial"/>
                <w:noProof/>
                <w:webHidden/>
              </w:rPr>
              <w:fldChar w:fldCharType="separate"/>
            </w:r>
            <w:r w:rsidR="00644115">
              <w:rPr>
                <w:rFonts w:ascii="Arial" w:hAnsi="Arial" w:cs="Arial"/>
                <w:noProof/>
                <w:webHidden/>
              </w:rPr>
              <w:t>3</w:t>
            </w:r>
            <w:r w:rsidRPr="005C651F">
              <w:rPr>
                <w:rFonts w:ascii="Arial" w:hAnsi="Arial" w:cs="Arial"/>
                <w:noProof/>
                <w:webHidden/>
              </w:rPr>
              <w:fldChar w:fldCharType="end"/>
            </w:r>
          </w:hyperlink>
        </w:p>
        <w:p w14:paraId="29A910FE" w14:textId="7493C709" w:rsidR="00201661" w:rsidRDefault="00201661">
          <w:pPr>
            <w:pStyle w:val="TOC3"/>
            <w:rPr>
              <w:rFonts w:asciiTheme="minorHAnsi" w:eastAsiaTheme="minorEastAsia" w:hAnsiTheme="minorHAnsi" w:cstheme="minorBidi"/>
              <w:kern w:val="2"/>
              <w:lang w:eastAsia="en-GB"/>
              <w14:ligatures w14:val="standardContextual"/>
            </w:rPr>
          </w:pPr>
          <w:hyperlink w:anchor="_Toc221097778" w:history="1">
            <w:r w:rsidRPr="00A7100B">
              <w:rPr>
                <w:rStyle w:val="Hyperlink"/>
              </w:rPr>
              <w:t>2.1 Aim</w:t>
            </w:r>
            <w:r>
              <w:rPr>
                <w:webHidden/>
              </w:rPr>
              <w:tab/>
            </w:r>
            <w:r>
              <w:rPr>
                <w:webHidden/>
              </w:rPr>
              <w:fldChar w:fldCharType="begin"/>
            </w:r>
            <w:r>
              <w:rPr>
                <w:webHidden/>
              </w:rPr>
              <w:instrText xml:space="preserve"> PAGEREF _Toc221097778 \h </w:instrText>
            </w:r>
            <w:r>
              <w:rPr>
                <w:webHidden/>
              </w:rPr>
            </w:r>
            <w:r>
              <w:rPr>
                <w:webHidden/>
              </w:rPr>
              <w:fldChar w:fldCharType="separate"/>
            </w:r>
            <w:r w:rsidR="00644115">
              <w:rPr>
                <w:webHidden/>
              </w:rPr>
              <w:t>3</w:t>
            </w:r>
            <w:r>
              <w:rPr>
                <w:webHidden/>
              </w:rPr>
              <w:fldChar w:fldCharType="end"/>
            </w:r>
          </w:hyperlink>
        </w:p>
        <w:p w14:paraId="55FDA163" w14:textId="6E49B10F" w:rsidR="00201661" w:rsidRDefault="00201661">
          <w:pPr>
            <w:pStyle w:val="TOC3"/>
            <w:rPr>
              <w:rFonts w:asciiTheme="minorHAnsi" w:eastAsiaTheme="minorEastAsia" w:hAnsiTheme="minorHAnsi" w:cstheme="minorBidi"/>
              <w:kern w:val="2"/>
              <w:lang w:eastAsia="en-GB"/>
              <w14:ligatures w14:val="standardContextual"/>
            </w:rPr>
          </w:pPr>
          <w:hyperlink w:anchor="_Toc221097779" w:history="1">
            <w:r w:rsidRPr="00A7100B">
              <w:rPr>
                <w:rStyle w:val="Hyperlink"/>
              </w:rPr>
              <w:t>2.2 Overview of stakeholders</w:t>
            </w:r>
            <w:r>
              <w:rPr>
                <w:webHidden/>
              </w:rPr>
              <w:tab/>
            </w:r>
            <w:r>
              <w:rPr>
                <w:webHidden/>
              </w:rPr>
              <w:fldChar w:fldCharType="begin"/>
            </w:r>
            <w:r>
              <w:rPr>
                <w:webHidden/>
              </w:rPr>
              <w:instrText xml:space="preserve"> PAGEREF _Toc221097779 \h </w:instrText>
            </w:r>
            <w:r>
              <w:rPr>
                <w:webHidden/>
              </w:rPr>
            </w:r>
            <w:r>
              <w:rPr>
                <w:webHidden/>
              </w:rPr>
              <w:fldChar w:fldCharType="separate"/>
            </w:r>
            <w:r w:rsidR="00644115">
              <w:rPr>
                <w:webHidden/>
              </w:rPr>
              <w:t>3</w:t>
            </w:r>
            <w:r>
              <w:rPr>
                <w:webHidden/>
              </w:rPr>
              <w:fldChar w:fldCharType="end"/>
            </w:r>
          </w:hyperlink>
        </w:p>
        <w:p w14:paraId="7E2526E2" w14:textId="2DB17A6B" w:rsidR="00201661" w:rsidRDefault="00201661">
          <w:pPr>
            <w:pStyle w:val="TOC3"/>
            <w:rPr>
              <w:rFonts w:asciiTheme="minorHAnsi" w:eastAsiaTheme="minorEastAsia" w:hAnsiTheme="minorHAnsi" w:cstheme="minorBidi"/>
              <w:kern w:val="2"/>
              <w:lang w:eastAsia="en-GB"/>
              <w14:ligatures w14:val="standardContextual"/>
            </w:rPr>
          </w:pPr>
          <w:hyperlink w:anchor="_Toc221097780" w:history="1">
            <w:r w:rsidRPr="00A7100B">
              <w:rPr>
                <w:rStyle w:val="Hyperlink"/>
              </w:rPr>
              <w:t>2.3 Engagement approaches</w:t>
            </w:r>
            <w:r>
              <w:rPr>
                <w:webHidden/>
              </w:rPr>
              <w:tab/>
            </w:r>
            <w:r>
              <w:rPr>
                <w:webHidden/>
              </w:rPr>
              <w:fldChar w:fldCharType="begin"/>
            </w:r>
            <w:r>
              <w:rPr>
                <w:webHidden/>
              </w:rPr>
              <w:instrText xml:space="preserve"> PAGEREF _Toc221097780 \h </w:instrText>
            </w:r>
            <w:r>
              <w:rPr>
                <w:webHidden/>
              </w:rPr>
            </w:r>
            <w:r>
              <w:rPr>
                <w:webHidden/>
              </w:rPr>
              <w:fldChar w:fldCharType="separate"/>
            </w:r>
            <w:r w:rsidR="00644115">
              <w:rPr>
                <w:webHidden/>
              </w:rPr>
              <w:t>4</w:t>
            </w:r>
            <w:r>
              <w:rPr>
                <w:webHidden/>
              </w:rPr>
              <w:fldChar w:fldCharType="end"/>
            </w:r>
          </w:hyperlink>
        </w:p>
        <w:p w14:paraId="725196B9" w14:textId="6EF3BF6E" w:rsidR="00201661" w:rsidRDefault="00201661">
          <w:pPr>
            <w:pStyle w:val="TOC3"/>
            <w:rPr>
              <w:rFonts w:asciiTheme="minorHAnsi" w:eastAsiaTheme="minorEastAsia" w:hAnsiTheme="minorHAnsi" w:cstheme="minorBidi"/>
              <w:kern w:val="2"/>
              <w:lang w:eastAsia="en-GB"/>
              <w14:ligatures w14:val="standardContextual"/>
            </w:rPr>
          </w:pPr>
          <w:hyperlink w:anchor="_Toc221097781" w:history="1">
            <w:r w:rsidRPr="00A7100B">
              <w:rPr>
                <w:rStyle w:val="Hyperlink"/>
              </w:rPr>
              <w:t>2.4 Thematic analysis</w:t>
            </w:r>
            <w:r>
              <w:rPr>
                <w:webHidden/>
              </w:rPr>
              <w:tab/>
            </w:r>
            <w:r>
              <w:rPr>
                <w:webHidden/>
              </w:rPr>
              <w:fldChar w:fldCharType="begin"/>
            </w:r>
            <w:r>
              <w:rPr>
                <w:webHidden/>
              </w:rPr>
              <w:instrText xml:space="preserve"> PAGEREF _Toc221097781 \h </w:instrText>
            </w:r>
            <w:r>
              <w:rPr>
                <w:webHidden/>
              </w:rPr>
            </w:r>
            <w:r>
              <w:rPr>
                <w:webHidden/>
              </w:rPr>
              <w:fldChar w:fldCharType="separate"/>
            </w:r>
            <w:r w:rsidR="00644115">
              <w:rPr>
                <w:webHidden/>
              </w:rPr>
              <w:t>6</w:t>
            </w:r>
            <w:r>
              <w:rPr>
                <w:webHidden/>
              </w:rPr>
              <w:fldChar w:fldCharType="end"/>
            </w:r>
          </w:hyperlink>
        </w:p>
        <w:p w14:paraId="3F102354" w14:textId="2B2BB483" w:rsidR="00201661" w:rsidRDefault="00201661">
          <w:pPr>
            <w:pStyle w:val="TOC3"/>
            <w:rPr>
              <w:rFonts w:asciiTheme="minorHAnsi" w:eastAsiaTheme="minorEastAsia" w:hAnsiTheme="minorHAnsi" w:cstheme="minorBidi"/>
              <w:kern w:val="2"/>
              <w:lang w:eastAsia="en-GB"/>
              <w14:ligatures w14:val="standardContextual"/>
            </w:rPr>
          </w:pPr>
          <w:hyperlink w:anchor="_Toc221097782" w:history="1">
            <w:r w:rsidRPr="00A7100B">
              <w:rPr>
                <w:rStyle w:val="Hyperlink"/>
              </w:rPr>
              <w:t>2.5 Validation of findings</w:t>
            </w:r>
            <w:r>
              <w:rPr>
                <w:webHidden/>
              </w:rPr>
              <w:tab/>
            </w:r>
            <w:r>
              <w:rPr>
                <w:webHidden/>
              </w:rPr>
              <w:fldChar w:fldCharType="begin"/>
            </w:r>
            <w:r>
              <w:rPr>
                <w:webHidden/>
              </w:rPr>
              <w:instrText xml:space="preserve"> PAGEREF _Toc221097782 \h </w:instrText>
            </w:r>
            <w:r>
              <w:rPr>
                <w:webHidden/>
              </w:rPr>
            </w:r>
            <w:r>
              <w:rPr>
                <w:webHidden/>
              </w:rPr>
              <w:fldChar w:fldCharType="separate"/>
            </w:r>
            <w:r w:rsidR="00644115">
              <w:rPr>
                <w:webHidden/>
              </w:rPr>
              <w:t>6</w:t>
            </w:r>
            <w:r>
              <w:rPr>
                <w:webHidden/>
              </w:rPr>
              <w:fldChar w:fldCharType="end"/>
            </w:r>
          </w:hyperlink>
        </w:p>
        <w:p w14:paraId="69282B8C" w14:textId="3EB649A2" w:rsidR="00201661" w:rsidRPr="005C651F" w:rsidRDefault="00201661">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783" w:history="1">
            <w:r w:rsidRPr="005C651F">
              <w:rPr>
                <w:rStyle w:val="Hyperlink"/>
                <w:rFonts w:ascii="Arial" w:hAnsi="Arial" w:cs="Arial"/>
                <w:noProof/>
              </w:rPr>
              <w:t>3</w:t>
            </w:r>
            <w:r w:rsidRPr="005C651F">
              <w:rPr>
                <w:rFonts w:ascii="Arial" w:eastAsiaTheme="minorEastAsia" w:hAnsi="Arial" w:cs="Arial"/>
                <w:noProof/>
                <w:kern w:val="2"/>
                <w:lang w:eastAsia="en-GB"/>
                <w14:ligatures w14:val="standardContextual"/>
              </w:rPr>
              <w:tab/>
            </w:r>
            <w:r w:rsidRPr="005C651F">
              <w:rPr>
                <w:rStyle w:val="Hyperlink"/>
                <w:rFonts w:ascii="Arial" w:hAnsi="Arial" w:cs="Arial"/>
                <w:noProof/>
              </w:rPr>
              <w:t>Themes from stakeholder engagement activities</w:t>
            </w:r>
            <w:r w:rsidRPr="005C651F">
              <w:rPr>
                <w:rFonts w:ascii="Arial" w:hAnsi="Arial" w:cs="Arial"/>
                <w:noProof/>
                <w:webHidden/>
              </w:rPr>
              <w:tab/>
            </w:r>
            <w:r w:rsidRPr="005C651F">
              <w:rPr>
                <w:rFonts w:ascii="Arial" w:hAnsi="Arial" w:cs="Arial"/>
                <w:noProof/>
                <w:webHidden/>
              </w:rPr>
              <w:fldChar w:fldCharType="begin"/>
            </w:r>
            <w:r w:rsidRPr="005C651F">
              <w:rPr>
                <w:rFonts w:ascii="Arial" w:hAnsi="Arial" w:cs="Arial"/>
                <w:noProof/>
                <w:webHidden/>
              </w:rPr>
              <w:instrText xml:space="preserve"> PAGEREF _Toc221097783 \h </w:instrText>
            </w:r>
            <w:r w:rsidRPr="005C651F">
              <w:rPr>
                <w:rFonts w:ascii="Arial" w:hAnsi="Arial" w:cs="Arial"/>
                <w:noProof/>
                <w:webHidden/>
              </w:rPr>
            </w:r>
            <w:r w:rsidRPr="005C651F">
              <w:rPr>
                <w:rFonts w:ascii="Arial" w:hAnsi="Arial" w:cs="Arial"/>
                <w:noProof/>
                <w:webHidden/>
              </w:rPr>
              <w:fldChar w:fldCharType="separate"/>
            </w:r>
            <w:r w:rsidR="00644115">
              <w:rPr>
                <w:rFonts w:ascii="Arial" w:hAnsi="Arial" w:cs="Arial"/>
                <w:noProof/>
                <w:webHidden/>
              </w:rPr>
              <w:t>6</w:t>
            </w:r>
            <w:r w:rsidRPr="005C651F">
              <w:rPr>
                <w:rFonts w:ascii="Arial" w:hAnsi="Arial" w:cs="Arial"/>
                <w:noProof/>
                <w:webHidden/>
              </w:rPr>
              <w:fldChar w:fldCharType="end"/>
            </w:r>
          </w:hyperlink>
        </w:p>
        <w:p w14:paraId="451B987D" w14:textId="058FDB45" w:rsidR="00201661" w:rsidRPr="005C651F" w:rsidRDefault="00201661">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784" w:history="1">
            <w:r w:rsidRPr="005C651F">
              <w:rPr>
                <w:rStyle w:val="Hyperlink"/>
                <w:rFonts w:ascii="Arial" w:hAnsi="Arial" w:cs="Arial"/>
                <w:noProof/>
              </w:rPr>
              <w:t>4</w:t>
            </w:r>
            <w:r w:rsidRPr="005C651F">
              <w:rPr>
                <w:rFonts w:ascii="Arial" w:eastAsiaTheme="minorEastAsia" w:hAnsi="Arial" w:cs="Arial"/>
                <w:noProof/>
                <w:kern w:val="2"/>
                <w:lang w:eastAsia="en-GB"/>
                <w14:ligatures w14:val="standardContextual"/>
              </w:rPr>
              <w:tab/>
            </w:r>
            <w:r w:rsidRPr="005C651F">
              <w:rPr>
                <w:rStyle w:val="Hyperlink"/>
                <w:rFonts w:ascii="Arial" w:hAnsi="Arial" w:cs="Arial"/>
                <w:noProof/>
              </w:rPr>
              <w:t>Case study 1: molecular radiotherapy</w:t>
            </w:r>
            <w:r w:rsidRPr="005C651F">
              <w:rPr>
                <w:rFonts w:ascii="Arial" w:hAnsi="Arial" w:cs="Arial"/>
                <w:noProof/>
                <w:webHidden/>
              </w:rPr>
              <w:tab/>
            </w:r>
            <w:r w:rsidRPr="005C651F">
              <w:rPr>
                <w:rFonts w:ascii="Arial" w:hAnsi="Arial" w:cs="Arial"/>
                <w:noProof/>
                <w:webHidden/>
              </w:rPr>
              <w:fldChar w:fldCharType="begin"/>
            </w:r>
            <w:r w:rsidRPr="005C651F">
              <w:rPr>
                <w:rFonts w:ascii="Arial" w:hAnsi="Arial" w:cs="Arial"/>
                <w:noProof/>
                <w:webHidden/>
              </w:rPr>
              <w:instrText xml:space="preserve"> PAGEREF _Toc221097784 \h </w:instrText>
            </w:r>
            <w:r w:rsidRPr="005C651F">
              <w:rPr>
                <w:rFonts w:ascii="Arial" w:hAnsi="Arial" w:cs="Arial"/>
                <w:noProof/>
                <w:webHidden/>
              </w:rPr>
            </w:r>
            <w:r w:rsidRPr="005C651F">
              <w:rPr>
                <w:rFonts w:ascii="Arial" w:hAnsi="Arial" w:cs="Arial"/>
                <w:noProof/>
                <w:webHidden/>
              </w:rPr>
              <w:fldChar w:fldCharType="separate"/>
            </w:r>
            <w:r w:rsidR="00644115">
              <w:rPr>
                <w:rFonts w:ascii="Arial" w:hAnsi="Arial" w:cs="Arial"/>
                <w:noProof/>
                <w:webHidden/>
              </w:rPr>
              <w:t>9</w:t>
            </w:r>
            <w:r w:rsidRPr="005C651F">
              <w:rPr>
                <w:rFonts w:ascii="Arial" w:hAnsi="Arial" w:cs="Arial"/>
                <w:noProof/>
                <w:webHidden/>
              </w:rPr>
              <w:fldChar w:fldCharType="end"/>
            </w:r>
          </w:hyperlink>
        </w:p>
        <w:p w14:paraId="4EB5CC33" w14:textId="2AC38FFD" w:rsidR="00201661" w:rsidRPr="005C651F" w:rsidRDefault="00201661">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785" w:history="1">
            <w:r w:rsidRPr="005C651F">
              <w:rPr>
                <w:rStyle w:val="Hyperlink"/>
                <w:rFonts w:ascii="Arial" w:hAnsi="Arial" w:cs="Arial"/>
                <w:noProof/>
              </w:rPr>
              <w:t>5</w:t>
            </w:r>
            <w:r w:rsidRPr="005C651F">
              <w:rPr>
                <w:rFonts w:ascii="Arial" w:eastAsiaTheme="minorEastAsia" w:hAnsi="Arial" w:cs="Arial"/>
                <w:noProof/>
                <w:kern w:val="2"/>
                <w:lang w:eastAsia="en-GB"/>
                <w14:ligatures w14:val="standardContextual"/>
              </w:rPr>
              <w:tab/>
            </w:r>
            <w:r w:rsidRPr="005C651F">
              <w:rPr>
                <w:rStyle w:val="Hyperlink"/>
                <w:rFonts w:ascii="Arial" w:hAnsi="Arial" w:cs="Arial"/>
                <w:noProof/>
              </w:rPr>
              <w:t>Case study 2: geographic atrophy</w:t>
            </w:r>
            <w:r w:rsidRPr="005C651F">
              <w:rPr>
                <w:rFonts w:ascii="Arial" w:hAnsi="Arial" w:cs="Arial"/>
                <w:noProof/>
                <w:webHidden/>
              </w:rPr>
              <w:tab/>
            </w:r>
            <w:r w:rsidRPr="005C651F">
              <w:rPr>
                <w:rFonts w:ascii="Arial" w:hAnsi="Arial" w:cs="Arial"/>
                <w:noProof/>
                <w:webHidden/>
              </w:rPr>
              <w:fldChar w:fldCharType="begin"/>
            </w:r>
            <w:r w:rsidRPr="005C651F">
              <w:rPr>
                <w:rFonts w:ascii="Arial" w:hAnsi="Arial" w:cs="Arial"/>
                <w:noProof/>
                <w:webHidden/>
              </w:rPr>
              <w:instrText xml:space="preserve"> PAGEREF _Toc221097785 \h </w:instrText>
            </w:r>
            <w:r w:rsidRPr="005C651F">
              <w:rPr>
                <w:rFonts w:ascii="Arial" w:hAnsi="Arial" w:cs="Arial"/>
                <w:noProof/>
                <w:webHidden/>
              </w:rPr>
            </w:r>
            <w:r w:rsidRPr="005C651F">
              <w:rPr>
                <w:rFonts w:ascii="Arial" w:hAnsi="Arial" w:cs="Arial"/>
                <w:noProof/>
                <w:webHidden/>
              </w:rPr>
              <w:fldChar w:fldCharType="separate"/>
            </w:r>
            <w:r w:rsidR="00644115">
              <w:rPr>
                <w:rFonts w:ascii="Arial" w:hAnsi="Arial" w:cs="Arial"/>
                <w:noProof/>
                <w:webHidden/>
              </w:rPr>
              <w:t>11</w:t>
            </w:r>
            <w:r w:rsidRPr="005C651F">
              <w:rPr>
                <w:rFonts w:ascii="Arial" w:hAnsi="Arial" w:cs="Arial"/>
                <w:noProof/>
                <w:webHidden/>
              </w:rPr>
              <w:fldChar w:fldCharType="end"/>
            </w:r>
          </w:hyperlink>
        </w:p>
        <w:p w14:paraId="2F67A3BC" w14:textId="347F8844" w:rsidR="00201661" w:rsidRPr="005C651F" w:rsidRDefault="00201661">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786" w:history="1">
            <w:r w:rsidRPr="005C651F">
              <w:rPr>
                <w:rStyle w:val="Hyperlink"/>
                <w:rFonts w:ascii="Arial" w:hAnsi="Arial" w:cs="Arial"/>
                <w:noProof/>
              </w:rPr>
              <w:t>6</w:t>
            </w:r>
            <w:r w:rsidRPr="005C651F">
              <w:rPr>
                <w:rFonts w:ascii="Arial" w:eastAsiaTheme="minorEastAsia" w:hAnsi="Arial" w:cs="Arial"/>
                <w:noProof/>
                <w:kern w:val="2"/>
                <w:lang w:eastAsia="en-GB"/>
                <w14:ligatures w14:val="standardContextual"/>
              </w:rPr>
              <w:tab/>
            </w:r>
            <w:r w:rsidRPr="005C651F">
              <w:rPr>
                <w:rStyle w:val="Hyperlink"/>
                <w:rFonts w:ascii="Arial" w:hAnsi="Arial" w:cs="Arial"/>
                <w:noProof/>
              </w:rPr>
              <w:t>Conclusion</w:t>
            </w:r>
            <w:r w:rsidRPr="005C651F">
              <w:rPr>
                <w:rFonts w:ascii="Arial" w:hAnsi="Arial" w:cs="Arial"/>
                <w:noProof/>
                <w:webHidden/>
              </w:rPr>
              <w:tab/>
            </w:r>
            <w:r w:rsidRPr="005C651F">
              <w:rPr>
                <w:rFonts w:ascii="Arial" w:hAnsi="Arial" w:cs="Arial"/>
                <w:noProof/>
                <w:webHidden/>
              </w:rPr>
              <w:fldChar w:fldCharType="begin"/>
            </w:r>
            <w:r w:rsidRPr="005C651F">
              <w:rPr>
                <w:rFonts w:ascii="Arial" w:hAnsi="Arial" w:cs="Arial"/>
                <w:noProof/>
                <w:webHidden/>
              </w:rPr>
              <w:instrText xml:space="preserve"> PAGEREF _Toc221097786 \h </w:instrText>
            </w:r>
            <w:r w:rsidRPr="005C651F">
              <w:rPr>
                <w:rFonts w:ascii="Arial" w:hAnsi="Arial" w:cs="Arial"/>
                <w:noProof/>
                <w:webHidden/>
              </w:rPr>
            </w:r>
            <w:r w:rsidRPr="005C651F">
              <w:rPr>
                <w:rFonts w:ascii="Arial" w:hAnsi="Arial" w:cs="Arial"/>
                <w:noProof/>
                <w:webHidden/>
              </w:rPr>
              <w:fldChar w:fldCharType="separate"/>
            </w:r>
            <w:r w:rsidR="00644115">
              <w:rPr>
                <w:rFonts w:ascii="Arial" w:hAnsi="Arial" w:cs="Arial"/>
                <w:noProof/>
                <w:webHidden/>
              </w:rPr>
              <w:t>12</w:t>
            </w:r>
            <w:r w:rsidRPr="005C651F">
              <w:rPr>
                <w:rFonts w:ascii="Arial" w:hAnsi="Arial" w:cs="Arial"/>
                <w:noProof/>
                <w:webHidden/>
              </w:rPr>
              <w:fldChar w:fldCharType="end"/>
            </w:r>
          </w:hyperlink>
        </w:p>
        <w:p w14:paraId="027CA6BB" w14:textId="5834471F" w:rsidR="007400D7" w:rsidRDefault="00F93F21" w:rsidP="007F7DF6">
          <w:r>
            <w:rPr>
              <w:b/>
              <w:bCs/>
              <w:noProof/>
            </w:rPr>
            <w:fldChar w:fldCharType="end"/>
          </w:r>
        </w:p>
      </w:sdtContent>
    </w:sdt>
    <w:p w14:paraId="3F490E6B" w14:textId="77777777" w:rsidR="00F93F21" w:rsidRDefault="00F93F21" w:rsidP="00F93F21">
      <w:pPr>
        <w:pStyle w:val="NICEnormal"/>
      </w:pPr>
    </w:p>
    <w:p w14:paraId="3EF041FA" w14:textId="77777777" w:rsidR="00F93F21" w:rsidRDefault="00F93F21" w:rsidP="006E462F">
      <w:pPr>
        <w:pStyle w:val="Paragraph"/>
        <w:sectPr w:rsidR="00F93F21" w:rsidSect="002B4F3E">
          <w:headerReference w:type="default" r:id="rId12"/>
          <w:pgSz w:w="11906" w:h="16838"/>
          <w:pgMar w:top="1440" w:right="1800" w:bottom="1440" w:left="1800" w:header="708" w:footer="708" w:gutter="0"/>
          <w:cols w:space="708"/>
          <w:docGrid w:linePitch="360"/>
        </w:sectPr>
      </w:pPr>
    </w:p>
    <w:p w14:paraId="7365D78D" w14:textId="77777777" w:rsidR="00AE29F5" w:rsidRDefault="004B2688" w:rsidP="00AE29F5">
      <w:pPr>
        <w:pStyle w:val="Numberedheading1"/>
      </w:pPr>
      <w:bookmarkStart w:id="40" w:name="_Toc221097776"/>
      <w:r>
        <w:t>Purpose and scope</w:t>
      </w:r>
      <w:bookmarkEnd w:id="40"/>
    </w:p>
    <w:p w14:paraId="79FD9002" w14:textId="7C2786BA" w:rsidR="0037108C" w:rsidRPr="008C41A3" w:rsidRDefault="00AE29F5" w:rsidP="00A84F48">
      <w:pPr>
        <w:pStyle w:val="Paragraph"/>
      </w:pPr>
      <w:r w:rsidRPr="00AE29F5">
        <w:t xml:space="preserve">This appendix </w:t>
      </w:r>
      <w:r w:rsidR="00DC5BEF">
        <w:t xml:space="preserve">describes the </w:t>
      </w:r>
      <w:r w:rsidRPr="00AE29F5">
        <w:t xml:space="preserve">stakeholder engagement </w:t>
      </w:r>
      <w:r w:rsidR="00DC5BEF">
        <w:t>done as part of</w:t>
      </w:r>
      <w:r w:rsidRPr="00AE29F5">
        <w:t xml:space="preserve"> th</w:t>
      </w:r>
      <w:r w:rsidR="00372F4E">
        <w:t>e</w:t>
      </w:r>
      <w:r w:rsidRPr="00AE29F5">
        <w:t xml:space="preserve"> project</w:t>
      </w:r>
      <w:r w:rsidR="00DC5BEF">
        <w:t>. It explains</w:t>
      </w:r>
      <w:r w:rsidRPr="00AE29F5">
        <w:t xml:space="preserve"> how </w:t>
      </w:r>
      <w:r w:rsidR="0037108C">
        <w:t>input</w:t>
      </w:r>
      <w:r w:rsidR="00023E18">
        <w:t>s</w:t>
      </w:r>
      <w:r w:rsidR="0037108C">
        <w:t xml:space="preserve"> informed the </w:t>
      </w:r>
      <w:r w:rsidR="0075068E">
        <w:t>project activities and recommendations.</w:t>
      </w:r>
      <w:r w:rsidR="00023E18">
        <w:t xml:space="preserve"> It provides detail on who was involved, </w:t>
      </w:r>
      <w:r w:rsidR="005D6DCF">
        <w:t>engagement activities and themes arising from discussions with stakeholders.</w:t>
      </w:r>
    </w:p>
    <w:p w14:paraId="35E48CD1" w14:textId="422CDBEA" w:rsidR="00C41A0D" w:rsidRDefault="00CC6EB5" w:rsidP="00AE29F5">
      <w:pPr>
        <w:pStyle w:val="Numberedheading1"/>
      </w:pPr>
      <w:bookmarkStart w:id="41" w:name="_Toc221097777"/>
      <w:r>
        <w:t>Aim and m</w:t>
      </w:r>
      <w:r w:rsidR="004B2688">
        <w:t>ethods</w:t>
      </w:r>
      <w:bookmarkEnd w:id="41"/>
    </w:p>
    <w:p w14:paraId="61846DEC" w14:textId="05AFE409" w:rsidR="009B79FA" w:rsidRDefault="009B79FA" w:rsidP="00A84F48">
      <w:pPr>
        <w:pStyle w:val="Numberedheading2"/>
      </w:pPr>
      <w:bookmarkStart w:id="42" w:name="_Toc221097778"/>
      <w:r>
        <w:t>Aim</w:t>
      </w:r>
      <w:bookmarkEnd w:id="42"/>
    </w:p>
    <w:p w14:paraId="71B3422D" w14:textId="66C09F8C" w:rsidR="00936EE8" w:rsidRDefault="00936EE8" w:rsidP="009B79FA">
      <w:pPr>
        <w:pStyle w:val="Paragraph"/>
      </w:pPr>
      <w:r>
        <w:t xml:space="preserve">The </w:t>
      </w:r>
      <w:r w:rsidR="00B90548">
        <w:t xml:space="preserve">overall </w:t>
      </w:r>
      <w:r>
        <w:t>aim of s</w:t>
      </w:r>
      <w:r w:rsidR="00FB062E">
        <w:t>takeholder</w:t>
      </w:r>
      <w:r>
        <w:t xml:space="preserve"> </w:t>
      </w:r>
      <w:r w:rsidR="00FB062E">
        <w:t>engage</w:t>
      </w:r>
      <w:r>
        <w:t>ment in the project was to get feedback on:</w:t>
      </w:r>
    </w:p>
    <w:p w14:paraId="6D8BCD84" w14:textId="2CD7BC1D" w:rsidR="00936EE8" w:rsidRDefault="005C3EBD" w:rsidP="008C41A3">
      <w:pPr>
        <w:pStyle w:val="Bulletleft1"/>
      </w:pPr>
      <w:r>
        <w:t xml:space="preserve">the scope </w:t>
      </w:r>
      <w:r w:rsidR="00B90548">
        <w:t>of the project</w:t>
      </w:r>
    </w:p>
    <w:p w14:paraId="19CA0BDC" w14:textId="3FEBF187" w:rsidR="00B90548" w:rsidRDefault="005C3EBD" w:rsidP="008C41A3">
      <w:pPr>
        <w:pStyle w:val="Bulletleft1"/>
      </w:pPr>
      <w:r>
        <w:t xml:space="preserve">planned </w:t>
      </w:r>
      <w:r w:rsidR="00B90548">
        <w:t>project activities</w:t>
      </w:r>
    </w:p>
    <w:p w14:paraId="2A9BAD62" w14:textId="0CA53EA1" w:rsidR="002F3B89" w:rsidRDefault="005C3EBD" w:rsidP="008C41A3">
      <w:pPr>
        <w:pStyle w:val="Bulletleft1"/>
      </w:pPr>
      <w:r>
        <w:t xml:space="preserve">key </w:t>
      </w:r>
      <w:r w:rsidR="002F3B89">
        <w:t xml:space="preserve">challenges </w:t>
      </w:r>
      <w:r>
        <w:t>in</w:t>
      </w:r>
      <w:r w:rsidR="002F3B89">
        <w:t xml:space="preserve"> </w:t>
      </w:r>
      <w:r w:rsidR="008768C9">
        <w:t>accounting for</w:t>
      </w:r>
      <w:r w:rsidR="003D5806">
        <w:t xml:space="preserve"> and evaluating </w:t>
      </w:r>
      <w:r w:rsidR="008768C9">
        <w:t xml:space="preserve">implementation costs </w:t>
      </w:r>
      <w:r w:rsidR="00FC4B81">
        <w:t>in NICE evaluations</w:t>
      </w:r>
    </w:p>
    <w:p w14:paraId="1A130337" w14:textId="02769200" w:rsidR="00043D38" w:rsidRDefault="005C3EBD" w:rsidP="008C41A3">
      <w:pPr>
        <w:pStyle w:val="Bulletleft1"/>
      </w:pPr>
      <w:r>
        <w:t xml:space="preserve">case </w:t>
      </w:r>
      <w:r w:rsidR="00043D38">
        <w:t>studies considered in the project</w:t>
      </w:r>
    </w:p>
    <w:p w14:paraId="0A7AC403" w14:textId="4ACB4FC9" w:rsidR="00404956" w:rsidRDefault="005C3EBD" w:rsidP="008C41A3">
      <w:pPr>
        <w:pStyle w:val="Bulletleft1"/>
      </w:pPr>
      <w:r>
        <w:t xml:space="preserve">draft </w:t>
      </w:r>
      <w:r w:rsidR="008768C9">
        <w:t>and final recommendations</w:t>
      </w:r>
      <w:r>
        <w:t>.</w:t>
      </w:r>
    </w:p>
    <w:p w14:paraId="774A57FF" w14:textId="22E12C8E" w:rsidR="009B79FA" w:rsidRDefault="009B79FA" w:rsidP="00A84F48">
      <w:pPr>
        <w:pStyle w:val="Numberedheading2"/>
      </w:pPr>
      <w:bookmarkStart w:id="43" w:name="_Toc221097779"/>
      <w:r>
        <w:t>Overview of stakeholders</w:t>
      </w:r>
      <w:bookmarkEnd w:id="43"/>
    </w:p>
    <w:p w14:paraId="365359A8" w14:textId="0FAF2865" w:rsidR="005A29BD" w:rsidRDefault="005C3EBD" w:rsidP="004A3686">
      <w:pPr>
        <w:pStyle w:val="Paragraph"/>
      </w:pPr>
      <w:r>
        <w:t xml:space="preserve">We </w:t>
      </w:r>
      <w:r w:rsidR="006D6BC4">
        <w:t xml:space="preserve">set up both </w:t>
      </w:r>
      <w:r w:rsidR="00F43C3F" w:rsidRPr="00F43C3F">
        <w:t>an internal and an external stakeholder steering group.</w:t>
      </w:r>
      <w:r w:rsidR="008371BA">
        <w:t xml:space="preserve"> </w:t>
      </w:r>
      <w:r w:rsidR="00F43C3F" w:rsidRPr="00F43C3F">
        <w:t>The internal steering group included representatives from the following NICE teams</w:t>
      </w:r>
      <w:r w:rsidR="005A29BD">
        <w:t>:</w:t>
      </w:r>
    </w:p>
    <w:p w14:paraId="1B868B26" w14:textId="403E4EC4" w:rsidR="005A29BD" w:rsidRDefault="004251FC" w:rsidP="00D93A4C">
      <w:pPr>
        <w:pStyle w:val="Bulletleft1"/>
      </w:pPr>
      <w:r>
        <w:t>H</w:t>
      </w:r>
      <w:r w:rsidR="00EA4091">
        <w:t>ealth</w:t>
      </w:r>
      <w:r>
        <w:t>T</w:t>
      </w:r>
      <w:r w:rsidR="00EA4091">
        <w:t>ech</w:t>
      </w:r>
    </w:p>
    <w:p w14:paraId="61542B7A" w14:textId="5B8D5524" w:rsidR="005A29BD" w:rsidRDefault="008371BA" w:rsidP="008C41A3">
      <w:pPr>
        <w:pStyle w:val="Bulletleft1"/>
      </w:pPr>
      <w:r>
        <w:t>m</w:t>
      </w:r>
      <w:r w:rsidR="001600E2">
        <w:t xml:space="preserve">edicines </w:t>
      </w:r>
      <w:r>
        <w:t>e</w:t>
      </w:r>
      <w:r w:rsidR="001600E2">
        <w:t>valuation</w:t>
      </w:r>
      <w:r w:rsidR="00D85DDF">
        <w:t xml:space="preserve"> </w:t>
      </w:r>
      <w:r w:rsidR="005A29BD">
        <w:t xml:space="preserve">and </w:t>
      </w:r>
      <w:r>
        <w:t>h</w:t>
      </w:r>
      <w:r w:rsidR="005A29BD" w:rsidRPr="00F43C3F">
        <w:t xml:space="preserve">ighly </w:t>
      </w:r>
      <w:r>
        <w:t>s</w:t>
      </w:r>
      <w:r w:rsidR="005A29BD" w:rsidRPr="00F43C3F">
        <w:t xml:space="preserve">pecialised </w:t>
      </w:r>
      <w:r>
        <w:t>t</w:t>
      </w:r>
      <w:r w:rsidR="005A29BD" w:rsidRPr="00F43C3F">
        <w:t>echnologies</w:t>
      </w:r>
    </w:p>
    <w:p w14:paraId="22240164" w14:textId="30D0726D" w:rsidR="005A29BD" w:rsidRDefault="008371BA" w:rsidP="008C41A3">
      <w:pPr>
        <w:pStyle w:val="Bulletleft1"/>
      </w:pPr>
      <w:r>
        <w:t>r</w:t>
      </w:r>
      <w:r w:rsidR="00F43C3F" w:rsidRPr="00F43C3F">
        <w:t xml:space="preserve">esource </w:t>
      </w:r>
      <w:r>
        <w:t>i</w:t>
      </w:r>
      <w:r w:rsidR="00F43C3F" w:rsidRPr="00F43C3F">
        <w:t xml:space="preserve">mpact </w:t>
      </w:r>
      <w:r>
        <w:t>a</w:t>
      </w:r>
      <w:r w:rsidR="00F43C3F" w:rsidRPr="00F43C3F">
        <w:t>ssessment</w:t>
      </w:r>
    </w:p>
    <w:p w14:paraId="5B38E03B" w14:textId="61059D26" w:rsidR="005A29BD" w:rsidRDefault="0096412C" w:rsidP="008C41A3">
      <w:pPr>
        <w:pStyle w:val="Bulletleft1"/>
      </w:pPr>
      <w:r>
        <w:t>m</w:t>
      </w:r>
      <w:r w:rsidR="00F43C3F" w:rsidRPr="00F43C3F">
        <w:t xml:space="preserve">anaged </w:t>
      </w:r>
      <w:r>
        <w:t>a</w:t>
      </w:r>
      <w:r w:rsidR="00F43C3F" w:rsidRPr="00F43C3F">
        <w:t>ccess</w:t>
      </w:r>
    </w:p>
    <w:p w14:paraId="5DAE90A3" w14:textId="58A536D5" w:rsidR="005A29BD" w:rsidRDefault="0096412C" w:rsidP="008C41A3">
      <w:pPr>
        <w:pStyle w:val="Bulletleft1"/>
      </w:pPr>
      <w:r>
        <w:t>h</w:t>
      </w:r>
      <w:r w:rsidR="00F43C3F" w:rsidRPr="00F43C3F">
        <w:t xml:space="preserve">ealth </w:t>
      </w:r>
      <w:r>
        <w:t>e</w:t>
      </w:r>
      <w:r w:rsidR="00F43C3F" w:rsidRPr="00F43C3F">
        <w:t>conomics</w:t>
      </w:r>
      <w:r w:rsidR="001600E2">
        <w:t xml:space="preserve"> and </w:t>
      </w:r>
      <w:r>
        <w:t>d</w:t>
      </w:r>
      <w:r w:rsidR="009751E6">
        <w:t xml:space="preserve">ecision </w:t>
      </w:r>
      <w:r>
        <w:t>m</w:t>
      </w:r>
      <w:r w:rsidR="009751E6">
        <w:t xml:space="preserve">odelling </w:t>
      </w:r>
    </w:p>
    <w:p w14:paraId="08799E59" w14:textId="54FAF5BC" w:rsidR="005A29BD" w:rsidRDefault="0096412C" w:rsidP="008C41A3">
      <w:pPr>
        <w:pStyle w:val="Bulletleft1last"/>
      </w:pPr>
      <w:r>
        <w:t>r</w:t>
      </w:r>
      <w:r w:rsidR="00F878AF">
        <w:t>esearch</w:t>
      </w:r>
      <w:r>
        <w:t>.</w:t>
      </w:r>
    </w:p>
    <w:p w14:paraId="351367C0" w14:textId="2BAC324B" w:rsidR="008230F9" w:rsidRDefault="008230F9" w:rsidP="00517754">
      <w:pPr>
        <w:pStyle w:val="Paragraph"/>
      </w:pPr>
      <w:r w:rsidRPr="008230F9">
        <w:t>The purpose of the internal steering group was to provide input at initiation of the project on scope and planned activities and then at different project milestones.</w:t>
      </w:r>
    </w:p>
    <w:p w14:paraId="2039BDB5" w14:textId="6D34755B" w:rsidR="001005AE" w:rsidRDefault="008230F9" w:rsidP="00CB42A1">
      <w:pPr>
        <w:pStyle w:val="Paragraph"/>
      </w:pPr>
      <w:r>
        <w:t>The external steering group included</w:t>
      </w:r>
      <w:r w:rsidR="001005AE">
        <w:t>:</w:t>
      </w:r>
    </w:p>
    <w:p w14:paraId="1951F6CF" w14:textId="01B61442" w:rsidR="001005AE" w:rsidRDefault="005A29BD" w:rsidP="008C41A3">
      <w:pPr>
        <w:pStyle w:val="Bulletleft1"/>
      </w:pPr>
      <w:r>
        <w:t xml:space="preserve">healthcare professionals </w:t>
      </w:r>
      <w:r w:rsidR="008230F9">
        <w:t>with expertise in geographic atrophy and molecular radiotherapy</w:t>
      </w:r>
    </w:p>
    <w:p w14:paraId="792BCE79" w14:textId="46651B7C" w:rsidR="001005AE" w:rsidRDefault="008230F9" w:rsidP="008C41A3">
      <w:pPr>
        <w:pStyle w:val="Bulletleft1"/>
      </w:pPr>
      <w:r>
        <w:t>academic health economists with expertise in</w:t>
      </w:r>
      <w:r w:rsidR="00BC5166">
        <w:t xml:space="preserve"> health technology assessment (</w:t>
      </w:r>
      <w:r w:rsidR="00CB42A1">
        <w:t>HTA</w:t>
      </w:r>
      <w:r w:rsidR="00BC5166">
        <w:t>)</w:t>
      </w:r>
      <w:r w:rsidR="00CB42A1">
        <w:t xml:space="preserve"> and implementation costs</w:t>
      </w:r>
    </w:p>
    <w:p w14:paraId="2BCD97F3" w14:textId="39CB4745" w:rsidR="001005AE" w:rsidRDefault="00CB42A1" w:rsidP="008C41A3">
      <w:pPr>
        <w:pStyle w:val="Bulletleft1"/>
      </w:pPr>
      <w:r>
        <w:t xml:space="preserve">industry </w:t>
      </w:r>
      <w:r w:rsidR="001005AE">
        <w:t>representatives from</w:t>
      </w:r>
      <w:r w:rsidR="005F0197">
        <w:t xml:space="preserve"> individual </w:t>
      </w:r>
      <w:r w:rsidR="000D5637">
        <w:t>companies and the Association of</w:t>
      </w:r>
      <w:r w:rsidR="006660BF">
        <w:t xml:space="preserve"> the</w:t>
      </w:r>
      <w:r w:rsidR="000D5637">
        <w:t xml:space="preserve"> British Pharmaceutical Industry</w:t>
      </w:r>
    </w:p>
    <w:p w14:paraId="71882579" w14:textId="55DA9E0A" w:rsidR="001005AE" w:rsidRDefault="008230F9" w:rsidP="008C41A3">
      <w:pPr>
        <w:pStyle w:val="Bulletleft1"/>
      </w:pPr>
      <w:r>
        <w:t>NHS England</w:t>
      </w:r>
    </w:p>
    <w:p w14:paraId="59A3C46B" w14:textId="21CC9089" w:rsidR="001005AE" w:rsidRDefault="00CB42A1" w:rsidP="008C41A3">
      <w:pPr>
        <w:pStyle w:val="Bulletleft1"/>
      </w:pPr>
      <w:r>
        <w:t>the following p</w:t>
      </w:r>
      <w:r w:rsidR="008230F9">
        <w:t>atient organisations</w:t>
      </w:r>
      <w:r w:rsidR="001005AE">
        <w:t>:</w:t>
      </w:r>
    </w:p>
    <w:p w14:paraId="4AABD43D" w14:textId="0AE015AD" w:rsidR="001005AE" w:rsidRDefault="00A61C85" w:rsidP="008C41A3">
      <w:pPr>
        <w:pStyle w:val="Bulletleft2"/>
      </w:pPr>
      <w:r>
        <w:t>M</w:t>
      </w:r>
      <w:r w:rsidR="00CB42A1">
        <w:t xml:space="preserve">acular </w:t>
      </w:r>
      <w:r>
        <w:t>S</w:t>
      </w:r>
      <w:r w:rsidR="00CB42A1">
        <w:t>ociety</w:t>
      </w:r>
    </w:p>
    <w:p w14:paraId="14420016" w14:textId="40639C7F" w:rsidR="001005AE" w:rsidRDefault="00A61C85" w:rsidP="00A84F48">
      <w:pPr>
        <w:pStyle w:val="Bulletleft2last"/>
      </w:pPr>
      <w:r>
        <w:t>P</w:t>
      </w:r>
      <w:r w:rsidR="00CB42A1">
        <w:t xml:space="preserve">rostate </w:t>
      </w:r>
      <w:r>
        <w:t>C</w:t>
      </w:r>
      <w:r w:rsidR="00CB42A1">
        <w:t xml:space="preserve">ancer </w:t>
      </w:r>
      <w:r w:rsidR="00390DC5">
        <w:t>Research</w:t>
      </w:r>
      <w:r w:rsidR="00597796">
        <w:t>.</w:t>
      </w:r>
    </w:p>
    <w:p w14:paraId="7B715F12" w14:textId="4DEF6DC4" w:rsidR="008230F9" w:rsidRDefault="0035005F" w:rsidP="00CB42A1">
      <w:pPr>
        <w:pStyle w:val="Paragraph"/>
      </w:pPr>
      <w:r>
        <w:t>Aso</w:t>
      </w:r>
      <w:r w:rsidR="0064420A">
        <w:t>,</w:t>
      </w:r>
      <w:r w:rsidR="00597796">
        <w:t xml:space="preserve"> we </w:t>
      </w:r>
      <w:r w:rsidR="00E76AFC">
        <w:t xml:space="preserve">had </w:t>
      </w:r>
      <w:r w:rsidR="00914CCD">
        <w:t xml:space="preserve">input </w:t>
      </w:r>
      <w:r w:rsidR="0078474A">
        <w:t xml:space="preserve">from </w:t>
      </w:r>
      <w:r w:rsidR="00E76AFC">
        <w:t>7</w:t>
      </w:r>
      <w:r w:rsidR="00597796">
        <w:t xml:space="preserve"> </w:t>
      </w:r>
      <w:r w:rsidR="00B80B0E">
        <w:t>integrated care boar</w:t>
      </w:r>
      <w:r w:rsidR="004648C1">
        <w:t>d (ICB)</w:t>
      </w:r>
      <w:r w:rsidR="00B80B0E">
        <w:t xml:space="preserve"> </w:t>
      </w:r>
      <w:r w:rsidR="00086DAD">
        <w:t xml:space="preserve">representatives </w:t>
      </w:r>
      <w:r w:rsidR="00914CCD">
        <w:t xml:space="preserve">in the UK as part of ongoing work being </w:t>
      </w:r>
      <w:r w:rsidR="00E1777B">
        <w:t xml:space="preserve">done </w:t>
      </w:r>
      <w:r w:rsidR="00914CCD">
        <w:t>by other NICE teams</w:t>
      </w:r>
      <w:r w:rsidR="008D62C3">
        <w:t>.</w:t>
      </w:r>
      <w:r w:rsidR="0084312F">
        <w:t xml:space="preserve"> We also spoke to representative</w:t>
      </w:r>
      <w:r w:rsidR="007D2DED">
        <w:t>s</w:t>
      </w:r>
      <w:r w:rsidR="0084312F">
        <w:t xml:space="preserve"> from the </w:t>
      </w:r>
      <w:r w:rsidR="0084312F" w:rsidRPr="0084312F">
        <w:t>Association of Medical Research Charities</w:t>
      </w:r>
      <w:r w:rsidR="008D62C3">
        <w:t xml:space="preserve"> </w:t>
      </w:r>
      <w:r w:rsidR="007D2DED">
        <w:t>and N</w:t>
      </w:r>
      <w:r w:rsidR="00D96D85">
        <w:t xml:space="preserve">ational </w:t>
      </w:r>
      <w:r w:rsidR="007D2DED">
        <w:t>I</w:t>
      </w:r>
      <w:r w:rsidR="00D96D85">
        <w:t xml:space="preserve">nstitute for </w:t>
      </w:r>
      <w:r w:rsidR="007D2DED">
        <w:t>H</w:t>
      </w:r>
      <w:r w:rsidR="0044765E">
        <w:t xml:space="preserve">ealth </w:t>
      </w:r>
      <w:r w:rsidR="007D2DED">
        <w:t>R</w:t>
      </w:r>
      <w:r w:rsidR="0044765E">
        <w:t>esearch</w:t>
      </w:r>
      <w:r w:rsidR="007D2DED">
        <w:t xml:space="preserve">. </w:t>
      </w:r>
      <w:r w:rsidR="00F623FB">
        <w:t>A total of 3</w:t>
      </w:r>
      <w:r w:rsidR="005B748B">
        <w:t>9</w:t>
      </w:r>
      <w:r w:rsidR="00F623FB">
        <w:t xml:space="preserve"> external stakeholders were engaged in the project</w:t>
      </w:r>
      <w:r w:rsidR="003833DA">
        <w:t xml:space="preserve"> across 30 </w:t>
      </w:r>
      <w:r w:rsidR="00312388">
        <w:t xml:space="preserve">individual organisations or NHS </w:t>
      </w:r>
      <w:r w:rsidR="00B86174">
        <w:t>organisations</w:t>
      </w:r>
      <w:r w:rsidR="00454ADB">
        <w:t>.</w:t>
      </w:r>
    </w:p>
    <w:p w14:paraId="6C84B078" w14:textId="62BB64A4" w:rsidR="009B79FA" w:rsidRDefault="00354D56" w:rsidP="00A84F48">
      <w:pPr>
        <w:pStyle w:val="Numberedheading2"/>
      </w:pPr>
      <w:bookmarkStart w:id="44" w:name="_Toc221097780"/>
      <w:r>
        <w:t>Engagement approaches</w:t>
      </w:r>
      <w:bookmarkEnd w:id="44"/>
    </w:p>
    <w:p w14:paraId="0A2E27B4" w14:textId="3369B384" w:rsidR="005E7479" w:rsidRDefault="00B86174" w:rsidP="004357D0">
      <w:pPr>
        <w:pStyle w:val="Paragraph"/>
      </w:pPr>
      <w:r>
        <w:t>We used a</w:t>
      </w:r>
      <w:r w:rsidR="00F442DD" w:rsidRPr="00063F0F">
        <w:t xml:space="preserve"> combination of approaches to ensure that stakeholders were engaged throughout</w:t>
      </w:r>
      <w:r w:rsidR="00E42C2A">
        <w:t>,</w:t>
      </w:r>
      <w:r w:rsidR="00F442DD" w:rsidRPr="00063F0F">
        <w:t xml:space="preserve"> </w:t>
      </w:r>
      <w:r w:rsidR="008209DA" w:rsidRPr="00063F0F">
        <w:t xml:space="preserve">with </w:t>
      </w:r>
      <w:r w:rsidR="00063F0F" w:rsidRPr="00063F0F">
        <w:t>engagement running from July to December 2025</w:t>
      </w:r>
      <w:r w:rsidR="00F442DD" w:rsidRPr="00063F0F">
        <w:t xml:space="preserve">. </w:t>
      </w:r>
      <w:r w:rsidR="00E42C2A">
        <w:t>Stakeholder engagement activities</w:t>
      </w:r>
      <w:r w:rsidR="00F442DD" w:rsidRPr="00063F0F">
        <w:t xml:space="preserve"> included</w:t>
      </w:r>
      <w:r w:rsidR="005E7479">
        <w:t>:</w:t>
      </w:r>
    </w:p>
    <w:p w14:paraId="68792074" w14:textId="21195044" w:rsidR="000A4020" w:rsidRDefault="005E7479" w:rsidP="008C41A3">
      <w:pPr>
        <w:pStyle w:val="Bulletleft1"/>
      </w:pPr>
      <w:r w:rsidRPr="00724766">
        <w:rPr>
          <w:b/>
          <w:bCs/>
        </w:rPr>
        <w:t>S</w:t>
      </w:r>
      <w:r w:rsidR="000A4020" w:rsidRPr="00724766">
        <w:rPr>
          <w:b/>
          <w:bCs/>
        </w:rPr>
        <w:t>emi-structured</w:t>
      </w:r>
      <w:r w:rsidR="005972FE">
        <w:rPr>
          <w:b/>
          <w:bCs/>
        </w:rPr>
        <w:t xml:space="preserve"> one-to-one virtual</w:t>
      </w:r>
      <w:r w:rsidR="000A4020" w:rsidRPr="00724766">
        <w:rPr>
          <w:b/>
          <w:bCs/>
        </w:rPr>
        <w:t xml:space="preserve"> interviews</w:t>
      </w:r>
      <w:r w:rsidR="008424D3" w:rsidRPr="00724766">
        <w:rPr>
          <w:b/>
          <w:bCs/>
        </w:rPr>
        <w:t xml:space="preserve"> with clinicians and patient organisation representatives</w:t>
      </w:r>
      <w:r w:rsidR="005F5C6B">
        <w:rPr>
          <w:b/>
          <w:bCs/>
        </w:rPr>
        <w:t>:</w:t>
      </w:r>
      <w:r w:rsidR="0049434C" w:rsidRPr="00A84F48">
        <w:t xml:space="preserve"> t</w:t>
      </w:r>
      <w:r w:rsidRPr="0049434C">
        <w:t>he</w:t>
      </w:r>
      <w:r>
        <w:t xml:space="preserve"> focus of these</w:t>
      </w:r>
      <w:r w:rsidR="00F814EF">
        <w:t xml:space="preserve"> interviews</w:t>
      </w:r>
      <w:r>
        <w:t xml:space="preserve"> w</w:t>
      </w:r>
      <w:r w:rsidR="00086DAD">
        <w:t>as</w:t>
      </w:r>
      <w:r w:rsidR="008424D3">
        <w:t xml:space="preserve"> to</w:t>
      </w:r>
      <w:r w:rsidR="000E5B55">
        <w:t xml:space="preserve"> gain an in-depth understanding of </w:t>
      </w:r>
      <w:r>
        <w:t xml:space="preserve">current management pathways </w:t>
      </w:r>
      <w:r w:rsidR="005972FE">
        <w:t xml:space="preserve">and implementation challenges related to future molecular radiotherapies and </w:t>
      </w:r>
      <w:r w:rsidR="00636ECE">
        <w:t>treatments for geographic atrophy.</w:t>
      </w:r>
    </w:p>
    <w:p w14:paraId="4018E8DD" w14:textId="38453AC2" w:rsidR="009113B2" w:rsidRPr="009113B2" w:rsidRDefault="001630B2" w:rsidP="008C41A3">
      <w:pPr>
        <w:pStyle w:val="Bulletleft1"/>
        <w:rPr>
          <w:b/>
          <w:bCs/>
        </w:rPr>
      </w:pPr>
      <w:r>
        <w:rPr>
          <w:b/>
          <w:bCs/>
        </w:rPr>
        <w:t>Virtual m</w:t>
      </w:r>
      <w:r w:rsidR="00962F23" w:rsidRPr="00962F23">
        <w:rPr>
          <w:b/>
          <w:bCs/>
        </w:rPr>
        <w:t>eeting</w:t>
      </w:r>
      <w:r>
        <w:rPr>
          <w:b/>
          <w:bCs/>
        </w:rPr>
        <w:t>s</w:t>
      </w:r>
      <w:r w:rsidR="00962F23" w:rsidRPr="00962F23">
        <w:rPr>
          <w:b/>
          <w:bCs/>
        </w:rPr>
        <w:t xml:space="preserve"> with </w:t>
      </w:r>
      <w:r w:rsidR="00855E8E">
        <w:rPr>
          <w:b/>
          <w:bCs/>
        </w:rPr>
        <w:t>the following stakeholder groups</w:t>
      </w:r>
      <w:r w:rsidR="00F814EF">
        <w:rPr>
          <w:b/>
          <w:bCs/>
        </w:rPr>
        <w:t xml:space="preserve"> </w:t>
      </w:r>
      <w:r w:rsidR="001E7E4F">
        <w:rPr>
          <w:b/>
          <w:bCs/>
        </w:rPr>
        <w:t>separately</w:t>
      </w:r>
      <w:r w:rsidR="00855E8E">
        <w:rPr>
          <w:b/>
          <w:bCs/>
        </w:rPr>
        <w:t>:</w:t>
      </w:r>
    </w:p>
    <w:p w14:paraId="2AA317FF" w14:textId="247AB71E" w:rsidR="00B83FF4" w:rsidRDefault="00B83FF4" w:rsidP="008C41A3">
      <w:pPr>
        <w:pStyle w:val="Bulletleft2"/>
      </w:pPr>
      <w:r w:rsidRPr="25221B44">
        <w:rPr>
          <w:b/>
          <w:bCs/>
        </w:rPr>
        <w:t xml:space="preserve">System partners: </w:t>
      </w:r>
      <w:r w:rsidRPr="25221B44">
        <w:t xml:space="preserve">we met with representatives from the </w:t>
      </w:r>
      <w:r w:rsidR="3C07EFEA" w:rsidRPr="25221B44">
        <w:t>Medicines Value and Access</w:t>
      </w:r>
      <w:r w:rsidRPr="25221B44">
        <w:t xml:space="preserve">, Patient Level Information and Costing System (PLICS) and pricing teams within NHS England. The purpose of these meetings was to </w:t>
      </w:r>
      <w:r w:rsidR="00D60B06" w:rsidRPr="25221B44">
        <w:t xml:space="preserve">discuss </w:t>
      </w:r>
      <w:r w:rsidRPr="25221B44">
        <w:t>the project scope</w:t>
      </w:r>
      <w:r w:rsidR="00DA1B10">
        <w:t xml:space="preserve"> and the</w:t>
      </w:r>
      <w:r w:rsidRPr="25221B44">
        <w:t xml:space="preserve"> draft taxonomy</w:t>
      </w:r>
      <w:r w:rsidR="00DA1B10">
        <w:t>. We also wanted to</w:t>
      </w:r>
      <w:r w:rsidRPr="25221B44">
        <w:t xml:space="preserve"> get </w:t>
      </w:r>
      <w:r w:rsidR="00F35E39" w:rsidRPr="25221B44">
        <w:t xml:space="preserve">a </w:t>
      </w:r>
      <w:r w:rsidRPr="25221B44">
        <w:t xml:space="preserve">deeper understanding of their internal processes, potential areas for further alignment and any relevant changes or </w:t>
      </w:r>
      <w:r w:rsidR="00232178" w:rsidRPr="25221B44">
        <w:t xml:space="preserve">linked </w:t>
      </w:r>
      <w:r w:rsidRPr="25221B44">
        <w:t>initiatives.</w:t>
      </w:r>
    </w:p>
    <w:p w14:paraId="1C2634EC" w14:textId="73C316B4" w:rsidR="00636ECE" w:rsidRPr="00923E20" w:rsidRDefault="009113B2" w:rsidP="008C41A3">
      <w:pPr>
        <w:pStyle w:val="Bulletleft2"/>
        <w:rPr>
          <w:b/>
          <w:bCs/>
        </w:rPr>
      </w:pPr>
      <w:r w:rsidRPr="00954705">
        <w:rPr>
          <w:b/>
          <w:bCs/>
        </w:rPr>
        <w:t>Health economi</w:t>
      </w:r>
      <w:r w:rsidR="005860E6">
        <w:rPr>
          <w:b/>
          <w:bCs/>
        </w:rPr>
        <w:t>c experts in implementation costs and NICE evaluations</w:t>
      </w:r>
      <w:r>
        <w:t>:</w:t>
      </w:r>
      <w:r w:rsidR="00652061">
        <w:t xml:space="preserve"> </w:t>
      </w:r>
      <w:r w:rsidR="0049434C">
        <w:t>t</w:t>
      </w:r>
      <w:r w:rsidR="00652061">
        <w:t>his meeting wa</w:t>
      </w:r>
      <w:r w:rsidR="00D0208E">
        <w:t>s</w:t>
      </w:r>
      <w:r w:rsidR="00652061">
        <w:t xml:space="preserve"> to discuss</w:t>
      </w:r>
      <w:r w:rsidR="00F35E39">
        <w:t xml:space="preserve"> the</w:t>
      </w:r>
      <w:r w:rsidR="00923E20">
        <w:t xml:space="preserve"> </w:t>
      </w:r>
      <w:r w:rsidR="00535473">
        <w:t>draft taxonomy</w:t>
      </w:r>
      <w:r w:rsidR="00F35E39">
        <w:t xml:space="preserve">, </w:t>
      </w:r>
      <w:r w:rsidR="00923E20">
        <w:t>existing methods</w:t>
      </w:r>
      <w:r w:rsidR="00D74B9A">
        <w:t xml:space="preserve"> and the</w:t>
      </w:r>
      <w:r w:rsidR="00F35E39">
        <w:t xml:space="preserve"> </w:t>
      </w:r>
      <w:r w:rsidR="00652061">
        <w:t xml:space="preserve">best practice </w:t>
      </w:r>
      <w:r w:rsidR="00923E20">
        <w:t>guidance</w:t>
      </w:r>
      <w:r w:rsidR="00D74B9A">
        <w:t>. We also wanted</w:t>
      </w:r>
      <w:r w:rsidR="00D0208E">
        <w:t xml:space="preserve"> to</w:t>
      </w:r>
      <w:r w:rsidR="004A4C15">
        <w:t xml:space="preserve"> understand</w:t>
      </w:r>
      <w:r w:rsidR="00484F20">
        <w:t xml:space="preserve"> </w:t>
      </w:r>
      <w:r w:rsidR="00652061">
        <w:t>challenges for NICE independent committees and external assessment group</w:t>
      </w:r>
      <w:r w:rsidR="00923E20">
        <w:t>s</w:t>
      </w:r>
      <w:r w:rsidR="00D0208E">
        <w:t xml:space="preserve"> </w:t>
      </w:r>
      <w:r w:rsidR="00D74B9A">
        <w:t xml:space="preserve">in </w:t>
      </w:r>
      <w:r w:rsidR="00923E20">
        <w:t>incorporating implementation costs in evaluations</w:t>
      </w:r>
      <w:r w:rsidR="00D0208E">
        <w:t xml:space="preserve"> and how these can be addressed.</w:t>
      </w:r>
    </w:p>
    <w:p w14:paraId="024F3900" w14:textId="2A0280EA" w:rsidR="00AD434D" w:rsidRPr="009967F1" w:rsidRDefault="00923E20" w:rsidP="008C41A3">
      <w:pPr>
        <w:pStyle w:val="Bulletleft2"/>
        <w:rPr>
          <w:b/>
          <w:bCs/>
        </w:rPr>
      </w:pPr>
      <w:r w:rsidRPr="00B21079">
        <w:rPr>
          <w:b/>
          <w:bCs/>
        </w:rPr>
        <w:t>Industry representatives:</w:t>
      </w:r>
      <w:r>
        <w:t xml:space="preserve"> </w:t>
      </w:r>
      <w:r w:rsidR="0086149C">
        <w:t>t</w:t>
      </w:r>
      <w:r>
        <w:t>his meeting was to get feedback on</w:t>
      </w:r>
      <w:r w:rsidR="00DD21F3">
        <w:t xml:space="preserve"> the draft taxonomy</w:t>
      </w:r>
      <w:r w:rsidR="00D74B9A">
        <w:t xml:space="preserve"> and</w:t>
      </w:r>
      <w:r w:rsidR="00B21079">
        <w:t xml:space="preserve"> project scope</w:t>
      </w:r>
      <w:r w:rsidR="00D74B9A">
        <w:t>. We also wanted to</w:t>
      </w:r>
      <w:r w:rsidR="00DD21F3">
        <w:t xml:space="preserve"> understand the challenges of incorporating implementation costs in NICE evaluations</w:t>
      </w:r>
      <w:r w:rsidR="00AD434D">
        <w:t>.</w:t>
      </w:r>
    </w:p>
    <w:p w14:paraId="3A2635B9" w14:textId="28D9DB0E" w:rsidR="00614C3C" w:rsidRPr="00F170DD" w:rsidRDefault="00AD434D" w:rsidP="008C41A3">
      <w:pPr>
        <w:pStyle w:val="Bulletleft1"/>
        <w:rPr>
          <w:b/>
          <w:bCs/>
        </w:rPr>
      </w:pPr>
      <w:r w:rsidRPr="00AD434D">
        <w:rPr>
          <w:b/>
          <w:bCs/>
        </w:rPr>
        <w:t>Multi</w:t>
      </w:r>
      <w:r w:rsidR="00D74B9A">
        <w:rPr>
          <w:b/>
          <w:bCs/>
        </w:rPr>
        <w:t>-</w:t>
      </w:r>
      <w:r w:rsidRPr="00AD434D">
        <w:rPr>
          <w:b/>
          <w:bCs/>
        </w:rPr>
        <w:t xml:space="preserve">stakeholder workshop: </w:t>
      </w:r>
      <w:r w:rsidR="0086149C">
        <w:t>t</w:t>
      </w:r>
      <w:r>
        <w:t>he purpose of this workshop was to get feedback on our main findings</w:t>
      </w:r>
      <w:r w:rsidR="00361A21">
        <w:t xml:space="preserve"> </w:t>
      </w:r>
      <w:r w:rsidR="00C84716">
        <w:t xml:space="preserve">from the stakeholder </w:t>
      </w:r>
      <w:r w:rsidR="00361A21">
        <w:t xml:space="preserve">engagement </w:t>
      </w:r>
      <w:r>
        <w:t xml:space="preserve">and preliminary set of recommendations for improving current approaches for incorporating implementation costs in NICE evaluations. </w:t>
      </w:r>
      <w:r w:rsidR="00C84716">
        <w:t xml:space="preserve">Stakeholders </w:t>
      </w:r>
      <w:r w:rsidR="00D85B01">
        <w:t xml:space="preserve">were split into </w:t>
      </w:r>
      <w:r w:rsidR="00C84716">
        <w:t xml:space="preserve">2 </w:t>
      </w:r>
      <w:r w:rsidR="00D85B01">
        <w:t xml:space="preserve">breakout rooms, </w:t>
      </w:r>
      <w:r w:rsidR="0086149C">
        <w:t xml:space="preserve">1 </w:t>
      </w:r>
      <w:r w:rsidR="00D85B01">
        <w:t xml:space="preserve">for each of the case studies to </w:t>
      </w:r>
      <w:r w:rsidR="00597A1D">
        <w:t xml:space="preserve">test </w:t>
      </w:r>
      <w:r w:rsidR="00614C3C">
        <w:t>some of th</w:t>
      </w:r>
      <w:r w:rsidR="00B21079">
        <w:t>e</w:t>
      </w:r>
      <w:r w:rsidR="00614C3C">
        <w:t xml:space="preserve"> </w:t>
      </w:r>
      <w:r w:rsidR="00597A1D">
        <w:t>recommendations</w:t>
      </w:r>
      <w:r w:rsidR="00614C3C">
        <w:t xml:space="preserve"> and assess their appropriateness.</w:t>
      </w:r>
    </w:p>
    <w:p w14:paraId="772A571D" w14:textId="0BD2AB3C" w:rsidR="00DF5F34" w:rsidRDefault="00361A21" w:rsidP="008C41A3">
      <w:pPr>
        <w:pStyle w:val="Bulletleft1"/>
      </w:pPr>
      <w:r>
        <w:rPr>
          <w:b/>
          <w:bCs/>
        </w:rPr>
        <w:t>Internal workshop:</w:t>
      </w:r>
      <w:r>
        <w:t xml:space="preserve"> </w:t>
      </w:r>
      <w:r w:rsidR="0086149C">
        <w:t>t</w:t>
      </w:r>
      <w:r w:rsidR="00970E2D">
        <w:t>h</w:t>
      </w:r>
      <w:r>
        <w:t xml:space="preserve">is final </w:t>
      </w:r>
      <w:r w:rsidR="00C72BF4">
        <w:t>workshop</w:t>
      </w:r>
      <w:r w:rsidR="001E7E4F">
        <w:t xml:space="preserve"> was </w:t>
      </w:r>
      <w:r w:rsidR="00B21079">
        <w:t xml:space="preserve">to </w:t>
      </w:r>
      <w:r w:rsidR="00DF5F34">
        <w:t xml:space="preserve">discuss the revised recommendations </w:t>
      </w:r>
      <w:r w:rsidR="00812558">
        <w:t>(</w:t>
      </w:r>
      <w:r w:rsidR="00DF5F34">
        <w:t>based on engagement in the multistakeholder workshop</w:t>
      </w:r>
      <w:r w:rsidR="00812558">
        <w:t>)</w:t>
      </w:r>
      <w:r w:rsidR="00DF5F34">
        <w:t xml:space="preserve"> and get the perspective of NICE teams on their feasibility and potential barriers to their implementation.</w:t>
      </w:r>
    </w:p>
    <w:p w14:paraId="43E2AB48" w14:textId="578491FA" w:rsidR="00313123" w:rsidRDefault="005973DF" w:rsidP="00A84F48">
      <w:pPr>
        <w:pStyle w:val="Numberedheading2"/>
      </w:pPr>
      <w:bookmarkStart w:id="45" w:name="_Toc221097781"/>
      <w:r>
        <w:t>Thematic analysis</w:t>
      </w:r>
      <w:bookmarkEnd w:id="45"/>
    </w:p>
    <w:p w14:paraId="21E292E5" w14:textId="77796A74" w:rsidR="00313123" w:rsidRDefault="001630B2" w:rsidP="00313123">
      <w:pPr>
        <w:pStyle w:val="Paragraph"/>
      </w:pPr>
      <w:r>
        <w:t xml:space="preserve">Meetings were </w:t>
      </w:r>
      <w:r w:rsidR="00E72539">
        <w:t>recorded</w:t>
      </w:r>
      <w:r w:rsidR="00BC37E6">
        <w:t xml:space="preserve"> and notes were taken from each of the engagement activities. </w:t>
      </w:r>
      <w:r w:rsidR="001A03B9">
        <w:t xml:space="preserve">We </w:t>
      </w:r>
      <w:r w:rsidR="00BC37E6">
        <w:t xml:space="preserve">collated and thematically analysed </w:t>
      </w:r>
      <w:r w:rsidR="001A03B9">
        <w:t xml:space="preserve">the notes </w:t>
      </w:r>
      <w:r w:rsidR="00100344">
        <w:t>prior to writ</w:t>
      </w:r>
      <w:r w:rsidR="001A03B9">
        <w:t>ing them</w:t>
      </w:r>
      <w:r w:rsidR="00100344">
        <w:t xml:space="preserve"> up in this report</w:t>
      </w:r>
      <w:r w:rsidR="00BC37E6">
        <w:t>.</w:t>
      </w:r>
    </w:p>
    <w:p w14:paraId="734D49AA" w14:textId="44C6FE87" w:rsidR="00B7547F" w:rsidRPr="00B7547F" w:rsidRDefault="00B7547F" w:rsidP="00A84F48">
      <w:pPr>
        <w:pStyle w:val="Numberedheading2"/>
      </w:pPr>
      <w:bookmarkStart w:id="46" w:name="_Toc221097782"/>
      <w:r w:rsidRPr="00B7547F">
        <w:t>Validation of findings</w:t>
      </w:r>
      <w:bookmarkEnd w:id="46"/>
    </w:p>
    <w:p w14:paraId="5DE6031C" w14:textId="673BB273" w:rsidR="00B7547F" w:rsidRDefault="0076682B" w:rsidP="00313123">
      <w:pPr>
        <w:pStyle w:val="Paragraph"/>
      </w:pPr>
      <w:r>
        <w:t xml:space="preserve">Findings from individual </w:t>
      </w:r>
      <w:r w:rsidR="00F13339">
        <w:t xml:space="preserve">external </w:t>
      </w:r>
      <w:r>
        <w:t>stakeholder engagement were validated at the multi</w:t>
      </w:r>
      <w:r w:rsidR="0071207B">
        <w:t>stakeholder</w:t>
      </w:r>
      <w:r>
        <w:t xml:space="preserve"> engagement</w:t>
      </w:r>
      <w:r w:rsidR="00F13339">
        <w:t xml:space="preserve"> workshop. </w:t>
      </w:r>
      <w:r w:rsidR="004D7D2D">
        <w:t xml:space="preserve">Findings from the review of previous NICE evaluations and from </w:t>
      </w:r>
      <w:r w:rsidR="004F44E3">
        <w:t xml:space="preserve">engagement with colleagues were validated throughout the project by </w:t>
      </w:r>
      <w:r w:rsidR="00083D97">
        <w:t>asking</w:t>
      </w:r>
      <w:r w:rsidR="004F44E3">
        <w:t xml:space="preserve"> colleagues to confirm findings and provide further clarity. </w:t>
      </w:r>
      <w:r w:rsidR="00B7547F" w:rsidRPr="00B7547F">
        <w:t>All stakeholders received a draft version of the report prior to its finalisation.</w:t>
      </w:r>
    </w:p>
    <w:bookmarkStart w:id="47" w:name="_Toc221097783"/>
    <w:p w14:paraId="127EA055" w14:textId="17E41275" w:rsidR="002B66B6" w:rsidRPr="007F08B6" w:rsidRDefault="00000000" w:rsidP="00313123">
      <w:pPr>
        <w:pStyle w:val="Numberedheading1"/>
      </w:pPr>
      <w:sdt>
        <w:sdtPr>
          <w:id w:val="1371190021"/>
          <w:placeholder>
            <w:docPart w:val="FB7A5EF0EE184221BB11A440B2A509AE"/>
          </w:placeholder>
          <w:text/>
        </w:sdtPr>
        <w:sdtContent>
          <w:r w:rsidR="008C41A3">
            <w:t>Themes from</w:t>
          </w:r>
          <w:r w:rsidR="008C41A3" w:rsidRPr="007F08B6">
            <w:t xml:space="preserve"> stakeholder engagement activities</w:t>
          </w:r>
        </w:sdtContent>
      </w:sdt>
      <w:bookmarkEnd w:id="47"/>
    </w:p>
    <w:p w14:paraId="7B32648A" w14:textId="7A995A8D" w:rsidR="00313123" w:rsidRPr="00313123" w:rsidRDefault="00313123" w:rsidP="00313123">
      <w:pPr>
        <w:pStyle w:val="NICEnormal"/>
      </w:pPr>
      <w:r>
        <w:t xml:space="preserve">This section outlines </w:t>
      </w:r>
      <w:r w:rsidR="00113135">
        <w:t>general discussion themes across stakeholder engagement activities</w:t>
      </w:r>
      <w:r w:rsidR="00083D97">
        <w:t>.</w:t>
      </w:r>
      <w:r w:rsidR="00113135">
        <w:t xml:space="preserve"> </w:t>
      </w:r>
      <w:r w:rsidR="00083D97">
        <w:t>S</w:t>
      </w:r>
      <w:r w:rsidR="00113135">
        <w:t xml:space="preserve">pecific findings related to case studies </w:t>
      </w:r>
      <w:r w:rsidR="00083D97">
        <w:t xml:space="preserve">are </w:t>
      </w:r>
      <w:r w:rsidR="00113135">
        <w:t>outline</w:t>
      </w:r>
      <w:r w:rsidR="00083D97">
        <w:t>d</w:t>
      </w:r>
      <w:r w:rsidR="00113135">
        <w:t xml:space="preserve"> in section</w:t>
      </w:r>
      <w:r w:rsidR="00083D97">
        <w:t>s</w:t>
      </w:r>
      <w:r w:rsidR="00113135">
        <w:t xml:space="preserve"> </w:t>
      </w:r>
      <w:r w:rsidR="00113135">
        <w:fldChar w:fldCharType="begin"/>
      </w:r>
      <w:r w:rsidR="00113135">
        <w:instrText xml:space="preserve"> REF _Ref219117212 \r \h </w:instrText>
      </w:r>
      <w:r w:rsidR="00113135">
        <w:fldChar w:fldCharType="separate"/>
      </w:r>
      <w:r w:rsidR="00113135">
        <w:t>4</w:t>
      </w:r>
      <w:r w:rsidR="00113135">
        <w:fldChar w:fldCharType="end"/>
      </w:r>
      <w:r w:rsidR="00113135">
        <w:t xml:space="preserve"> and </w:t>
      </w:r>
      <w:r w:rsidR="00113135">
        <w:fldChar w:fldCharType="begin"/>
      </w:r>
      <w:r w:rsidR="00113135">
        <w:instrText xml:space="preserve"> REF _Ref219117215 \r \h </w:instrText>
      </w:r>
      <w:r w:rsidR="00113135">
        <w:fldChar w:fldCharType="separate"/>
      </w:r>
      <w:r w:rsidR="00113135">
        <w:rPr>
          <w:cs/>
        </w:rPr>
        <w:t>‎</w:t>
      </w:r>
      <w:r w:rsidR="00113135">
        <w:t>5</w:t>
      </w:r>
      <w:r w:rsidR="00113135">
        <w:fldChar w:fldCharType="end"/>
      </w:r>
      <w:r w:rsidR="00113135">
        <w:t>.</w:t>
      </w:r>
    </w:p>
    <w:p w14:paraId="0A641C7A" w14:textId="4B08DFE2" w:rsidR="00853935" w:rsidRPr="0071311E" w:rsidRDefault="00357066" w:rsidP="008C41A3">
      <w:pPr>
        <w:pStyle w:val="Bulletleft1"/>
      </w:pPr>
      <w:r w:rsidRPr="00984906">
        <w:rPr>
          <w:b/>
          <w:bCs/>
        </w:rPr>
        <w:t>T</w:t>
      </w:r>
      <w:r w:rsidR="00D92D78" w:rsidRPr="00984906">
        <w:rPr>
          <w:b/>
          <w:bCs/>
        </w:rPr>
        <w:t>axonomy</w:t>
      </w:r>
      <w:r w:rsidR="00A5511F">
        <w:rPr>
          <w:b/>
          <w:bCs/>
        </w:rPr>
        <w:t>:</w:t>
      </w:r>
      <w:r w:rsidR="00F442DD" w:rsidRPr="00AB5FA5">
        <w:t xml:space="preserve"> </w:t>
      </w:r>
      <w:r w:rsidR="00A5511F">
        <w:t>s</w:t>
      </w:r>
      <w:r w:rsidR="0037336D">
        <w:t>takehold</w:t>
      </w:r>
      <w:r w:rsidR="00913015">
        <w:t>ers confirmed the value of having</w:t>
      </w:r>
      <w:r w:rsidR="0085663F" w:rsidRPr="00AB5FA5">
        <w:t xml:space="preserve"> a taxonomy of implementation costs to create a common language </w:t>
      </w:r>
      <w:r w:rsidR="00913015">
        <w:t>for engagement and</w:t>
      </w:r>
      <w:r w:rsidR="00766D3A">
        <w:t xml:space="preserve"> </w:t>
      </w:r>
      <w:r w:rsidR="0085663F" w:rsidRPr="00AB5FA5">
        <w:t xml:space="preserve">improve clarity during </w:t>
      </w:r>
      <w:r w:rsidR="00BB72B4">
        <w:t>evaluation</w:t>
      </w:r>
      <w:r w:rsidR="0085663F" w:rsidRPr="00AB5FA5">
        <w:t xml:space="preserve"> stages.</w:t>
      </w:r>
      <w:r w:rsidR="00872B04" w:rsidRPr="00AB5FA5">
        <w:t xml:space="preserve"> </w:t>
      </w:r>
      <w:r w:rsidR="00853935" w:rsidRPr="00AB5FA5">
        <w:t xml:space="preserve">Stakeholders considered the initial draft of the taxonomy to be comprehensive and confirmed that there are no additional categories that would be considered relevant. ICB representatives </w:t>
      </w:r>
      <w:r w:rsidR="00812558">
        <w:t>confirmed</w:t>
      </w:r>
      <w:r w:rsidR="00853935" w:rsidRPr="00AB5FA5">
        <w:t xml:space="preserve"> that it provides a </w:t>
      </w:r>
      <w:r w:rsidR="00AB5FA5" w:rsidRPr="00AB5FA5">
        <w:t>good</w:t>
      </w:r>
      <w:r w:rsidR="00853935" w:rsidRPr="00AB5FA5">
        <w:t xml:space="preserve"> starting point for planning and cross-checking the processes </w:t>
      </w:r>
      <w:r w:rsidR="00885B34">
        <w:t>that</w:t>
      </w:r>
      <w:r w:rsidR="00885B34" w:rsidRPr="00AB5FA5">
        <w:t xml:space="preserve"> </w:t>
      </w:r>
      <w:r w:rsidR="00853935" w:rsidRPr="00AB5FA5">
        <w:t xml:space="preserve">have been completed. </w:t>
      </w:r>
      <w:r w:rsidR="00885B34">
        <w:t>I</w:t>
      </w:r>
      <w:r w:rsidR="00885B34" w:rsidRPr="00AB5FA5">
        <w:t xml:space="preserve">ndustry representatives </w:t>
      </w:r>
      <w:r w:rsidR="00885B34">
        <w:t xml:space="preserve">raised </w:t>
      </w:r>
      <w:r w:rsidR="00853935" w:rsidRPr="00AB5FA5">
        <w:t>some concerns that having a detailed taxonomy may result in more costs being requested for inclusion in economic models by companies.</w:t>
      </w:r>
      <w:r w:rsidR="00BB72B4">
        <w:t xml:space="preserve"> </w:t>
      </w:r>
      <w:r w:rsidR="00885B34">
        <w:t>So</w:t>
      </w:r>
      <w:r w:rsidR="00BB72B4">
        <w:t xml:space="preserve">, </w:t>
      </w:r>
      <w:r w:rsidR="00885B34">
        <w:t>we</w:t>
      </w:r>
      <w:r w:rsidR="00BB72B4">
        <w:t xml:space="preserve"> clarified in the </w:t>
      </w:r>
      <w:r w:rsidR="004A6652">
        <w:t xml:space="preserve">final </w:t>
      </w:r>
      <w:r w:rsidR="00BB72B4">
        <w:t xml:space="preserve">recommendations that the </w:t>
      </w:r>
      <w:r w:rsidR="00BB72B4" w:rsidRPr="0071311E">
        <w:t xml:space="preserve">taxonomy provides a framework for discussion of implementation costs </w:t>
      </w:r>
      <w:r w:rsidR="004A6652" w:rsidRPr="0071311E">
        <w:t>regardless of who is responsible for them.</w:t>
      </w:r>
    </w:p>
    <w:p w14:paraId="00EE766E" w14:textId="2BC342E0" w:rsidR="007C72B4" w:rsidRPr="009562A6" w:rsidRDefault="00AC6D9E" w:rsidP="006D752D">
      <w:pPr>
        <w:pStyle w:val="Bulletleft1"/>
        <w:rPr>
          <w:b/>
          <w:bCs/>
        </w:rPr>
      </w:pPr>
      <w:r w:rsidRPr="0071311E">
        <w:rPr>
          <w:b/>
          <w:bCs/>
        </w:rPr>
        <w:t>Cost categories from an operational perspective</w:t>
      </w:r>
      <w:r w:rsidR="004611AA">
        <w:rPr>
          <w:b/>
          <w:bCs/>
        </w:rPr>
        <w:t>:</w:t>
      </w:r>
      <w:r w:rsidR="004611AA" w:rsidRPr="00AB5FA5">
        <w:t xml:space="preserve"> </w:t>
      </w:r>
      <w:r w:rsidR="004611AA">
        <w:t>s</w:t>
      </w:r>
      <w:r w:rsidR="0077243B" w:rsidRPr="0071311E">
        <w:t xml:space="preserve">takeholders highlighted that costs should be divided into </w:t>
      </w:r>
      <w:r w:rsidR="007F2362" w:rsidRPr="0071311E">
        <w:t>service delivery costs and service transformation and set u</w:t>
      </w:r>
      <w:r w:rsidR="00C66097" w:rsidRPr="0071311E">
        <w:t xml:space="preserve">p to reflect how </w:t>
      </w:r>
      <w:r w:rsidR="00DF55B4" w:rsidRPr="0071311E">
        <w:t xml:space="preserve">costs are operationalised in the NHS. </w:t>
      </w:r>
      <w:r w:rsidR="004611AA">
        <w:t>Also</w:t>
      </w:r>
      <w:r w:rsidR="00DF55B4" w:rsidRPr="0071311E">
        <w:t xml:space="preserve">, it was viewed that ongoing service delivery costs should be separate from one-off capital costs. </w:t>
      </w:r>
      <w:r w:rsidR="004611AA">
        <w:t>S</w:t>
      </w:r>
      <w:r w:rsidR="005A6EEE" w:rsidRPr="0071311E">
        <w:t xml:space="preserve">ome stakeholders proposed that </w:t>
      </w:r>
      <w:r w:rsidR="00935C9C" w:rsidRPr="0071311E">
        <w:t>one-off costs should not be included in cost-effectiveness models</w:t>
      </w:r>
      <w:r w:rsidR="00F85151" w:rsidRPr="0071311E">
        <w:t xml:space="preserve"> because it may be difficult to attribute them to </w:t>
      </w:r>
      <w:r w:rsidR="004611AA">
        <w:t>1</w:t>
      </w:r>
      <w:r w:rsidR="004611AA" w:rsidRPr="0071311E">
        <w:t xml:space="preserve"> </w:t>
      </w:r>
      <w:r w:rsidR="00F85151" w:rsidRPr="0071311E">
        <w:t>health technology</w:t>
      </w:r>
      <w:r w:rsidR="004611AA">
        <w:t>. But</w:t>
      </w:r>
      <w:r w:rsidR="00F85151" w:rsidRPr="0071311E">
        <w:t xml:space="preserve"> other</w:t>
      </w:r>
      <w:r w:rsidR="00A65C22" w:rsidRPr="0071311E">
        <w:t xml:space="preserve"> stakeholders outlined that further guidance should be provided on how to best transform these costs to per</w:t>
      </w:r>
      <w:r w:rsidR="004611AA">
        <w:t>-</w:t>
      </w:r>
      <w:r w:rsidR="00A65C22" w:rsidRPr="0071311E">
        <w:t>patient treated costs</w:t>
      </w:r>
      <w:r w:rsidR="00A256AE" w:rsidRPr="0071311E">
        <w:t xml:space="preserve"> when these costs are not captured within </w:t>
      </w:r>
      <w:r w:rsidR="0039182D">
        <w:t>He</w:t>
      </w:r>
      <w:r w:rsidR="00F44A9F">
        <w:t>alth Resource Groups (</w:t>
      </w:r>
      <w:r w:rsidR="00A256AE" w:rsidRPr="0071311E">
        <w:t>HRGs</w:t>
      </w:r>
      <w:r w:rsidR="00F44A9F">
        <w:t>)</w:t>
      </w:r>
      <w:r w:rsidR="00A256AE" w:rsidRPr="009562A6">
        <w:t>.</w:t>
      </w:r>
      <w:r w:rsidR="00DF6636" w:rsidRPr="009562A6">
        <w:t xml:space="preserve"> So, </w:t>
      </w:r>
      <w:r w:rsidR="00D04D4A">
        <w:t>because</w:t>
      </w:r>
      <w:r w:rsidR="006B1561" w:rsidRPr="009562A6">
        <w:t xml:space="preserve"> these costs are</w:t>
      </w:r>
      <w:r w:rsidR="006D752D" w:rsidRPr="009562A6">
        <w:t xml:space="preserve"> incurred as part of service delivery and</w:t>
      </w:r>
      <w:r w:rsidR="006B1561" w:rsidRPr="009562A6">
        <w:t xml:space="preserve"> captured within HRGs</w:t>
      </w:r>
      <w:r w:rsidR="00FB076A" w:rsidRPr="009562A6">
        <w:t xml:space="preserve">, excluding them </w:t>
      </w:r>
      <w:r w:rsidR="00BE0095" w:rsidRPr="009562A6">
        <w:t xml:space="preserve">from cost-effectiveness analysis </w:t>
      </w:r>
      <w:r w:rsidR="006D752D" w:rsidRPr="009562A6">
        <w:t xml:space="preserve">for </w:t>
      </w:r>
      <w:r w:rsidR="0071311E" w:rsidRPr="009562A6">
        <w:t xml:space="preserve">new health technologies </w:t>
      </w:r>
      <w:r w:rsidR="00BE0095" w:rsidRPr="009562A6">
        <w:t xml:space="preserve">would not be appropriate </w:t>
      </w:r>
    </w:p>
    <w:p w14:paraId="5F9EF920" w14:textId="66714D7F" w:rsidR="008530EF" w:rsidRPr="0043714C" w:rsidRDefault="008530EF" w:rsidP="008C41A3">
      <w:pPr>
        <w:pStyle w:val="Bulletleft1"/>
      </w:pPr>
      <w:r w:rsidRPr="00C41FFD">
        <w:rPr>
          <w:b/>
          <w:bCs/>
        </w:rPr>
        <w:t xml:space="preserve">Importance of </w:t>
      </w:r>
      <w:r w:rsidR="00C41FFD" w:rsidRPr="00C41FFD">
        <w:rPr>
          <w:b/>
          <w:bCs/>
        </w:rPr>
        <w:t xml:space="preserve">effective </w:t>
      </w:r>
      <w:r w:rsidRPr="00C41FFD">
        <w:rPr>
          <w:b/>
          <w:bCs/>
        </w:rPr>
        <w:t>early engagement</w:t>
      </w:r>
      <w:r w:rsidR="00D04D4A">
        <w:rPr>
          <w:b/>
          <w:bCs/>
        </w:rPr>
        <w:t>:</w:t>
      </w:r>
      <w:r w:rsidR="00083D97" w:rsidRPr="00C41FFD">
        <w:rPr>
          <w:b/>
          <w:bCs/>
        </w:rPr>
        <w:t xml:space="preserve"> </w:t>
      </w:r>
      <w:r w:rsidR="00D04D4A">
        <w:t>t</w:t>
      </w:r>
      <w:r w:rsidR="00C41FFD">
        <w:t xml:space="preserve">here was consensus among stakeholders that </w:t>
      </w:r>
      <w:r w:rsidR="003D3539">
        <w:t xml:space="preserve">alignment on costs related to implementation should </w:t>
      </w:r>
      <w:r w:rsidR="00970E64">
        <w:t xml:space="preserve">happen </w:t>
      </w:r>
      <w:r w:rsidR="003D3539">
        <w:t xml:space="preserve">as early as possible within evaluations to avoid </w:t>
      </w:r>
      <w:r w:rsidR="00E40FE1">
        <w:t xml:space="preserve">any delays </w:t>
      </w:r>
      <w:r w:rsidR="00D36DD9">
        <w:t xml:space="preserve">in </w:t>
      </w:r>
      <w:r w:rsidR="00E40FE1">
        <w:t>decision</w:t>
      </w:r>
      <w:r w:rsidR="00B84C0B">
        <w:t xml:space="preserve"> making</w:t>
      </w:r>
      <w:r w:rsidR="00E40FE1">
        <w:t xml:space="preserve">. </w:t>
      </w:r>
      <w:r w:rsidR="00A40CBA">
        <w:t>E</w:t>
      </w:r>
      <w:r w:rsidR="00E40FE1">
        <w:t xml:space="preserve">ngagement currently occurs at the scoping and stakeholder consultation </w:t>
      </w:r>
      <w:r w:rsidR="00032B44">
        <w:t xml:space="preserve">stages </w:t>
      </w:r>
      <w:r w:rsidR="00E40FE1">
        <w:t xml:space="preserve">of the </w:t>
      </w:r>
      <w:r w:rsidR="00CD380C">
        <w:t>NICE evaluation process</w:t>
      </w:r>
      <w:r w:rsidR="00A40CBA">
        <w:t>. But</w:t>
      </w:r>
      <w:r w:rsidR="00CD380C">
        <w:t xml:space="preserve"> stakeholders considered that there is not enough focus on implementation</w:t>
      </w:r>
      <w:r w:rsidR="00032B44">
        <w:t xml:space="preserve"> issues and costs</w:t>
      </w:r>
      <w:r w:rsidR="00CD380C">
        <w:t>.</w:t>
      </w:r>
    </w:p>
    <w:p w14:paraId="18623FD8" w14:textId="76E4AF8E" w:rsidR="00A12CAB" w:rsidRDefault="006E765A" w:rsidP="00252433">
      <w:pPr>
        <w:pStyle w:val="Bulletleft1"/>
      </w:pPr>
      <w:r w:rsidRPr="00D84166">
        <w:rPr>
          <w:b/>
          <w:bCs/>
        </w:rPr>
        <w:t>Pragmatism</w:t>
      </w:r>
      <w:r w:rsidR="001120BC" w:rsidRPr="00D84166">
        <w:rPr>
          <w:b/>
          <w:bCs/>
        </w:rPr>
        <w:t xml:space="preserve"> and feasibility</w:t>
      </w:r>
      <w:r w:rsidR="00A40CBA">
        <w:rPr>
          <w:b/>
          <w:bCs/>
        </w:rPr>
        <w:t>:</w:t>
      </w:r>
      <w:r w:rsidR="00A40CBA" w:rsidRPr="00AB5FA5">
        <w:t xml:space="preserve"> </w:t>
      </w:r>
      <w:r w:rsidR="00A40CBA">
        <w:t>s</w:t>
      </w:r>
      <w:r w:rsidR="00A12CAB" w:rsidRPr="00A12CAB">
        <w:t xml:space="preserve">takeholders </w:t>
      </w:r>
      <w:r w:rsidR="00970E64" w:rsidRPr="00A12CAB">
        <w:t>emphasi</w:t>
      </w:r>
      <w:r w:rsidR="00970E64">
        <w:t>s</w:t>
      </w:r>
      <w:r w:rsidR="00970E64" w:rsidRPr="00A12CAB">
        <w:t xml:space="preserve">ed </w:t>
      </w:r>
      <w:r w:rsidR="00A12CAB" w:rsidRPr="00A12CAB">
        <w:t>focusing on what truly impacts cost</w:t>
      </w:r>
      <w:r w:rsidR="00970E64">
        <w:t xml:space="preserve"> </w:t>
      </w:r>
      <w:r w:rsidR="00A12CAB" w:rsidRPr="00A12CAB">
        <w:t xml:space="preserve">effectiveness, </w:t>
      </w:r>
      <w:r w:rsidR="00996DB7">
        <w:t>potentially applying</w:t>
      </w:r>
      <w:r w:rsidR="00A12CAB" w:rsidRPr="00A12CAB">
        <w:t xml:space="preserve"> discounting for large upfront costs, and considering feasibility</w:t>
      </w:r>
      <w:r w:rsidR="00211EF7">
        <w:t xml:space="preserve"> of methods</w:t>
      </w:r>
      <w:r w:rsidR="00A12CAB" w:rsidRPr="0043714C">
        <w:t xml:space="preserve">. </w:t>
      </w:r>
      <w:r w:rsidR="00046DBC">
        <w:t xml:space="preserve">Stakeholders said </w:t>
      </w:r>
      <w:r w:rsidR="003B23F0" w:rsidRPr="0043714C">
        <w:t xml:space="preserve">that </w:t>
      </w:r>
      <w:r w:rsidR="00025CFE">
        <w:t xml:space="preserve">it </w:t>
      </w:r>
      <w:r w:rsidR="00025CFE" w:rsidRPr="0043714C">
        <w:t xml:space="preserve">may not be feasible </w:t>
      </w:r>
      <w:r w:rsidR="00025CFE">
        <w:t>within</w:t>
      </w:r>
      <w:r w:rsidR="00025CFE" w:rsidRPr="0043714C">
        <w:t xml:space="preserve"> </w:t>
      </w:r>
      <w:r w:rsidR="00025CFE">
        <w:t xml:space="preserve">evaluation </w:t>
      </w:r>
      <w:r w:rsidR="00025CFE" w:rsidRPr="0043714C">
        <w:t>time</w:t>
      </w:r>
      <w:r w:rsidR="00025CFE">
        <w:t>lines</w:t>
      </w:r>
      <w:r w:rsidR="00025CFE" w:rsidRPr="0043714C">
        <w:t xml:space="preserve"> to </w:t>
      </w:r>
      <w:r w:rsidR="003B23F0" w:rsidRPr="0043714C">
        <w:t>us</w:t>
      </w:r>
      <w:r w:rsidR="00025CFE">
        <w:t>e</w:t>
      </w:r>
      <w:r w:rsidR="003B23F0" w:rsidRPr="0043714C">
        <w:t xml:space="preserve"> complex economic modelling techniques </w:t>
      </w:r>
      <w:r w:rsidR="00025CFE" w:rsidRPr="0043714C">
        <w:t>t</w:t>
      </w:r>
      <w:r w:rsidR="00025CFE">
        <w:t>hat</w:t>
      </w:r>
      <w:r w:rsidR="00025CFE" w:rsidRPr="0043714C">
        <w:t xml:space="preserve"> </w:t>
      </w:r>
      <w:r w:rsidR="00A12CAB" w:rsidRPr="0043714C">
        <w:t>include</w:t>
      </w:r>
      <w:r w:rsidR="003B23F0" w:rsidRPr="0043714C">
        <w:t xml:space="preserve"> health system </w:t>
      </w:r>
      <w:r w:rsidR="00A12CAB" w:rsidRPr="0043714C">
        <w:t>constraints, economies of scope and learning effects</w:t>
      </w:r>
      <w:r w:rsidR="00061F05" w:rsidRPr="0043714C">
        <w:t>.</w:t>
      </w:r>
      <w:r w:rsidR="007306A7">
        <w:t xml:space="preserve"> </w:t>
      </w:r>
    </w:p>
    <w:p w14:paraId="2B34FAA7" w14:textId="1E7994A2" w:rsidR="00E4729A" w:rsidRPr="00083D97" w:rsidRDefault="00773FA2" w:rsidP="008C41A3">
      <w:pPr>
        <w:pStyle w:val="Bulletleft1"/>
        <w:rPr>
          <w:b/>
          <w:bCs/>
        </w:rPr>
      </w:pPr>
      <w:r>
        <w:rPr>
          <w:b/>
          <w:bCs/>
        </w:rPr>
        <w:t>Implementation costs as a barrier to i</w:t>
      </w:r>
      <w:r w:rsidR="004948CD" w:rsidRPr="007224E4">
        <w:rPr>
          <w:b/>
          <w:bCs/>
        </w:rPr>
        <w:t>nnovation</w:t>
      </w:r>
      <w:r w:rsidR="00A40CBA">
        <w:rPr>
          <w:b/>
          <w:bCs/>
        </w:rPr>
        <w:t>:</w:t>
      </w:r>
      <w:r w:rsidR="00A40CBA" w:rsidRPr="00AB5FA5">
        <w:t xml:space="preserve"> </w:t>
      </w:r>
      <w:r w:rsidR="00A40CBA">
        <w:t>s</w:t>
      </w:r>
      <w:r w:rsidR="00A2318E" w:rsidRPr="00A2318E">
        <w:t>everal stakeholders</w:t>
      </w:r>
      <w:r w:rsidR="00A2318E">
        <w:t xml:space="preserve"> </w:t>
      </w:r>
      <w:r w:rsidR="003E790A">
        <w:t xml:space="preserve">emphasised </w:t>
      </w:r>
      <w:r w:rsidR="00A2318E">
        <w:t>that</w:t>
      </w:r>
      <w:r w:rsidR="00A2318E" w:rsidRPr="00A2318E">
        <w:t xml:space="preserve"> </w:t>
      </w:r>
      <w:r w:rsidR="00A2318E">
        <w:t>h</w:t>
      </w:r>
      <w:r w:rsidR="00563732" w:rsidRPr="00A2318E">
        <w:t xml:space="preserve">igh implementation costs </w:t>
      </w:r>
      <w:r w:rsidR="00A2318E">
        <w:t xml:space="preserve">may be </w:t>
      </w:r>
      <w:r w:rsidR="00563732">
        <w:t xml:space="preserve">a barrier to </w:t>
      </w:r>
      <w:r w:rsidR="006E3C13">
        <w:t xml:space="preserve">making innovative health technologies available to the NHS. </w:t>
      </w:r>
      <w:r w:rsidR="0076483E">
        <w:t xml:space="preserve">This was particularly relevant for </w:t>
      </w:r>
      <w:r w:rsidR="005D33B3">
        <w:t xml:space="preserve">first-in-class technologies or technologies with </w:t>
      </w:r>
      <w:r w:rsidR="0089039E">
        <w:t xml:space="preserve">positive spillover effects beyond the indication of interest. </w:t>
      </w:r>
      <w:r w:rsidR="005D062D">
        <w:t>Apportionment of implementation costs was discussed extensively</w:t>
      </w:r>
      <w:r w:rsidR="00D55C1D">
        <w:t xml:space="preserve"> as a potential approach to address this</w:t>
      </w:r>
      <w:r w:rsidR="009D66D9">
        <w:t>.</w:t>
      </w:r>
      <w:r w:rsidR="005D062D">
        <w:t xml:space="preserve"> </w:t>
      </w:r>
      <w:r w:rsidR="009D66D9">
        <w:t>But</w:t>
      </w:r>
      <w:r w:rsidR="005D062D">
        <w:t xml:space="preserve"> there was no consensus reached on how </w:t>
      </w:r>
      <w:r w:rsidR="00D55C1D">
        <w:t>it</w:t>
      </w:r>
      <w:r w:rsidR="005D062D">
        <w:t xml:space="preserve"> should be </w:t>
      </w:r>
      <w:r w:rsidR="009D66D9">
        <w:t>done</w:t>
      </w:r>
      <w:r w:rsidR="005D062D">
        <w:t>.</w:t>
      </w:r>
      <w:r w:rsidR="00DE7F2D">
        <w:t xml:space="preserve"> </w:t>
      </w:r>
      <w:r w:rsidR="009D66D9">
        <w:t>So</w:t>
      </w:r>
      <w:r w:rsidR="00DE7F2D">
        <w:t xml:space="preserve">, </w:t>
      </w:r>
      <w:r w:rsidR="00E96426" w:rsidRPr="00E96426">
        <w:t>in the recommendations included in the main report, we recommend methods work on how to apportion costs</w:t>
      </w:r>
      <w:r w:rsidR="00D33747">
        <w:t>.</w:t>
      </w:r>
    </w:p>
    <w:p w14:paraId="3464B6E9" w14:textId="4A26D2D9" w:rsidR="009B705E" w:rsidRPr="009B705E" w:rsidRDefault="00F3484B" w:rsidP="008C41A3">
      <w:pPr>
        <w:pStyle w:val="Bulletleft1"/>
        <w:rPr>
          <w:b/>
          <w:bCs/>
        </w:rPr>
      </w:pPr>
      <w:r>
        <w:rPr>
          <w:b/>
          <w:bCs/>
        </w:rPr>
        <w:t>Accounting for core system functions when considering costs of implementation</w:t>
      </w:r>
      <w:r w:rsidR="00A40CBA">
        <w:rPr>
          <w:b/>
          <w:bCs/>
        </w:rPr>
        <w:t>:</w:t>
      </w:r>
      <w:r w:rsidR="00A40CBA" w:rsidRPr="00AB5FA5">
        <w:t xml:space="preserve"> </w:t>
      </w:r>
      <w:r w:rsidR="00A40CBA">
        <w:t>s</w:t>
      </w:r>
      <w:r>
        <w:t xml:space="preserve">takeholders </w:t>
      </w:r>
      <w:r w:rsidR="00E13A3D">
        <w:t xml:space="preserve">said </w:t>
      </w:r>
      <w:r w:rsidR="00863EE5">
        <w:t>that baseline care that should</w:t>
      </w:r>
      <w:r w:rsidR="00A40CBA">
        <w:t>,</w:t>
      </w:r>
      <w:r w:rsidR="00863EE5">
        <w:t xml:space="preserve"> in theory</w:t>
      </w:r>
      <w:r w:rsidR="00A40CBA">
        <w:t>,</w:t>
      </w:r>
      <w:r w:rsidR="00863EE5">
        <w:t xml:space="preserve"> already be provided by the NHS </w:t>
      </w:r>
      <w:r w:rsidR="00E13A3D">
        <w:t xml:space="preserve">should </w:t>
      </w:r>
      <w:r w:rsidR="00863EE5">
        <w:t>not be captured as an additional cost for companies to incur as part of their evaluations.</w:t>
      </w:r>
      <w:r w:rsidR="00892B8E">
        <w:t xml:space="preserve"> </w:t>
      </w:r>
    </w:p>
    <w:p w14:paraId="78D34E62" w14:textId="372FBF41" w:rsidR="004C2C45" w:rsidRPr="00DE7F2D" w:rsidRDefault="00B94F5D" w:rsidP="00B94F5D">
      <w:pPr>
        <w:pStyle w:val="Bulletleft1"/>
        <w:rPr>
          <w:b/>
          <w:bCs/>
        </w:rPr>
      </w:pPr>
      <w:r>
        <w:rPr>
          <w:b/>
          <w:bCs/>
        </w:rPr>
        <w:t>Lack of investment in some clinical areas</w:t>
      </w:r>
      <w:r w:rsidR="00A40CBA">
        <w:rPr>
          <w:b/>
          <w:bCs/>
        </w:rPr>
        <w:t>:</w:t>
      </w:r>
      <w:r w:rsidR="00A40CBA" w:rsidRPr="00AB5FA5">
        <w:t xml:space="preserve"> </w:t>
      </w:r>
      <w:r w:rsidR="00485492" w:rsidRPr="00485492">
        <w:t>a</w:t>
      </w:r>
      <w:r w:rsidR="00485492" w:rsidRPr="00A84F48">
        <w:t xml:space="preserve"> particular concern was </w:t>
      </w:r>
      <w:r w:rsidR="00EC6805">
        <w:t xml:space="preserve">the impact of differences in investment across </w:t>
      </w:r>
      <w:r w:rsidR="00485492" w:rsidRPr="00A84F48">
        <w:t>clinical areas</w:t>
      </w:r>
      <w:r w:rsidR="00485492">
        <w:t xml:space="preserve">. </w:t>
      </w:r>
      <w:r w:rsidR="004B2363">
        <w:t>T</w:t>
      </w:r>
      <w:r w:rsidR="006E5A7E">
        <w:t>his can</w:t>
      </w:r>
      <w:r w:rsidR="004B2363">
        <w:t xml:space="preserve"> lead to high implementation costs in some clinical areas which are difficult offset in evaluations.</w:t>
      </w:r>
    </w:p>
    <w:p w14:paraId="5BE002FD" w14:textId="6E681F6C" w:rsidR="00872B04" w:rsidRPr="00AB5FA5" w:rsidRDefault="0085663F" w:rsidP="008C41A3">
      <w:pPr>
        <w:pStyle w:val="Bulletleft1"/>
      </w:pPr>
      <w:r w:rsidRPr="007224E4">
        <w:rPr>
          <w:b/>
          <w:bCs/>
        </w:rPr>
        <w:t>Training</w:t>
      </w:r>
      <w:r w:rsidR="005756B3">
        <w:rPr>
          <w:b/>
          <w:bCs/>
        </w:rPr>
        <w:t xml:space="preserve"> to achieve consistency across evaluations</w:t>
      </w:r>
      <w:r w:rsidR="00A40CBA">
        <w:rPr>
          <w:b/>
          <w:bCs/>
        </w:rPr>
        <w:t>:</w:t>
      </w:r>
      <w:r w:rsidR="00A40CBA" w:rsidRPr="00AB5FA5">
        <w:t xml:space="preserve"> </w:t>
      </w:r>
      <w:r w:rsidR="00A40CBA">
        <w:t>s</w:t>
      </w:r>
      <w:r w:rsidR="007C0FD8">
        <w:t>takeholders</w:t>
      </w:r>
      <w:r w:rsidR="005D6A56" w:rsidRPr="007224E4">
        <w:t xml:space="preserve"> highlighted that it is essential </w:t>
      </w:r>
      <w:r w:rsidR="007C0FD8">
        <w:t>for</w:t>
      </w:r>
      <w:r w:rsidR="007C0FD8" w:rsidRPr="007224E4">
        <w:t xml:space="preserve"> </w:t>
      </w:r>
      <w:r w:rsidR="005D6A56" w:rsidRPr="007224E4">
        <w:t>c</w:t>
      </w:r>
      <w:r w:rsidRPr="007224E4">
        <w:t>ommittees and NICE</w:t>
      </w:r>
      <w:r w:rsidR="005D6A56" w:rsidRPr="007224E4">
        <w:t xml:space="preserve"> technical </w:t>
      </w:r>
      <w:r w:rsidRPr="007224E4">
        <w:t>teams</w:t>
      </w:r>
      <w:r w:rsidR="005D6A56" w:rsidRPr="007224E4">
        <w:t xml:space="preserve"> </w:t>
      </w:r>
      <w:r w:rsidR="007C0FD8">
        <w:t xml:space="preserve">to </w:t>
      </w:r>
      <w:r w:rsidR="005D6A56" w:rsidRPr="007224E4">
        <w:t>receive training</w:t>
      </w:r>
      <w:r w:rsidRPr="00AB5FA5">
        <w:t xml:space="preserve"> on</w:t>
      </w:r>
      <w:r w:rsidR="00E5256C">
        <w:t xml:space="preserve"> how to account for</w:t>
      </w:r>
      <w:r w:rsidRPr="00AB5FA5">
        <w:t xml:space="preserve"> implementation costs to ensure consistent understanding and decision</w:t>
      </w:r>
      <w:r w:rsidR="007C0FD8">
        <w:t xml:space="preserve"> </w:t>
      </w:r>
      <w:r w:rsidRPr="00AB5FA5">
        <w:t>making.</w:t>
      </w:r>
      <w:r w:rsidR="00D33747">
        <w:t xml:space="preserve"> </w:t>
      </w:r>
      <w:r w:rsidR="007C0FD8">
        <w:t>So</w:t>
      </w:r>
      <w:r w:rsidR="007B6484">
        <w:t xml:space="preserve">, we recommend that training is </w:t>
      </w:r>
      <w:r w:rsidR="006C7DE8">
        <w:t>provided to</w:t>
      </w:r>
      <w:r w:rsidR="005905A4">
        <w:t xml:space="preserve"> all stakeholders</w:t>
      </w:r>
      <w:r w:rsidR="006C7DE8">
        <w:t>.</w:t>
      </w:r>
    </w:p>
    <w:p w14:paraId="69171DC3" w14:textId="12DB8AE3" w:rsidR="005C0523" w:rsidRDefault="00454C50" w:rsidP="00F535E3">
      <w:pPr>
        <w:pStyle w:val="Bulletleft1"/>
      </w:pPr>
      <w:r w:rsidRPr="00A12CAB">
        <w:rPr>
          <w:b/>
          <w:bCs/>
        </w:rPr>
        <w:t>Resource impact assessment</w:t>
      </w:r>
      <w:r w:rsidR="00CB5557" w:rsidRPr="00A12CAB">
        <w:rPr>
          <w:b/>
          <w:bCs/>
        </w:rPr>
        <w:t xml:space="preserve"> and co</w:t>
      </w:r>
      <w:r w:rsidR="0003072B" w:rsidRPr="00A12CAB">
        <w:rPr>
          <w:b/>
          <w:bCs/>
        </w:rPr>
        <w:t>s</w:t>
      </w:r>
      <w:r w:rsidR="00CB5557" w:rsidRPr="00A12CAB">
        <w:rPr>
          <w:b/>
          <w:bCs/>
        </w:rPr>
        <w:t>t</w:t>
      </w:r>
      <w:r w:rsidR="007C0FD8">
        <w:rPr>
          <w:b/>
          <w:bCs/>
        </w:rPr>
        <w:t xml:space="preserve"> </w:t>
      </w:r>
      <w:r w:rsidR="00CB5557" w:rsidRPr="00A12CAB">
        <w:rPr>
          <w:b/>
          <w:bCs/>
        </w:rPr>
        <w:t>effectiveness</w:t>
      </w:r>
      <w:r w:rsidR="00485492">
        <w:rPr>
          <w:b/>
          <w:bCs/>
        </w:rPr>
        <w:t>:</w:t>
      </w:r>
      <w:r w:rsidR="00485492" w:rsidRPr="00AB5FA5">
        <w:t xml:space="preserve"> </w:t>
      </w:r>
      <w:r w:rsidR="00485492">
        <w:t>s</w:t>
      </w:r>
      <w:r w:rsidR="007C0FD8">
        <w:t>takeholders</w:t>
      </w:r>
      <w:r w:rsidR="00776E57" w:rsidRPr="00CB5F95">
        <w:t xml:space="preserve"> </w:t>
      </w:r>
      <w:r w:rsidR="007C0FD8">
        <w:t>sai</w:t>
      </w:r>
      <w:r w:rsidR="007C0FD8" w:rsidRPr="00CB5F95">
        <w:t xml:space="preserve">d </w:t>
      </w:r>
      <w:r w:rsidR="00776E57" w:rsidRPr="00CB5F95">
        <w:t>that there should be a</w:t>
      </w:r>
      <w:r w:rsidR="00A73C00" w:rsidRPr="00CB5F95">
        <w:t xml:space="preserve">lignment of </w:t>
      </w:r>
      <w:r w:rsidR="00776E57" w:rsidRPr="00CB5F95">
        <w:t>cost input</w:t>
      </w:r>
      <w:r w:rsidR="00E5256C">
        <w:t>s</w:t>
      </w:r>
      <w:r w:rsidR="00627D65" w:rsidRPr="00CB5F95">
        <w:t xml:space="preserve"> across the </w:t>
      </w:r>
      <w:r w:rsidR="00776E57" w:rsidRPr="00CB5F95">
        <w:t>resource</w:t>
      </w:r>
      <w:r w:rsidR="00A73C00" w:rsidRPr="00CB5F95">
        <w:t xml:space="preserve"> impact</w:t>
      </w:r>
      <w:r w:rsidR="00627D65" w:rsidRPr="00CB5F95">
        <w:t xml:space="preserve"> assessment and the </w:t>
      </w:r>
      <w:r w:rsidR="00A73C00" w:rsidRPr="00CB5F95">
        <w:t>cost-effectiveness model</w:t>
      </w:r>
      <w:r w:rsidR="00627D65" w:rsidRPr="00CB5F95">
        <w:t xml:space="preserve">s submitted or </w:t>
      </w:r>
      <w:r w:rsidR="00957018" w:rsidRPr="00CB5F95">
        <w:t>agreed on with companies</w:t>
      </w:r>
      <w:r w:rsidR="00F535E3">
        <w:t>.</w:t>
      </w:r>
    </w:p>
    <w:p w14:paraId="19D9774D" w14:textId="118C2C5A" w:rsidR="00595B57" w:rsidRPr="002A4D12" w:rsidRDefault="004F28C7" w:rsidP="002A4D12">
      <w:pPr>
        <w:pStyle w:val="Bulletleft1"/>
      </w:pPr>
      <w:r>
        <w:rPr>
          <w:b/>
          <w:bCs/>
        </w:rPr>
        <w:t xml:space="preserve">Translating resource </w:t>
      </w:r>
      <w:r w:rsidR="00EB7039">
        <w:rPr>
          <w:b/>
          <w:bCs/>
        </w:rPr>
        <w:t>use from trials to</w:t>
      </w:r>
      <w:r w:rsidR="00D934DC">
        <w:rPr>
          <w:b/>
          <w:bCs/>
        </w:rPr>
        <w:t xml:space="preserve"> real-world practice</w:t>
      </w:r>
      <w:r w:rsidR="00654892">
        <w:rPr>
          <w:b/>
          <w:bCs/>
        </w:rPr>
        <w:t>:</w:t>
      </w:r>
      <w:r w:rsidR="00654892" w:rsidRPr="00AB5FA5">
        <w:t xml:space="preserve"> </w:t>
      </w:r>
      <w:r w:rsidR="00654892">
        <w:t>s</w:t>
      </w:r>
      <w:r w:rsidR="00595B57" w:rsidRPr="002A4D12">
        <w:t xml:space="preserve">takeholders highlighted that estimating service delivery costs in routine practice based on mapping from a trial protocol has been a point of conflict in several appraisals. Clearer guidance or a better process for resolving different perspectives earlier in the process would be very helpful. </w:t>
      </w:r>
    </w:p>
    <w:p w14:paraId="3BE29377" w14:textId="33B9887B" w:rsidR="00D71674" w:rsidRPr="00CB5F95" w:rsidRDefault="005321BF" w:rsidP="007F7DF6">
      <w:pPr>
        <w:pStyle w:val="Bulletleft1last"/>
      </w:pPr>
      <w:r w:rsidRPr="008C2EF5">
        <w:rPr>
          <w:b/>
          <w:bCs/>
        </w:rPr>
        <w:t>NHS tariffs</w:t>
      </w:r>
      <w:r w:rsidR="00F320D4" w:rsidRPr="008C2EF5">
        <w:rPr>
          <w:b/>
          <w:bCs/>
        </w:rPr>
        <w:t xml:space="preserve"> and transparency</w:t>
      </w:r>
      <w:r w:rsidR="00654892">
        <w:rPr>
          <w:b/>
          <w:bCs/>
        </w:rPr>
        <w:t>:</w:t>
      </w:r>
      <w:r w:rsidR="00654892" w:rsidRPr="00AB5FA5">
        <w:t xml:space="preserve"> </w:t>
      </w:r>
      <w:r w:rsidR="00654892">
        <w:t>s</w:t>
      </w:r>
      <w:r w:rsidR="00125BBC" w:rsidRPr="00CB5F95">
        <w:t xml:space="preserve">takeholders </w:t>
      </w:r>
      <w:r w:rsidR="00C23A04">
        <w:t>sai</w:t>
      </w:r>
      <w:r w:rsidR="00C23A04" w:rsidRPr="00CB5F95">
        <w:t xml:space="preserve">d </w:t>
      </w:r>
      <w:r w:rsidR="00125BBC" w:rsidRPr="00CB5F95">
        <w:t>that t</w:t>
      </w:r>
      <w:r w:rsidR="000B21F5" w:rsidRPr="00CB5F95">
        <w:t>ariffs are complex</w:t>
      </w:r>
      <w:r w:rsidR="00015717">
        <w:t xml:space="preserve"> </w:t>
      </w:r>
      <w:r w:rsidR="0083015D">
        <w:t>because</w:t>
      </w:r>
      <w:r w:rsidR="00015717">
        <w:t xml:space="preserve"> they</w:t>
      </w:r>
      <w:r w:rsidR="000B21F5" w:rsidRPr="00CB5F95">
        <w:t xml:space="preserve"> vary over time</w:t>
      </w:r>
      <w:r w:rsidR="0083015D">
        <w:t>. Also,</w:t>
      </w:r>
      <w:r w:rsidR="00015717">
        <w:t xml:space="preserve"> </w:t>
      </w:r>
      <w:r w:rsidR="000B21F5" w:rsidRPr="00CB5F95">
        <w:t>often</w:t>
      </w:r>
      <w:r w:rsidR="0083015D">
        <w:t xml:space="preserve"> they</w:t>
      </w:r>
      <w:r w:rsidR="000B21F5" w:rsidRPr="00CB5F95">
        <w:t xml:space="preserve"> do not include high-cost drugs</w:t>
      </w:r>
      <w:r w:rsidR="00C23A04">
        <w:t xml:space="preserve"> or </w:t>
      </w:r>
      <w:r w:rsidR="000B21F5" w:rsidRPr="00CB5F95">
        <w:t xml:space="preserve">devices </w:t>
      </w:r>
      <w:r w:rsidR="00260F2B" w:rsidRPr="00CB5F95">
        <w:t>initially and</w:t>
      </w:r>
      <w:r w:rsidR="000B21F5" w:rsidRPr="00CB5F95">
        <w:t xml:space="preserve"> are informed by data </w:t>
      </w:r>
      <w:r w:rsidR="00125BBC" w:rsidRPr="00CB5F95">
        <w:t>submitted by NHS trusts. They</w:t>
      </w:r>
      <w:r w:rsidR="000B21F5" w:rsidRPr="00CB5F95">
        <w:t xml:space="preserve"> </w:t>
      </w:r>
      <w:r w:rsidR="00125BBC" w:rsidRPr="00CB5F95">
        <w:t xml:space="preserve">may </w:t>
      </w:r>
      <w:r w:rsidR="006B1EBC">
        <w:t xml:space="preserve">also </w:t>
      </w:r>
      <w:r w:rsidR="00125BBC" w:rsidRPr="00CB5F95">
        <w:t>be</w:t>
      </w:r>
      <w:r w:rsidR="000B21F5" w:rsidRPr="00CB5F95">
        <w:t xml:space="preserve"> set</w:t>
      </w:r>
      <w:r w:rsidR="006B1EBC">
        <w:t xml:space="preserve"> to</w:t>
      </w:r>
      <w:r w:rsidR="000B21F5" w:rsidRPr="00CB5F95">
        <w:t xml:space="preserve"> lower </w:t>
      </w:r>
      <w:r w:rsidR="006B1EBC">
        <w:t xml:space="preserve">values </w:t>
      </w:r>
      <w:r w:rsidR="000B21F5" w:rsidRPr="00CB5F95">
        <w:t>to promote efficiency.</w:t>
      </w:r>
      <w:r w:rsidR="00984906">
        <w:t xml:space="preserve"> </w:t>
      </w:r>
      <w:r w:rsidR="00C23A04">
        <w:t>So</w:t>
      </w:r>
      <w:r w:rsidR="00504991">
        <w:t>, there</w:t>
      </w:r>
      <w:r w:rsidR="000B21F5" w:rsidRPr="00CB5F95">
        <w:t xml:space="preserve"> is a</w:t>
      </w:r>
      <w:r w:rsidR="00984906">
        <w:t xml:space="preserve"> need</w:t>
      </w:r>
      <w:r w:rsidR="000B21F5" w:rsidRPr="00CB5F95">
        <w:t xml:space="preserve"> for greater transparency in tariff calculations, including breakdowns of fixed versus variable costs and understanding drivers of tariff changes.</w:t>
      </w:r>
      <w:r w:rsidR="007C0FD8">
        <w:t xml:space="preserve"> </w:t>
      </w:r>
      <w:r w:rsidR="00A73C00" w:rsidRPr="00CB5F95">
        <w:t>Tariffs might go down as the number of patients increases and the infrastructure costs are diluted by a larger number of patients</w:t>
      </w:r>
      <w:r w:rsidR="00C23A04">
        <w:t>.</w:t>
      </w:r>
      <w:r w:rsidR="00A73C00" w:rsidRPr="00CB5F95">
        <w:t xml:space="preserve"> </w:t>
      </w:r>
      <w:r w:rsidR="00C23A04">
        <w:t>B</w:t>
      </w:r>
      <w:r w:rsidR="00A73C00" w:rsidRPr="00CB5F95">
        <w:t>ut then if capacity is reached and additional investments are needed, the tariff might go up again. This can result in different tariffs being applied to different technologies of the same class. This makes it hard to use per</w:t>
      </w:r>
      <w:r w:rsidR="0043555E">
        <w:t>-</w:t>
      </w:r>
      <w:r w:rsidR="00A73C00" w:rsidRPr="00CB5F95">
        <w:t>patient costs.</w:t>
      </w:r>
      <w:r w:rsidR="0077540F">
        <w:t xml:space="preserve"> </w:t>
      </w:r>
      <w:r w:rsidR="0083015D">
        <w:t>Also</w:t>
      </w:r>
      <w:r w:rsidR="008E37E2">
        <w:t xml:space="preserve">, for treatments </w:t>
      </w:r>
      <w:r w:rsidR="0043555E">
        <w:t>which do not have</w:t>
      </w:r>
      <w:r w:rsidR="008E37E2">
        <w:t xml:space="preserve"> existing tariffs, </w:t>
      </w:r>
      <w:r w:rsidR="001C601A">
        <w:t>issues may arise within evaluations</w:t>
      </w:r>
      <w:r w:rsidR="00BF3481">
        <w:t>.</w:t>
      </w:r>
      <w:r w:rsidR="001C601A">
        <w:t xml:space="preserve"> NICE technical teams </w:t>
      </w:r>
      <w:r w:rsidR="00BF3481">
        <w:t xml:space="preserve">may </w:t>
      </w:r>
      <w:r w:rsidR="00C17474">
        <w:t>receive</w:t>
      </w:r>
      <w:r w:rsidR="001C601A">
        <w:t xml:space="preserve"> an aggregate estimate</w:t>
      </w:r>
      <w:r w:rsidR="00FA0019">
        <w:t xml:space="preserve"> from NHS England, based on their internal calculations</w:t>
      </w:r>
      <w:r w:rsidR="00BF3481">
        <w:t>. C</w:t>
      </w:r>
      <w:r w:rsidR="00A4093F">
        <w:t xml:space="preserve">ompanies </w:t>
      </w:r>
      <w:r w:rsidR="00BF3481">
        <w:t xml:space="preserve">may </w:t>
      </w:r>
      <w:r w:rsidR="00A4093F">
        <w:t>assum</w:t>
      </w:r>
      <w:r w:rsidR="00BF3481">
        <w:t>e</w:t>
      </w:r>
      <w:r w:rsidR="00A4093F">
        <w:t xml:space="preserve"> a different estimate that may not be </w:t>
      </w:r>
      <w:r w:rsidR="009562A6">
        <w:t>aligned,</w:t>
      </w:r>
      <w:r w:rsidR="00A4093F">
        <w:t xml:space="preserve"> and </w:t>
      </w:r>
      <w:r w:rsidR="00BF3481">
        <w:t xml:space="preserve">this may </w:t>
      </w:r>
      <w:r w:rsidR="00A4093F">
        <w:t>result in a substantially different</w:t>
      </w:r>
      <w:r w:rsidR="005B1747">
        <w:t xml:space="preserve"> incremental cost-effectiveness ratio</w:t>
      </w:r>
      <w:r w:rsidR="00A4093F">
        <w:t>.</w:t>
      </w:r>
      <w:r w:rsidR="0043555E">
        <w:t xml:space="preserve"> </w:t>
      </w:r>
      <w:r w:rsidR="00BF3481">
        <w:t>So</w:t>
      </w:r>
      <w:r w:rsidR="0077540F">
        <w:t xml:space="preserve">, we included in our recommendations different approaches for using the current engagement process to </w:t>
      </w:r>
      <w:r w:rsidR="00900063">
        <w:t xml:space="preserve">support greater transparency and evaluation of appropriateness of tariffs. </w:t>
      </w:r>
      <w:r w:rsidR="0083015D">
        <w:t>We also</w:t>
      </w:r>
      <w:r w:rsidR="00900063">
        <w:t xml:space="preserve"> recommend further clarification on </w:t>
      </w:r>
      <w:proofErr w:type="spellStart"/>
      <w:r w:rsidR="00900063">
        <w:t>microcosting</w:t>
      </w:r>
      <w:proofErr w:type="spellEnd"/>
      <w:r w:rsidR="00900063">
        <w:t xml:space="preserve"> methods</w:t>
      </w:r>
      <w:r w:rsidR="0071550D">
        <w:t>,</w:t>
      </w:r>
      <w:r w:rsidR="00900063">
        <w:t xml:space="preserve"> which are the alternati</w:t>
      </w:r>
      <w:r w:rsidR="0085418A">
        <w:t xml:space="preserve">ve approach when </w:t>
      </w:r>
      <w:proofErr w:type="spellStart"/>
      <w:r w:rsidR="0085418A">
        <w:t>macrocosting</w:t>
      </w:r>
      <w:proofErr w:type="spellEnd"/>
      <w:r w:rsidR="0085418A">
        <w:t xml:space="preserve"> estimates are not appropriate.</w:t>
      </w:r>
    </w:p>
    <w:p w14:paraId="76EBA9F2" w14:textId="22CD5087" w:rsidR="00373E7F" w:rsidRPr="00F93F21" w:rsidRDefault="00874231" w:rsidP="00F93F21">
      <w:pPr>
        <w:pStyle w:val="Numberedheading1"/>
      </w:pPr>
      <w:bookmarkStart w:id="48" w:name="_Ref219117209"/>
      <w:bookmarkStart w:id="49" w:name="_Ref219117212"/>
      <w:bookmarkStart w:id="50" w:name="_Toc221097784"/>
      <w:r>
        <w:t>Case stud</w:t>
      </w:r>
      <w:r w:rsidR="002D2404">
        <w:t>y 1: molecular radiotherapy</w:t>
      </w:r>
      <w:bookmarkEnd w:id="48"/>
      <w:bookmarkEnd w:id="49"/>
      <w:bookmarkEnd w:id="50"/>
    </w:p>
    <w:p w14:paraId="3E7B6AD5" w14:textId="4734981B" w:rsidR="008560B4" w:rsidRDefault="005B04E6" w:rsidP="008C41A3">
      <w:pPr>
        <w:pStyle w:val="Bulletleft1"/>
      </w:pPr>
      <w:r w:rsidRPr="008560B4">
        <w:rPr>
          <w:b/>
          <w:bCs/>
        </w:rPr>
        <w:t xml:space="preserve">Personnel </w:t>
      </w:r>
      <w:r w:rsidR="0083015D">
        <w:rPr>
          <w:b/>
          <w:bCs/>
        </w:rPr>
        <w:t>needed:</w:t>
      </w:r>
      <w:r w:rsidR="0083015D" w:rsidRPr="00AB5FA5">
        <w:t xml:space="preserve"> </w:t>
      </w:r>
      <w:r w:rsidR="0083015D">
        <w:t>s</w:t>
      </w:r>
      <w:r w:rsidR="008560B4" w:rsidRPr="008560B4">
        <w:t>takeholders consistently described molecular radiotherapy as a highly specialised and resource</w:t>
      </w:r>
      <w:r w:rsidR="001A53D7">
        <w:t>-</w:t>
      </w:r>
      <w:r w:rsidR="008560B4" w:rsidRPr="008560B4">
        <w:t>intensive treatment modality</w:t>
      </w:r>
      <w:r w:rsidR="001A53D7">
        <w:t>. They said that it needs</w:t>
      </w:r>
      <w:r w:rsidR="008560B4" w:rsidRPr="008560B4">
        <w:t xml:space="preserve"> coordination across multiple clinical and technical disciplines including nuclear medicine, oncology, radiotherapy, radiology, surgery, medical physics and </w:t>
      </w:r>
      <w:proofErr w:type="spellStart"/>
      <w:r w:rsidR="00D97D49" w:rsidRPr="008560B4">
        <w:t>radiopharmacy</w:t>
      </w:r>
      <w:proofErr w:type="spellEnd"/>
      <w:r w:rsidR="008560B4">
        <w:t>.</w:t>
      </w:r>
    </w:p>
    <w:p w14:paraId="2A83C453" w14:textId="36343FC4" w:rsidR="003C78A3" w:rsidRDefault="000A1337" w:rsidP="008C41A3">
      <w:pPr>
        <w:pStyle w:val="Bulletleft1"/>
      </w:pPr>
      <w:r w:rsidRPr="003C78A3">
        <w:rPr>
          <w:b/>
          <w:bCs/>
        </w:rPr>
        <w:t xml:space="preserve">Current </w:t>
      </w:r>
      <w:r w:rsidR="00635C77" w:rsidRPr="003C78A3">
        <w:rPr>
          <w:b/>
          <w:bCs/>
        </w:rPr>
        <w:t>c</w:t>
      </w:r>
      <w:r w:rsidRPr="003C78A3">
        <w:rPr>
          <w:b/>
          <w:bCs/>
        </w:rPr>
        <w:t>apacity</w:t>
      </w:r>
      <w:r w:rsidR="009C0710">
        <w:rPr>
          <w:b/>
          <w:bCs/>
        </w:rPr>
        <w:t>.</w:t>
      </w:r>
      <w:r w:rsidRPr="000A1337">
        <w:t xml:space="preserve"> </w:t>
      </w:r>
      <w:r w:rsidR="003C78A3" w:rsidRPr="003C78A3">
        <w:t xml:space="preserve">Existing capacity is limited, with some specialised centres </w:t>
      </w:r>
      <w:r w:rsidR="005006B4">
        <w:t>see</w:t>
      </w:r>
      <w:r w:rsidR="005006B4" w:rsidRPr="003C78A3">
        <w:t xml:space="preserve">ing </w:t>
      </w:r>
      <w:r w:rsidR="0083015D">
        <w:t>about</w:t>
      </w:r>
      <w:r w:rsidR="0083015D" w:rsidRPr="003C78A3">
        <w:t xml:space="preserve"> </w:t>
      </w:r>
      <w:r w:rsidR="005006B4">
        <w:t>10</w:t>
      </w:r>
      <w:r w:rsidR="005006B4" w:rsidRPr="003C78A3">
        <w:t xml:space="preserve"> </w:t>
      </w:r>
      <w:r w:rsidR="003C78A3" w:rsidRPr="003C78A3">
        <w:t xml:space="preserve">patients </w:t>
      </w:r>
      <w:r w:rsidR="0083015D">
        <w:t>a</w:t>
      </w:r>
      <w:r w:rsidR="0083015D" w:rsidRPr="003C78A3">
        <w:t xml:space="preserve"> </w:t>
      </w:r>
      <w:r w:rsidR="003C78A3" w:rsidRPr="003C78A3">
        <w:t xml:space="preserve">week. Stakeholders noted that anticipated approvals of new </w:t>
      </w:r>
      <w:r w:rsidR="005006B4" w:rsidRPr="003C78A3">
        <w:t>t</w:t>
      </w:r>
      <w:r w:rsidR="005006B4">
        <w:t>reatment</w:t>
      </w:r>
      <w:r w:rsidR="005006B4" w:rsidRPr="003C78A3">
        <w:t>s</w:t>
      </w:r>
      <w:r w:rsidR="005006B4">
        <w:t xml:space="preserve">, </w:t>
      </w:r>
      <w:r w:rsidR="003C78A3" w:rsidRPr="003C78A3">
        <w:t xml:space="preserve">such as </w:t>
      </w:r>
      <w:r w:rsidR="007D138D">
        <w:t>p</w:t>
      </w:r>
      <w:r w:rsidR="007D138D" w:rsidRPr="007D138D">
        <w:t>rostate-</w:t>
      </w:r>
      <w:r w:rsidR="007D138D">
        <w:t>s</w:t>
      </w:r>
      <w:r w:rsidR="007D138D" w:rsidRPr="007D138D">
        <w:t xml:space="preserve">pecific </w:t>
      </w:r>
      <w:r w:rsidR="007D138D">
        <w:t>m</w:t>
      </w:r>
      <w:r w:rsidR="007D138D" w:rsidRPr="007D138D">
        <w:t xml:space="preserve">embrane </w:t>
      </w:r>
      <w:r w:rsidR="007D138D">
        <w:t>a</w:t>
      </w:r>
      <w:r w:rsidR="007D138D" w:rsidRPr="007D138D">
        <w:t>ntigen</w:t>
      </w:r>
      <w:r w:rsidR="007D138D">
        <w:t>-</w:t>
      </w:r>
      <w:r w:rsidR="003C78A3" w:rsidRPr="003C78A3">
        <w:t>targeted treatments</w:t>
      </w:r>
      <w:r w:rsidR="005006B4">
        <w:t xml:space="preserve">, </w:t>
      </w:r>
      <w:r w:rsidR="003C78A3" w:rsidRPr="003C78A3">
        <w:t xml:space="preserve">will significantly increase demand. One estimate suggested that </w:t>
      </w:r>
      <w:r w:rsidR="00205BD4" w:rsidRPr="003C78A3">
        <w:t>up to 30,000 administrations</w:t>
      </w:r>
      <w:r w:rsidR="00205BD4">
        <w:t xml:space="preserve"> </w:t>
      </w:r>
      <w:r w:rsidR="009D3C42">
        <w:t xml:space="preserve">for </w:t>
      </w:r>
      <w:r w:rsidR="009D3C42" w:rsidRPr="003C78A3">
        <w:t>5,000 patients annually</w:t>
      </w:r>
      <w:r w:rsidR="009D3C42">
        <w:t xml:space="preserve"> </w:t>
      </w:r>
      <w:r w:rsidR="00205BD4">
        <w:t>could be needed to treat</w:t>
      </w:r>
      <w:r w:rsidR="001901CE">
        <w:t xml:space="preserve"> the condition with molecular radiotherapy for </w:t>
      </w:r>
      <w:r w:rsidR="003C78A3" w:rsidRPr="003C78A3">
        <w:t xml:space="preserve">5,000 patients annually, </w:t>
      </w:r>
      <w:r w:rsidR="001901CE">
        <w:t>assuming</w:t>
      </w:r>
      <w:r w:rsidR="003C78A3" w:rsidRPr="003C78A3">
        <w:t xml:space="preserve"> </w:t>
      </w:r>
      <w:r w:rsidR="005006B4">
        <w:t>6</w:t>
      </w:r>
      <w:r w:rsidR="005006B4" w:rsidRPr="003C78A3">
        <w:t xml:space="preserve"> </w:t>
      </w:r>
      <w:r w:rsidR="003C78A3" w:rsidRPr="003C78A3">
        <w:t>doses per patient.</w:t>
      </w:r>
    </w:p>
    <w:p w14:paraId="2834D034" w14:textId="336020A2" w:rsidR="000A1337" w:rsidRPr="000A1337" w:rsidRDefault="00AA053A" w:rsidP="008C41A3">
      <w:pPr>
        <w:pStyle w:val="Bulletleft1"/>
      </w:pPr>
      <w:r w:rsidRPr="003C78A3">
        <w:rPr>
          <w:b/>
          <w:bCs/>
        </w:rPr>
        <w:t>Current management pathway</w:t>
      </w:r>
      <w:r w:rsidR="009D3C42">
        <w:rPr>
          <w:b/>
          <w:bCs/>
        </w:rPr>
        <w:t>:</w:t>
      </w:r>
      <w:r w:rsidR="000A1337" w:rsidRPr="000A1337">
        <w:t xml:space="preserve"> </w:t>
      </w:r>
      <w:r w:rsidR="009D3C42">
        <w:t>a</w:t>
      </w:r>
      <w:r>
        <w:t xml:space="preserve">dministering molecular radiotherapies involves </w:t>
      </w:r>
      <w:r w:rsidR="00F70BA6">
        <w:t xml:space="preserve">a complex </w:t>
      </w:r>
      <w:r w:rsidR="000A1337" w:rsidRPr="000A1337">
        <w:t>multiple</w:t>
      </w:r>
      <w:r w:rsidR="00F70BA6">
        <w:t>-</w:t>
      </w:r>
      <w:r w:rsidR="000A1337" w:rsidRPr="000A1337">
        <w:t>step</w:t>
      </w:r>
      <w:r w:rsidR="00F70BA6">
        <w:t xml:space="preserve"> pathway</w:t>
      </w:r>
      <w:r>
        <w:t xml:space="preserve"> </w:t>
      </w:r>
      <w:r w:rsidR="00F70BA6">
        <w:t xml:space="preserve">encompassing </w:t>
      </w:r>
      <w:r w:rsidR="000A1337" w:rsidRPr="000A1337">
        <w:t>patient referral, bloodwork, ordering radioactive material (</w:t>
      </w:r>
      <w:r>
        <w:t xml:space="preserve">with a </w:t>
      </w:r>
      <w:r w:rsidR="000A1337" w:rsidRPr="000A1337">
        <w:t>short shelf-life), drug delivery and injection under radiation protection protocols.</w:t>
      </w:r>
    </w:p>
    <w:p w14:paraId="5BFB7BA6" w14:textId="611D6E22" w:rsidR="00AD6C56" w:rsidRDefault="000A1337" w:rsidP="008C41A3">
      <w:pPr>
        <w:pStyle w:val="Bulletleft1"/>
        <w:rPr>
          <w:b/>
          <w:bCs/>
        </w:rPr>
      </w:pPr>
      <w:r w:rsidRPr="00AD6C56">
        <w:rPr>
          <w:b/>
          <w:bCs/>
        </w:rPr>
        <w:t xml:space="preserve">Licensing </w:t>
      </w:r>
      <w:r w:rsidR="009C0710">
        <w:rPr>
          <w:b/>
          <w:bCs/>
        </w:rPr>
        <w:t>and</w:t>
      </w:r>
      <w:r w:rsidR="009C0710" w:rsidRPr="00AD6C56">
        <w:rPr>
          <w:b/>
          <w:bCs/>
        </w:rPr>
        <w:t xml:space="preserve"> </w:t>
      </w:r>
      <w:r w:rsidR="00317F17">
        <w:rPr>
          <w:b/>
          <w:bCs/>
        </w:rPr>
        <w:t>compliance:</w:t>
      </w:r>
      <w:r w:rsidR="009C0710" w:rsidRPr="00AD6C56">
        <w:rPr>
          <w:b/>
          <w:bCs/>
        </w:rPr>
        <w:t xml:space="preserve"> </w:t>
      </w:r>
      <w:r w:rsidR="00317F17">
        <w:t>s</w:t>
      </w:r>
      <w:r w:rsidR="00AA053A">
        <w:t>i</w:t>
      </w:r>
      <w:r w:rsidRPr="00F25E82">
        <w:t xml:space="preserve">te-specific </w:t>
      </w:r>
      <w:r w:rsidR="00C6497C" w:rsidRPr="00F25E82">
        <w:t>licen</w:t>
      </w:r>
      <w:r w:rsidR="00C6497C">
        <w:t>c</w:t>
      </w:r>
      <w:r w:rsidR="00C6497C" w:rsidRPr="00F25E82">
        <w:t xml:space="preserve">es </w:t>
      </w:r>
      <w:r w:rsidR="00C6497C">
        <w:t xml:space="preserve">are needed </w:t>
      </w:r>
      <w:r w:rsidRPr="00F25E82">
        <w:t>for</w:t>
      </w:r>
      <w:r w:rsidR="00AA053A">
        <w:t xml:space="preserve"> </w:t>
      </w:r>
      <w:r w:rsidR="00C6497C">
        <w:t xml:space="preserve">administering </w:t>
      </w:r>
      <w:r w:rsidR="00AA053A">
        <w:t>therapies</w:t>
      </w:r>
      <w:r w:rsidRPr="00F25E82">
        <w:t xml:space="preserve">, </w:t>
      </w:r>
      <w:r w:rsidR="0021223A" w:rsidRPr="00F25E82">
        <w:t>Administration of Radioactive Substances Advisory Committee (</w:t>
      </w:r>
      <w:r w:rsidRPr="00F25E82">
        <w:t>ARSAC</w:t>
      </w:r>
      <w:r w:rsidR="0021223A" w:rsidRPr="00F25E82">
        <w:t>)</w:t>
      </w:r>
      <w:r w:rsidRPr="00F25E82">
        <w:t xml:space="preserve"> licenses for doctors</w:t>
      </w:r>
      <w:r w:rsidR="00AA053A">
        <w:t xml:space="preserve"> for each therapy</w:t>
      </w:r>
      <w:r w:rsidRPr="00F25E82">
        <w:t xml:space="preserve">, and radioactive waste </w:t>
      </w:r>
      <w:r w:rsidR="00C6497C" w:rsidRPr="00F25E82">
        <w:t>licen</w:t>
      </w:r>
      <w:r w:rsidR="00C6497C">
        <w:t>c</w:t>
      </w:r>
      <w:r w:rsidR="00C6497C" w:rsidRPr="00F25E82">
        <w:t>es</w:t>
      </w:r>
      <w:r w:rsidRPr="00F25E82">
        <w:t>. Radiation protection advisers</w:t>
      </w:r>
      <w:r w:rsidR="006F5606">
        <w:t>, who</w:t>
      </w:r>
      <w:r w:rsidR="00AA053A">
        <w:t xml:space="preserve"> oversee </w:t>
      </w:r>
      <w:r w:rsidR="00257705">
        <w:t>compliance</w:t>
      </w:r>
      <w:r w:rsidR="006F5606">
        <w:t>,</w:t>
      </w:r>
      <w:r w:rsidR="00257705">
        <w:t xml:space="preserve"> </w:t>
      </w:r>
      <w:r w:rsidRPr="00F25E82">
        <w:t>are scarce and costly.</w:t>
      </w:r>
    </w:p>
    <w:p w14:paraId="1528249C" w14:textId="4DD0177F" w:rsidR="00164F5D" w:rsidRPr="00AD6C56" w:rsidRDefault="00164F5D" w:rsidP="008C41A3">
      <w:pPr>
        <w:pStyle w:val="Bulletleft1"/>
        <w:rPr>
          <w:b/>
          <w:bCs/>
        </w:rPr>
      </w:pPr>
      <w:r>
        <w:rPr>
          <w:b/>
          <w:bCs/>
        </w:rPr>
        <w:t>Disposal</w:t>
      </w:r>
      <w:r w:rsidR="00E30815">
        <w:rPr>
          <w:b/>
          <w:bCs/>
        </w:rPr>
        <w:t>:</w:t>
      </w:r>
      <w:r w:rsidR="009C0710">
        <w:rPr>
          <w:b/>
          <w:bCs/>
        </w:rPr>
        <w:t xml:space="preserve"> </w:t>
      </w:r>
      <w:r w:rsidR="00E30815">
        <w:t>t</w:t>
      </w:r>
      <w:r>
        <w:t xml:space="preserve">here is a cap on the amount of radioactive waste that can be disposed </w:t>
      </w:r>
      <w:r w:rsidR="00E958AA">
        <w:t>from each specialised centre</w:t>
      </w:r>
      <w:r w:rsidR="006F5606">
        <w:t>.</w:t>
      </w:r>
      <w:r w:rsidR="00E958AA">
        <w:t xml:space="preserve"> </w:t>
      </w:r>
      <w:r w:rsidR="006F5606">
        <w:t>So</w:t>
      </w:r>
      <w:r w:rsidR="00E958AA">
        <w:t>, even if capacity is expanded the</w:t>
      </w:r>
      <w:r w:rsidR="009B5DA4">
        <w:t>re is still a limit on</w:t>
      </w:r>
      <w:r w:rsidR="00E958AA">
        <w:t xml:space="preserve"> </w:t>
      </w:r>
      <w:r w:rsidR="006F5606">
        <w:t xml:space="preserve">the </w:t>
      </w:r>
      <w:r w:rsidR="00E958AA">
        <w:t>number of patients treated per cent</w:t>
      </w:r>
      <w:r w:rsidR="009B5DA4">
        <w:t>re.</w:t>
      </w:r>
    </w:p>
    <w:p w14:paraId="3D6185A3" w14:textId="62BDD763" w:rsidR="000A1337" w:rsidRPr="00F25E82" w:rsidRDefault="000A1337" w:rsidP="008C41A3">
      <w:pPr>
        <w:pStyle w:val="Bulletleft1"/>
      </w:pPr>
      <w:r w:rsidRPr="00AD6C56">
        <w:rPr>
          <w:b/>
          <w:bCs/>
        </w:rPr>
        <w:t xml:space="preserve">Infrastructure </w:t>
      </w:r>
      <w:r w:rsidR="009C0710">
        <w:rPr>
          <w:b/>
          <w:bCs/>
        </w:rPr>
        <w:t>and</w:t>
      </w:r>
      <w:r w:rsidR="009C0710" w:rsidRPr="00AD6C56">
        <w:rPr>
          <w:b/>
          <w:bCs/>
        </w:rPr>
        <w:t xml:space="preserve"> </w:t>
      </w:r>
      <w:r w:rsidR="00DF7FBD">
        <w:rPr>
          <w:b/>
          <w:bCs/>
        </w:rPr>
        <w:t>w</w:t>
      </w:r>
      <w:r w:rsidRPr="00AD6C56">
        <w:rPr>
          <w:b/>
          <w:bCs/>
        </w:rPr>
        <w:t xml:space="preserve">orkforce </w:t>
      </w:r>
      <w:r w:rsidR="00DF7FBD">
        <w:rPr>
          <w:b/>
          <w:bCs/>
        </w:rPr>
        <w:t>n</w:t>
      </w:r>
      <w:r w:rsidRPr="00AD6C56">
        <w:rPr>
          <w:b/>
          <w:bCs/>
        </w:rPr>
        <w:t>eeds</w:t>
      </w:r>
      <w:r w:rsidR="0088162D">
        <w:rPr>
          <w:b/>
          <w:bCs/>
        </w:rPr>
        <w:t>:</w:t>
      </w:r>
      <w:r w:rsidR="009C0710" w:rsidRPr="00AD6C56">
        <w:rPr>
          <w:b/>
          <w:bCs/>
        </w:rPr>
        <w:t xml:space="preserve"> </w:t>
      </w:r>
      <w:r w:rsidR="0088162D">
        <w:t>s</w:t>
      </w:r>
      <w:r w:rsidRPr="00F25E82">
        <w:t xml:space="preserve">ignificant investment </w:t>
      </w:r>
      <w:r w:rsidR="006F5606">
        <w:t xml:space="preserve">is </w:t>
      </w:r>
      <w:r w:rsidRPr="00F25E82">
        <w:t xml:space="preserve">needed in </w:t>
      </w:r>
      <w:proofErr w:type="spellStart"/>
      <w:r w:rsidR="00061F05" w:rsidRPr="00F25E82">
        <w:t>radiopharmacy</w:t>
      </w:r>
      <w:proofErr w:type="spellEnd"/>
      <w:r w:rsidRPr="00F25E82">
        <w:t>, nuclear medicine technolog</w:t>
      </w:r>
      <w:r w:rsidR="004A0C13">
        <w:t>ists</w:t>
      </w:r>
      <w:r w:rsidRPr="00F25E82">
        <w:t xml:space="preserve">, nursing, medical physics, radiation protection and oncology. Training </w:t>
      </w:r>
      <w:r w:rsidR="00B7463F">
        <w:t>durations are</w:t>
      </w:r>
      <w:r w:rsidRPr="00F25E82">
        <w:t xml:space="preserve"> lengthy</w:t>
      </w:r>
      <w:r w:rsidR="0088162D">
        <w:t>. They are about</w:t>
      </w:r>
      <w:r w:rsidR="00E61A8A">
        <w:t xml:space="preserve"> </w:t>
      </w:r>
      <w:r w:rsidRPr="00F25E82">
        <w:t>12</w:t>
      </w:r>
      <w:r w:rsidR="006F5606">
        <w:t xml:space="preserve"> to </w:t>
      </w:r>
      <w:r w:rsidRPr="00F25E82">
        <w:t>18 months</w:t>
      </w:r>
      <w:r w:rsidR="00E61A8A">
        <w:t xml:space="preserve"> for technicians and</w:t>
      </w:r>
      <w:r w:rsidR="0088162D">
        <w:t xml:space="preserve"> about</w:t>
      </w:r>
      <w:r w:rsidRPr="00F25E82">
        <w:t xml:space="preserve"> 4</w:t>
      </w:r>
      <w:r w:rsidR="006F5606">
        <w:t xml:space="preserve"> to </w:t>
      </w:r>
      <w:r w:rsidRPr="00F25E82">
        <w:t>6 months</w:t>
      </w:r>
      <w:r w:rsidR="00E61A8A">
        <w:t xml:space="preserve"> for nurses</w:t>
      </w:r>
      <w:r w:rsidRPr="00F25E82">
        <w:t>.</w:t>
      </w:r>
    </w:p>
    <w:p w14:paraId="6150943B" w14:textId="5AE8E056" w:rsidR="000A1337" w:rsidRDefault="00891D92" w:rsidP="008C41A3">
      <w:pPr>
        <w:pStyle w:val="Bulletleft1"/>
      </w:pPr>
      <w:r>
        <w:rPr>
          <w:b/>
          <w:bCs/>
        </w:rPr>
        <w:t>Imaging and</w:t>
      </w:r>
      <w:r w:rsidR="000A1337" w:rsidRPr="000A1337">
        <w:rPr>
          <w:b/>
          <w:bCs/>
        </w:rPr>
        <w:t xml:space="preserve"> </w:t>
      </w:r>
      <w:r w:rsidR="00DF7FBD">
        <w:rPr>
          <w:b/>
          <w:bCs/>
        </w:rPr>
        <w:t>d</w:t>
      </w:r>
      <w:r w:rsidR="000A1337" w:rsidRPr="000A1337">
        <w:rPr>
          <w:b/>
          <w:bCs/>
        </w:rPr>
        <w:t>osimetry</w:t>
      </w:r>
      <w:r w:rsidR="0088162D">
        <w:rPr>
          <w:b/>
          <w:bCs/>
        </w:rPr>
        <w:t>:</w:t>
      </w:r>
      <w:r w:rsidR="009C0710" w:rsidRPr="000A1337">
        <w:t xml:space="preserve"> </w:t>
      </w:r>
      <w:r w:rsidR="0088162D">
        <w:t>p</w:t>
      </w:r>
      <w:r w:rsidR="009E087C">
        <w:t xml:space="preserve">ositron emitting </w:t>
      </w:r>
      <w:r w:rsidR="006938F9">
        <w:t>tomography</w:t>
      </w:r>
      <w:r w:rsidR="009E087C">
        <w:t xml:space="preserve"> </w:t>
      </w:r>
      <w:r w:rsidR="006938F9">
        <w:t>(</w:t>
      </w:r>
      <w:r w:rsidR="000A1337" w:rsidRPr="000A1337">
        <w:t>PET</w:t>
      </w:r>
      <w:r w:rsidR="006938F9">
        <w:t>)</w:t>
      </w:r>
      <w:r w:rsidR="000A1337" w:rsidRPr="000A1337">
        <w:t xml:space="preserve"> scans and post-therapy imaging are critical but </w:t>
      </w:r>
      <w:r w:rsidR="006F5606">
        <w:t xml:space="preserve">are </w:t>
      </w:r>
      <w:r w:rsidR="000A1337" w:rsidRPr="000A1337">
        <w:t>not reimbursed</w:t>
      </w:r>
      <w:r w:rsidR="006F5606">
        <w:t>.</w:t>
      </w:r>
      <w:r w:rsidR="0079731B">
        <w:t xml:space="preserve"> </w:t>
      </w:r>
      <w:r w:rsidR="00055BB7">
        <w:t xml:space="preserve">But </w:t>
      </w:r>
      <w:r w:rsidR="0079731B">
        <w:t>there is a</w:t>
      </w:r>
      <w:r w:rsidR="00E61A8A">
        <w:t xml:space="preserve">n existing </w:t>
      </w:r>
      <w:r w:rsidR="0079731B">
        <w:t xml:space="preserve">commissioning policy </w:t>
      </w:r>
      <w:r w:rsidR="00E61A8A">
        <w:t xml:space="preserve">for </w:t>
      </w:r>
      <w:r w:rsidR="006F5606">
        <w:t xml:space="preserve">people </w:t>
      </w:r>
      <w:r w:rsidR="00E61A8A">
        <w:t xml:space="preserve">with </w:t>
      </w:r>
      <w:r w:rsidR="001656C7">
        <w:t>prostate cancer</w:t>
      </w:r>
      <w:r w:rsidR="000A1337" w:rsidRPr="000A1337">
        <w:t>. Dosimet</w:t>
      </w:r>
      <w:r w:rsidR="00013375">
        <w:t xml:space="preserve">ry typically </w:t>
      </w:r>
      <w:r w:rsidR="006F5606">
        <w:t>needs 2</w:t>
      </w:r>
      <w:r w:rsidR="00013375">
        <w:t xml:space="preserve"> to </w:t>
      </w:r>
      <w:r w:rsidR="006F5606">
        <w:t>5</w:t>
      </w:r>
      <w:r w:rsidR="000A1337" w:rsidRPr="000A1337">
        <w:t xml:space="preserve"> scans plus data </w:t>
      </w:r>
      <w:r w:rsidR="00D97D49" w:rsidRPr="000A1337">
        <w:t>processing</w:t>
      </w:r>
      <w:r w:rsidR="006F5606">
        <w:t>.</w:t>
      </w:r>
      <w:r w:rsidR="00013375">
        <w:t xml:space="preserve"> </w:t>
      </w:r>
      <w:r w:rsidR="006F5606">
        <w:t>I</w:t>
      </w:r>
      <w:r w:rsidR="00013375">
        <w:t xml:space="preserve">t </w:t>
      </w:r>
      <w:r w:rsidR="000A1337" w:rsidRPr="000A1337">
        <w:t xml:space="preserve">costs </w:t>
      </w:r>
      <w:r w:rsidR="006F5606">
        <w:t xml:space="preserve">less than </w:t>
      </w:r>
      <w:r w:rsidR="000A1337" w:rsidRPr="000A1337">
        <w:t>£1,000 per patient</w:t>
      </w:r>
      <w:r w:rsidR="00055BB7">
        <w:t>. But it</w:t>
      </w:r>
      <w:r w:rsidR="000A1337" w:rsidRPr="000A1337">
        <w:t xml:space="preserve"> is rarely implemented </w:t>
      </w:r>
      <w:r w:rsidR="006F5606">
        <w:t>because of a</w:t>
      </w:r>
      <w:r w:rsidR="000A1337" w:rsidRPr="000A1337">
        <w:t xml:space="preserve"> lack </w:t>
      </w:r>
      <w:r w:rsidR="006F5606">
        <w:t xml:space="preserve">of </w:t>
      </w:r>
      <w:r w:rsidR="000A1337" w:rsidRPr="000A1337">
        <w:t>tariffs</w:t>
      </w:r>
      <w:r w:rsidR="0061072A">
        <w:t xml:space="preserve"> (and </w:t>
      </w:r>
      <w:r w:rsidR="00257B13">
        <w:t xml:space="preserve">so </w:t>
      </w:r>
      <w:r w:rsidR="0061072A">
        <w:t>reimbursement)</w:t>
      </w:r>
      <w:r w:rsidR="000A1337" w:rsidRPr="000A1337">
        <w:t xml:space="preserve"> and infrastructure.</w:t>
      </w:r>
    </w:p>
    <w:p w14:paraId="6B53895A" w14:textId="43213356" w:rsidR="000A1337" w:rsidRPr="000A1337" w:rsidRDefault="000C7258" w:rsidP="008C41A3">
      <w:pPr>
        <w:pStyle w:val="Bulletleft1"/>
      </w:pPr>
      <w:r>
        <w:t xml:space="preserve">Key implementation challenges </w:t>
      </w:r>
      <w:r w:rsidR="002B6CF0">
        <w:t>highlighted include</w:t>
      </w:r>
      <w:r w:rsidR="000A1337" w:rsidRPr="000A1337">
        <w:t>:</w:t>
      </w:r>
    </w:p>
    <w:p w14:paraId="7EC92D70" w14:textId="64D9F9C9" w:rsidR="000A1337" w:rsidRPr="00CF0C2E" w:rsidRDefault="006F5606" w:rsidP="008C41A3">
      <w:pPr>
        <w:pStyle w:val="Bulletleft2"/>
      </w:pPr>
      <w:r>
        <w:t>i</w:t>
      </w:r>
      <w:r w:rsidRPr="00CF0C2E">
        <w:t xml:space="preserve">nsufficient </w:t>
      </w:r>
      <w:r w:rsidR="00F82F0E" w:rsidRPr="00CF0C2E">
        <w:t>specialist workforce</w:t>
      </w:r>
      <w:r>
        <w:t>,</w:t>
      </w:r>
      <w:r w:rsidR="00F82F0E" w:rsidRPr="00CF0C2E">
        <w:t xml:space="preserve"> and capacity expansion needs</w:t>
      </w:r>
    </w:p>
    <w:p w14:paraId="06E129B0" w14:textId="4CFCDEE9" w:rsidR="000A1337" w:rsidRPr="000A1337" w:rsidRDefault="006F5606" w:rsidP="008C41A3">
      <w:pPr>
        <w:pStyle w:val="Bulletleft2"/>
      </w:pPr>
      <w:r>
        <w:t>phy</w:t>
      </w:r>
      <w:r w:rsidRPr="000A1337">
        <w:t>s</w:t>
      </w:r>
      <w:r>
        <w:t xml:space="preserve">ical </w:t>
      </w:r>
      <w:r w:rsidR="00F82F0E">
        <w:t>infrastructure constraints</w:t>
      </w:r>
      <w:r w:rsidR="000A1337" w:rsidRPr="000A1337">
        <w:t xml:space="preserve"> (rooms with lead lining)</w:t>
      </w:r>
    </w:p>
    <w:p w14:paraId="0708EC21" w14:textId="6B83AE0B" w:rsidR="000A1337" w:rsidRPr="000A1337" w:rsidRDefault="006F5606" w:rsidP="008C41A3">
      <w:pPr>
        <w:pStyle w:val="Bulletleft2"/>
      </w:pPr>
      <w:r>
        <w:t>l</w:t>
      </w:r>
      <w:r w:rsidRPr="000A1337">
        <w:t xml:space="preserve">imited </w:t>
      </w:r>
      <w:r w:rsidR="000A1337" w:rsidRPr="000A1337">
        <w:t xml:space="preserve">PET scan availability </w:t>
      </w:r>
      <w:r w:rsidR="00F82F0E">
        <w:t>across the UK</w:t>
      </w:r>
    </w:p>
    <w:p w14:paraId="755130CA" w14:textId="7AE91B62" w:rsidR="00F860D4" w:rsidRPr="00164F5D" w:rsidRDefault="006F5606" w:rsidP="008C41A3">
      <w:pPr>
        <w:pStyle w:val="Bulletleft2"/>
      </w:pPr>
      <w:r>
        <w:t>u</w:t>
      </w:r>
      <w:r w:rsidRPr="00CF0C2E">
        <w:t xml:space="preserve">nclear </w:t>
      </w:r>
      <w:r w:rsidR="00C175EA" w:rsidRPr="00CF0C2E">
        <w:t>responsibility for costs and lack of robust data on service availability</w:t>
      </w:r>
    </w:p>
    <w:p w14:paraId="6B70294C" w14:textId="0A3CDEF7" w:rsidR="00BB1806" w:rsidRPr="00CF0C2E" w:rsidRDefault="006F5606" w:rsidP="008C41A3">
      <w:pPr>
        <w:pStyle w:val="Bulletleft2"/>
      </w:pPr>
      <w:r>
        <w:t>p</w:t>
      </w:r>
      <w:r w:rsidRPr="00CF0C2E">
        <w:t xml:space="preserve">oor </w:t>
      </w:r>
      <w:r w:rsidR="00CF0C2E" w:rsidRPr="00CF0C2E">
        <w:t xml:space="preserve">estimates of the </w:t>
      </w:r>
      <w:r w:rsidR="008C6912">
        <w:t xml:space="preserve">size of the </w:t>
      </w:r>
      <w:r w:rsidR="00CF0C2E" w:rsidRPr="00CF0C2E">
        <w:t>future eligible patient population</w:t>
      </w:r>
      <w:r>
        <w:t>.</w:t>
      </w:r>
    </w:p>
    <w:p w14:paraId="2D3B643C" w14:textId="072A6DAA" w:rsidR="00BB1806" w:rsidRDefault="00CF0C2E" w:rsidP="008C41A3">
      <w:pPr>
        <w:pStyle w:val="Bulletleft1"/>
      </w:pPr>
      <w:r w:rsidRPr="00BB1806">
        <w:rPr>
          <w:b/>
          <w:bCs/>
        </w:rPr>
        <w:t>Potential s</w:t>
      </w:r>
      <w:r w:rsidR="000A1337" w:rsidRPr="00BB1806">
        <w:rPr>
          <w:b/>
          <w:bCs/>
        </w:rPr>
        <w:t xml:space="preserve">trategic </w:t>
      </w:r>
      <w:r w:rsidR="00CB5F95" w:rsidRPr="00BB1806">
        <w:rPr>
          <w:b/>
          <w:bCs/>
        </w:rPr>
        <w:t>s</w:t>
      </w:r>
      <w:r w:rsidR="000A1337" w:rsidRPr="00BB1806">
        <w:rPr>
          <w:b/>
          <w:bCs/>
        </w:rPr>
        <w:t>olutions</w:t>
      </w:r>
      <w:r w:rsidR="00257B13">
        <w:rPr>
          <w:b/>
          <w:bCs/>
        </w:rPr>
        <w:t>:</w:t>
      </w:r>
      <w:r w:rsidR="008C6912" w:rsidRPr="00BB1806">
        <w:rPr>
          <w:b/>
          <w:bCs/>
        </w:rPr>
        <w:t xml:space="preserve"> </w:t>
      </w:r>
      <w:r w:rsidR="00257B13">
        <w:t>h</w:t>
      </w:r>
      <w:r w:rsidR="008C6912">
        <w:t>ealthcare professional</w:t>
      </w:r>
      <w:r w:rsidR="008C6912" w:rsidRPr="00BB1806">
        <w:t xml:space="preserve">s </w:t>
      </w:r>
      <w:r w:rsidR="00BB1806" w:rsidRPr="00BB1806">
        <w:t xml:space="preserve">recommended a hub and spoke model to centralise imaging, training and high-cost infrastructure, </w:t>
      </w:r>
      <w:r w:rsidR="005E37BC">
        <w:t>so</w:t>
      </w:r>
      <w:r w:rsidR="005E37BC" w:rsidRPr="00BB1806">
        <w:t xml:space="preserve"> </w:t>
      </w:r>
      <w:r w:rsidR="00BB1806" w:rsidRPr="00BB1806">
        <w:t xml:space="preserve">improving efficiency and consistency. </w:t>
      </w:r>
      <w:r w:rsidR="00651B3B">
        <w:t>They also suggested c</w:t>
      </w:r>
      <w:r w:rsidR="00BB1806" w:rsidRPr="00BB1806">
        <w:t>ollaboration with NHS England and integration with clinical trial infrastructure to accelerate capability development.</w:t>
      </w:r>
    </w:p>
    <w:p w14:paraId="6DD2AA97" w14:textId="6C5E3009" w:rsidR="000A1337" w:rsidRPr="000A1337" w:rsidRDefault="000A1337" w:rsidP="007F7DF6">
      <w:pPr>
        <w:pStyle w:val="Bulletleft1last"/>
      </w:pPr>
      <w:proofErr w:type="gramStart"/>
      <w:r w:rsidRPr="00BB1806">
        <w:rPr>
          <w:b/>
          <w:bCs/>
        </w:rPr>
        <w:t xml:space="preserve">Future </w:t>
      </w:r>
      <w:r w:rsidR="00CB5F95" w:rsidRPr="00BB1806">
        <w:rPr>
          <w:b/>
          <w:bCs/>
        </w:rPr>
        <w:t>o</w:t>
      </w:r>
      <w:r w:rsidRPr="00BB1806">
        <w:rPr>
          <w:b/>
          <w:bCs/>
        </w:rPr>
        <w:t>utlook</w:t>
      </w:r>
      <w:proofErr w:type="gramEnd"/>
      <w:r w:rsidR="005E37BC">
        <w:rPr>
          <w:b/>
          <w:bCs/>
        </w:rPr>
        <w:t>:</w:t>
      </w:r>
      <w:r w:rsidR="008C6912" w:rsidRPr="000A1337">
        <w:t xml:space="preserve"> </w:t>
      </w:r>
      <w:r w:rsidR="005E37BC">
        <w:t>c</w:t>
      </w:r>
      <w:r w:rsidR="009B0424" w:rsidRPr="009B0424">
        <w:t>apacity demands are expected to rise as molecular radiotherapy expands beyond prostate cancer into indications such as lung, breast and colorectal cancers. Stakeholders noted that infrastructure in countries like Germany, the Netherlands, and Australia is currently more advanced</w:t>
      </w:r>
      <w:r w:rsidR="007A5DFA">
        <w:t xml:space="preserve"> than in England</w:t>
      </w:r>
      <w:r w:rsidR="009B0424" w:rsidRPr="009B0424">
        <w:t>, offering opportunities for comparative learning.</w:t>
      </w:r>
    </w:p>
    <w:p w14:paraId="5F6FE2F6" w14:textId="3076D9F5" w:rsidR="00CB5F95" w:rsidRDefault="00CB5F95" w:rsidP="00CB5F95">
      <w:pPr>
        <w:pStyle w:val="Numberedheading1"/>
      </w:pPr>
      <w:bookmarkStart w:id="51" w:name="_Ref219117215"/>
      <w:bookmarkStart w:id="52" w:name="_Toc221097785"/>
      <w:r>
        <w:t xml:space="preserve">Case study 2: </w:t>
      </w:r>
      <w:r w:rsidR="009703B5">
        <w:t>geographic atrophy</w:t>
      </w:r>
      <w:bookmarkEnd w:id="51"/>
      <w:bookmarkEnd w:id="52"/>
    </w:p>
    <w:p w14:paraId="1E63F527" w14:textId="0B40CD12" w:rsidR="004B3C14" w:rsidRDefault="0074306E" w:rsidP="008C41A3">
      <w:pPr>
        <w:pStyle w:val="Bulletleft1"/>
      </w:pPr>
      <w:r w:rsidRPr="004B3C14">
        <w:rPr>
          <w:b/>
          <w:bCs/>
        </w:rPr>
        <w:t>Overview</w:t>
      </w:r>
      <w:r w:rsidR="007A5DFA">
        <w:rPr>
          <w:b/>
          <w:bCs/>
        </w:rPr>
        <w:t>:</w:t>
      </w:r>
      <w:r w:rsidR="00994513">
        <w:t xml:space="preserve"> </w:t>
      </w:r>
      <w:r w:rsidR="007A5DFA">
        <w:t>a</w:t>
      </w:r>
      <w:r w:rsidR="004F445A">
        <w:t>ccording to stakeholders, g</w:t>
      </w:r>
      <w:r w:rsidR="004B3C14" w:rsidRPr="004B3C14">
        <w:t xml:space="preserve">eographic atrophy, a late stage of dry </w:t>
      </w:r>
      <w:r w:rsidR="00D97D49" w:rsidRPr="004B3C14">
        <w:t>age-related</w:t>
      </w:r>
      <w:r w:rsidR="004B3C14" w:rsidRPr="004B3C14">
        <w:t xml:space="preserve"> macular degeneration, represents a substantial unmet clinical need</w:t>
      </w:r>
      <w:r w:rsidR="00F76E21">
        <w:t>. It</w:t>
      </w:r>
      <w:r w:rsidR="004B3C14" w:rsidRPr="004B3C14">
        <w:t xml:space="preserve"> affect</w:t>
      </w:r>
      <w:r w:rsidR="00F76E21">
        <w:t xml:space="preserve">s </w:t>
      </w:r>
      <w:r w:rsidR="004B3C14" w:rsidRPr="004B3C14">
        <w:t xml:space="preserve">an estimated </w:t>
      </w:r>
      <w:r w:rsidR="008057E3">
        <w:t>300</w:t>
      </w:r>
      <w:r w:rsidR="004B3C14" w:rsidRPr="004B3C14">
        <w:t>,000 people in the UK</w:t>
      </w:r>
      <w:r w:rsidR="00AE1913">
        <w:t>.</w:t>
      </w:r>
    </w:p>
    <w:p w14:paraId="6424655B" w14:textId="41A0F3F7" w:rsidR="00CE23DC" w:rsidRDefault="00E67CED" w:rsidP="008C41A3">
      <w:pPr>
        <w:pStyle w:val="Bulletleft1"/>
      </w:pPr>
      <w:r w:rsidRPr="004B3C14">
        <w:rPr>
          <w:b/>
          <w:bCs/>
        </w:rPr>
        <w:t xml:space="preserve">Current </w:t>
      </w:r>
      <w:r w:rsidR="004B3C14">
        <w:rPr>
          <w:b/>
          <w:bCs/>
        </w:rPr>
        <w:t>care</w:t>
      </w:r>
      <w:r w:rsidRPr="004B3C14">
        <w:rPr>
          <w:b/>
          <w:bCs/>
        </w:rPr>
        <w:t xml:space="preserve"> pathway</w:t>
      </w:r>
      <w:r w:rsidR="00254366">
        <w:rPr>
          <w:b/>
          <w:bCs/>
        </w:rPr>
        <w:t>:</w:t>
      </w:r>
      <w:r w:rsidR="00994513">
        <w:t xml:space="preserve"> </w:t>
      </w:r>
      <w:r w:rsidR="00254366">
        <w:t>s</w:t>
      </w:r>
      <w:r w:rsidR="00981422">
        <w:t>takeholders highlighted that t</w:t>
      </w:r>
      <w:r>
        <w:t>here is</w:t>
      </w:r>
      <w:r w:rsidR="00CE23DC">
        <w:t xml:space="preserve"> no established care pathway or referral system in the NHS</w:t>
      </w:r>
      <w:r w:rsidR="002E75CB">
        <w:t xml:space="preserve"> for </w:t>
      </w:r>
      <w:r w:rsidR="005B36A7">
        <w:t xml:space="preserve">people </w:t>
      </w:r>
      <w:r w:rsidR="002E75CB">
        <w:t>with geographic atrophy</w:t>
      </w:r>
      <w:r w:rsidR="00CE23DC">
        <w:t xml:space="preserve">. Most </w:t>
      </w:r>
      <w:r w:rsidR="005B36A7">
        <w:t xml:space="preserve">people with the condition </w:t>
      </w:r>
      <w:r w:rsidR="00CE23DC">
        <w:t xml:space="preserve">are </w:t>
      </w:r>
      <w:r>
        <w:t xml:space="preserve">seen by community optometrists and </w:t>
      </w:r>
      <w:r w:rsidR="002E75CB">
        <w:t xml:space="preserve">around </w:t>
      </w:r>
      <w:r>
        <w:t xml:space="preserve">5% </w:t>
      </w:r>
      <w:r w:rsidR="005B36A7">
        <w:t xml:space="preserve">are </w:t>
      </w:r>
      <w:r w:rsidR="00CE23DC">
        <w:t>seen by specialists</w:t>
      </w:r>
      <w:r>
        <w:t xml:space="preserve">. </w:t>
      </w:r>
      <w:r w:rsidR="00CE23DC">
        <w:t xml:space="preserve">Many are discharged to community care, </w:t>
      </w:r>
      <w:r w:rsidR="005B36A7">
        <w:t xml:space="preserve">clinical </w:t>
      </w:r>
      <w:r w:rsidR="00CE23DC">
        <w:t xml:space="preserve">trials or patient </w:t>
      </w:r>
      <w:r w:rsidR="005B36A7">
        <w:t xml:space="preserve">organisations </w:t>
      </w:r>
      <w:r w:rsidR="00CE23DC">
        <w:t>like the Macular Society.</w:t>
      </w:r>
      <w:r w:rsidR="008D2677" w:rsidRPr="008D2677">
        <w:t xml:space="preserve"> </w:t>
      </w:r>
      <w:r w:rsidR="008D2677" w:rsidRPr="00B6055D">
        <w:t xml:space="preserve">Current management for dry </w:t>
      </w:r>
      <w:r w:rsidR="005B1747">
        <w:t>age-related macular degeneration (</w:t>
      </w:r>
      <w:r w:rsidR="008D2677" w:rsidRPr="00B6055D">
        <w:t>AMD</w:t>
      </w:r>
      <w:r w:rsidR="005B1747">
        <w:t>)</w:t>
      </w:r>
      <w:r w:rsidR="008D2677" w:rsidRPr="00B6055D">
        <w:t xml:space="preserve"> includes diet, vitamins and imaging </w:t>
      </w:r>
      <w:r w:rsidR="0098308C">
        <w:t>(optical coherence tomography</w:t>
      </w:r>
      <w:r w:rsidR="008D2677" w:rsidRPr="00B6055D">
        <w:t xml:space="preserve"> scans</w:t>
      </w:r>
      <w:r w:rsidR="00051FDD">
        <w:t xml:space="preserve"> or</w:t>
      </w:r>
      <w:r w:rsidR="00051FDD" w:rsidRPr="00B6055D">
        <w:t xml:space="preserve"> </w:t>
      </w:r>
      <w:r w:rsidR="008D2677" w:rsidRPr="00B6055D">
        <w:t>angiograms)</w:t>
      </w:r>
      <w:r w:rsidR="00051FDD">
        <w:t>.</w:t>
      </w:r>
      <w:r w:rsidR="00B1206E">
        <w:t xml:space="preserve"> </w:t>
      </w:r>
      <w:r w:rsidR="00051FDD">
        <w:t>B</w:t>
      </w:r>
      <w:r w:rsidR="00B1206E">
        <w:t xml:space="preserve">ut stakeholders highlighted a need </w:t>
      </w:r>
      <w:r w:rsidR="00653530">
        <w:t>for more precise diagnostic tools. M</w:t>
      </w:r>
      <w:r w:rsidR="00725CCA">
        <w:t xml:space="preserve">icroperimetry </w:t>
      </w:r>
      <w:r w:rsidR="00653530">
        <w:t xml:space="preserve">offers value </w:t>
      </w:r>
      <w:r w:rsidR="007521B5">
        <w:t xml:space="preserve">as a diagnostic tool </w:t>
      </w:r>
      <w:r w:rsidR="00653530">
        <w:t>b</w:t>
      </w:r>
      <w:r w:rsidR="00C80212">
        <w:t xml:space="preserve">ut is time-intensive and </w:t>
      </w:r>
      <w:r w:rsidR="007521B5">
        <w:t xml:space="preserve">not routinely </w:t>
      </w:r>
      <w:r w:rsidR="00C80212">
        <w:t>available.</w:t>
      </w:r>
    </w:p>
    <w:p w14:paraId="02B2AC46" w14:textId="3C23B255" w:rsidR="00F16FAA" w:rsidRDefault="00BF4061" w:rsidP="008C41A3">
      <w:pPr>
        <w:pStyle w:val="Bulletleft1"/>
      </w:pPr>
      <w:r w:rsidRPr="00F16FAA">
        <w:rPr>
          <w:b/>
          <w:bCs/>
        </w:rPr>
        <w:t>Emerging t</w:t>
      </w:r>
      <w:r w:rsidR="006432D8" w:rsidRPr="00F16FAA">
        <w:rPr>
          <w:b/>
          <w:bCs/>
        </w:rPr>
        <w:t xml:space="preserve">reatment </w:t>
      </w:r>
      <w:r w:rsidR="00051FDD">
        <w:rPr>
          <w:b/>
          <w:bCs/>
        </w:rPr>
        <w:t>l</w:t>
      </w:r>
      <w:r w:rsidR="00051FDD" w:rsidRPr="00F16FAA">
        <w:rPr>
          <w:b/>
          <w:bCs/>
        </w:rPr>
        <w:t>andscape</w:t>
      </w:r>
      <w:r w:rsidR="00895B45">
        <w:rPr>
          <w:b/>
          <w:bCs/>
        </w:rPr>
        <w:t>:</w:t>
      </w:r>
      <w:r w:rsidR="00994513">
        <w:t xml:space="preserve"> </w:t>
      </w:r>
      <w:r w:rsidR="00895B45">
        <w:t>s</w:t>
      </w:r>
      <w:r w:rsidR="00051FDD">
        <w:t>takeholders anticipate that there will be m</w:t>
      </w:r>
      <w:r w:rsidR="00F16FAA" w:rsidRPr="00F16FAA">
        <w:t>ultiple therapeutic modalities, including gene therapies, intravitreal injections and systemic treatments. Intravitreal injections are expected to be administered</w:t>
      </w:r>
      <w:r w:rsidR="00064EFF">
        <w:t xml:space="preserve"> once every two months</w:t>
      </w:r>
      <w:r w:rsidR="00F16FAA" w:rsidRPr="00F16FAA">
        <w:t>, potentially life long, until the</w:t>
      </w:r>
      <w:r w:rsidR="00051FDD">
        <w:t xml:space="preserve">re is no </w:t>
      </w:r>
      <w:r w:rsidR="00F16FAA" w:rsidRPr="00F16FAA">
        <w:t xml:space="preserve">longer </w:t>
      </w:r>
      <w:r w:rsidR="00051FDD">
        <w:t xml:space="preserve">any </w:t>
      </w:r>
      <w:r w:rsidR="00F16FAA" w:rsidRPr="00F16FAA">
        <w:t>benefit.</w:t>
      </w:r>
    </w:p>
    <w:p w14:paraId="2491741B" w14:textId="2BFFCABD" w:rsidR="003F5AC0" w:rsidRDefault="00C20396" w:rsidP="008C41A3">
      <w:pPr>
        <w:pStyle w:val="Bulletleft1"/>
      </w:pPr>
      <w:r w:rsidRPr="003F5AC0">
        <w:rPr>
          <w:b/>
          <w:bCs/>
        </w:rPr>
        <w:t>Need for stratified treatment approach</w:t>
      </w:r>
      <w:r w:rsidR="00895B45">
        <w:rPr>
          <w:b/>
          <w:bCs/>
        </w:rPr>
        <w:t>:</w:t>
      </w:r>
      <w:r w:rsidR="00994513">
        <w:t xml:space="preserve"> </w:t>
      </w:r>
      <w:r w:rsidR="00895B45">
        <w:t>s</w:t>
      </w:r>
      <w:r w:rsidR="003F5AC0" w:rsidRPr="003F5AC0">
        <w:t xml:space="preserve">takeholders emphasised that not </w:t>
      </w:r>
      <w:r w:rsidR="00051FDD">
        <w:t>everyone is</w:t>
      </w:r>
      <w:r w:rsidR="003F5AC0" w:rsidRPr="003F5AC0">
        <w:t xml:space="preserve"> likely to benefit equally</w:t>
      </w:r>
      <w:r w:rsidR="00051FDD">
        <w:t xml:space="preserve"> from </w:t>
      </w:r>
      <w:r w:rsidR="00C861F2">
        <w:t>molecular radiotherapy. A</w:t>
      </w:r>
      <w:r w:rsidR="003F5AC0" w:rsidRPr="003F5AC0">
        <w:t xml:space="preserve">lthough early clinical trials were not designed to identify responsive subgroups. Future models of care will </w:t>
      </w:r>
      <w:r w:rsidR="00C861F2">
        <w:t>need</w:t>
      </w:r>
      <w:r w:rsidR="00C861F2" w:rsidRPr="003F5AC0">
        <w:t xml:space="preserve"> </w:t>
      </w:r>
      <w:r w:rsidR="003F5AC0" w:rsidRPr="003F5AC0">
        <w:t>stratification tools to ensure efficient and equitable use of emerging treatments.</w:t>
      </w:r>
    </w:p>
    <w:p w14:paraId="26126BBE" w14:textId="457CC007" w:rsidR="006432D8" w:rsidRDefault="00DA156D" w:rsidP="008C41A3">
      <w:pPr>
        <w:pStyle w:val="Bulletleft1"/>
      </w:pPr>
      <w:r>
        <w:rPr>
          <w:b/>
          <w:bCs/>
        </w:rPr>
        <w:t xml:space="preserve">Ongoing </w:t>
      </w:r>
      <w:r w:rsidR="007224E4" w:rsidRPr="003F5AC0">
        <w:rPr>
          <w:b/>
          <w:bCs/>
        </w:rPr>
        <w:t>monitoring</w:t>
      </w:r>
      <w:r>
        <w:rPr>
          <w:b/>
          <w:bCs/>
        </w:rPr>
        <w:t xml:space="preserve"> requirements</w:t>
      </w:r>
      <w:r w:rsidR="00443F7C">
        <w:rPr>
          <w:b/>
          <w:bCs/>
        </w:rPr>
        <w:t>:</w:t>
      </w:r>
      <w:r w:rsidR="00994513">
        <w:t xml:space="preserve"> </w:t>
      </w:r>
      <w:r w:rsidR="00443F7C">
        <w:t>s</w:t>
      </w:r>
      <w:r w:rsidR="00621CC2">
        <w:t>takeholders were</w:t>
      </w:r>
      <w:r w:rsidR="006432D8">
        <w:t xml:space="preserve"> concern</w:t>
      </w:r>
      <w:r w:rsidR="00621CC2">
        <w:t>ed</w:t>
      </w:r>
      <w:r w:rsidR="006432D8">
        <w:t xml:space="preserve"> about </w:t>
      </w:r>
      <w:r w:rsidR="00477EAF">
        <w:t xml:space="preserve">geographic atrophy </w:t>
      </w:r>
      <w:r w:rsidR="00621CC2">
        <w:t xml:space="preserve">progressing </w:t>
      </w:r>
      <w:r w:rsidR="006432D8">
        <w:t>to wet AMD</w:t>
      </w:r>
      <w:r w:rsidR="002E1D22">
        <w:t xml:space="preserve">, with </w:t>
      </w:r>
      <w:r w:rsidR="00443F7C">
        <w:t xml:space="preserve">people </w:t>
      </w:r>
      <w:r w:rsidR="00621CC2">
        <w:t xml:space="preserve">needing </w:t>
      </w:r>
      <w:r w:rsidR="002E1D22">
        <w:t>monitoring to detect central vision loss</w:t>
      </w:r>
      <w:r w:rsidR="00621CC2">
        <w:t>,</w:t>
      </w:r>
      <w:r w:rsidR="00921A83">
        <w:t xml:space="preserve"> and </w:t>
      </w:r>
      <w:r w:rsidR="00621CC2">
        <w:t>management of</w:t>
      </w:r>
      <w:r w:rsidR="00921A83">
        <w:t xml:space="preserve"> comorbidities like cataracts and glaucoma</w:t>
      </w:r>
      <w:r w:rsidR="002E1D22">
        <w:t xml:space="preserve">. Once </w:t>
      </w:r>
      <w:r w:rsidR="00621CC2">
        <w:t xml:space="preserve">someone </w:t>
      </w:r>
      <w:r w:rsidR="002E1D22">
        <w:t>lose</w:t>
      </w:r>
      <w:r w:rsidR="00621CC2">
        <w:t>s</w:t>
      </w:r>
      <w:r w:rsidR="002E1D22">
        <w:t xml:space="preserve"> their central vision they</w:t>
      </w:r>
      <w:r w:rsidR="00CA0EAA">
        <w:t xml:space="preserve"> </w:t>
      </w:r>
      <w:r w:rsidR="002E1D22">
        <w:t>would progress to treatments for wet AMD.</w:t>
      </w:r>
    </w:p>
    <w:p w14:paraId="6B8BD930" w14:textId="2F0D4DE2" w:rsidR="00D1655C" w:rsidRDefault="00056560" w:rsidP="008C41A3">
      <w:pPr>
        <w:pStyle w:val="Bulletleft1"/>
      </w:pPr>
      <w:r w:rsidRPr="00D1655C">
        <w:rPr>
          <w:b/>
          <w:bCs/>
        </w:rPr>
        <w:t>Infrastructure and workforce needs</w:t>
      </w:r>
      <w:r w:rsidR="001C7D18">
        <w:rPr>
          <w:b/>
          <w:bCs/>
        </w:rPr>
        <w:t>:</w:t>
      </w:r>
      <w:r w:rsidR="00994513">
        <w:t xml:space="preserve"> </w:t>
      </w:r>
      <w:r w:rsidR="001C7D18">
        <w:t>c</w:t>
      </w:r>
      <w:r w:rsidR="009C2A06">
        <w:t>urren</w:t>
      </w:r>
      <w:r w:rsidR="00424FED">
        <w:t xml:space="preserve">t </w:t>
      </w:r>
      <w:r w:rsidR="009C2A06">
        <w:t xml:space="preserve">wet AMD </w:t>
      </w:r>
      <w:r w:rsidR="00424FED">
        <w:t>services already face capacity challenges.</w:t>
      </w:r>
      <w:r w:rsidR="009C2A06">
        <w:t xml:space="preserve"> </w:t>
      </w:r>
      <w:r w:rsidR="00D1655C" w:rsidRPr="00D1655C">
        <w:t xml:space="preserve">Introducing treatments for geographic atrophy would </w:t>
      </w:r>
      <w:r w:rsidR="00B650FD">
        <w:t>need</w:t>
      </w:r>
      <w:r w:rsidR="00D1655C" w:rsidRPr="00D1655C">
        <w:t xml:space="preserve"> substantial expansion of specialist clinics and increased workforce availability. </w:t>
      </w:r>
      <w:r w:rsidR="00307F11">
        <w:t>D</w:t>
      </w:r>
      <w:r w:rsidR="00B650FD" w:rsidRPr="00D1655C">
        <w:t>uring early adoption phases</w:t>
      </w:r>
      <w:r w:rsidR="00B650FD">
        <w:t>,</w:t>
      </w:r>
      <w:r w:rsidR="00B650FD" w:rsidRPr="00D1655C">
        <w:t xml:space="preserve"> </w:t>
      </w:r>
      <w:r w:rsidR="00B650FD">
        <w:t>c</w:t>
      </w:r>
      <w:r w:rsidR="00D1655C" w:rsidRPr="00D1655C">
        <w:t xml:space="preserve">onsultant </w:t>
      </w:r>
      <w:r w:rsidR="00D1655C">
        <w:t>o</w:t>
      </w:r>
      <w:r w:rsidR="00D1655C" w:rsidRPr="00D1655C">
        <w:t xml:space="preserve">phthalmologists </w:t>
      </w:r>
      <w:r w:rsidR="00D1655C">
        <w:t xml:space="preserve">would </w:t>
      </w:r>
      <w:r w:rsidR="00B650FD">
        <w:t>do</w:t>
      </w:r>
      <w:r w:rsidR="00B650FD" w:rsidRPr="00D1655C">
        <w:t xml:space="preserve"> </w:t>
      </w:r>
      <w:r w:rsidR="00D1655C" w:rsidRPr="00D1655C">
        <w:t>initial assessments and administrations.</w:t>
      </w:r>
    </w:p>
    <w:p w14:paraId="39199382" w14:textId="632E8396" w:rsidR="00E67CED" w:rsidRDefault="00A14476" w:rsidP="007F7DF6">
      <w:pPr>
        <w:pStyle w:val="Bulletleft1last"/>
      </w:pPr>
      <w:r w:rsidRPr="00D1655C">
        <w:rPr>
          <w:b/>
          <w:bCs/>
        </w:rPr>
        <w:t xml:space="preserve">Operational </w:t>
      </w:r>
      <w:r w:rsidR="001C7D18">
        <w:rPr>
          <w:b/>
          <w:bCs/>
        </w:rPr>
        <w:t>c</w:t>
      </w:r>
      <w:r w:rsidRPr="00D1655C">
        <w:rPr>
          <w:b/>
          <w:bCs/>
        </w:rPr>
        <w:t>onsiderations</w:t>
      </w:r>
      <w:r w:rsidR="001C7D18">
        <w:rPr>
          <w:b/>
          <w:bCs/>
        </w:rPr>
        <w:t>:</w:t>
      </w:r>
      <w:r w:rsidR="00994513">
        <w:t xml:space="preserve"> </w:t>
      </w:r>
      <w:r w:rsidR="00226D8C">
        <w:t>there are</w:t>
      </w:r>
      <w:r w:rsidR="00453F68" w:rsidRPr="00453F68">
        <w:t xml:space="preserve"> the strong clinical and operational synergies between geographic atrophy and wet AMD services</w:t>
      </w:r>
      <w:r w:rsidR="00226D8C">
        <w:t>. So</w:t>
      </w:r>
      <w:r w:rsidR="00453F68" w:rsidRPr="00453F68">
        <w:t xml:space="preserve">, stakeholders suggested that planning for future capacity should draw on lessons from the adoption of </w:t>
      </w:r>
      <w:r w:rsidR="00585FCA" w:rsidRPr="00585FCA">
        <w:t>anti-</w:t>
      </w:r>
      <w:r w:rsidR="005054D2">
        <w:t>VEGF</w:t>
      </w:r>
      <w:r w:rsidR="00585FCA">
        <w:t xml:space="preserve"> </w:t>
      </w:r>
      <w:r w:rsidR="005054D2">
        <w:t>treatments. Planning should</w:t>
      </w:r>
      <w:r w:rsidR="00453F68" w:rsidRPr="00453F68">
        <w:t xml:space="preserve"> </w:t>
      </w:r>
      <w:r w:rsidR="005054D2" w:rsidRPr="00453F68">
        <w:t>includ</w:t>
      </w:r>
      <w:r w:rsidR="005054D2">
        <w:t>e</w:t>
      </w:r>
      <w:r w:rsidR="005054D2" w:rsidRPr="00453F68">
        <w:t xml:space="preserve"> </w:t>
      </w:r>
      <w:r w:rsidR="00453F68" w:rsidRPr="00453F68">
        <w:t>demand forecasting, clinic design and workforce planning</w:t>
      </w:r>
      <w:r w:rsidR="00D104D1">
        <w:t>.</w:t>
      </w:r>
    </w:p>
    <w:p w14:paraId="2D0D0887" w14:textId="6564B9D7" w:rsidR="095528BD" w:rsidRDefault="095528BD" w:rsidP="00F93F21">
      <w:pPr>
        <w:pStyle w:val="Numberedheading1"/>
      </w:pPr>
      <w:bookmarkStart w:id="53" w:name="_Toc221097786"/>
      <w:r w:rsidRPr="5FEFA46D">
        <w:t>Conclusion</w:t>
      </w:r>
      <w:bookmarkEnd w:id="53"/>
    </w:p>
    <w:p w14:paraId="55820176" w14:textId="6F368A59" w:rsidR="00190380" w:rsidRDefault="005054D2" w:rsidP="007F7DF6">
      <w:pPr>
        <w:pStyle w:val="Paragraph"/>
      </w:pPr>
      <w:r>
        <w:t>Throughout this project, s</w:t>
      </w:r>
      <w:r w:rsidR="00190380">
        <w:t>takeholder engagement has highlighted the critical importance of early, structured and transparent consideration of implementation costs within NICE evaluations.</w:t>
      </w:r>
    </w:p>
    <w:p w14:paraId="2770C548" w14:textId="7AFEC676" w:rsidR="00A579C1" w:rsidRDefault="00190380" w:rsidP="007F7DF6">
      <w:pPr>
        <w:pStyle w:val="Paragraph"/>
      </w:pPr>
      <w:r>
        <w:t xml:space="preserve">Feedback from internal and external stakeholders confirmed that a clear taxonomy of implementation costs is essential </w:t>
      </w:r>
      <w:r w:rsidR="00DE4011">
        <w:t xml:space="preserve">for creating </w:t>
      </w:r>
      <w:r>
        <w:t xml:space="preserve">a common language and </w:t>
      </w:r>
      <w:r w:rsidR="00DE4011">
        <w:t xml:space="preserve">improving </w:t>
      </w:r>
      <w:r>
        <w:t xml:space="preserve">consistency across scoping, </w:t>
      </w:r>
      <w:r w:rsidR="00FD609B">
        <w:t xml:space="preserve">evaluation </w:t>
      </w:r>
      <w:r>
        <w:t>and resource impact assessment processes.</w:t>
      </w:r>
    </w:p>
    <w:p w14:paraId="3696323A" w14:textId="7955ACAF" w:rsidR="002B4F3E" w:rsidRPr="006A14A8" w:rsidRDefault="00190380" w:rsidP="007F7DF6">
      <w:pPr>
        <w:pStyle w:val="Paragraph"/>
      </w:pPr>
      <w:r>
        <w:t xml:space="preserve">Case studies on molecular radiotherapy and geographic atrophy </w:t>
      </w:r>
      <w:r w:rsidR="00DE4011">
        <w:t xml:space="preserve">have </w:t>
      </w:r>
      <w:r>
        <w:t>illustrated the complexity and variability of implementation challenges</w:t>
      </w:r>
      <w:r w:rsidR="00DE4011">
        <w:t>. These challenges</w:t>
      </w:r>
      <w:r>
        <w:t xml:space="preserve"> </w:t>
      </w:r>
      <w:r w:rsidR="00DE4011">
        <w:t xml:space="preserve">include </w:t>
      </w:r>
      <w:r>
        <w:t xml:space="preserve">infrastructure </w:t>
      </w:r>
      <w:r w:rsidR="00DE4011">
        <w:t>needs</w:t>
      </w:r>
      <w:r>
        <w:t xml:space="preserve">, workforce capacity, licensing and operational considerations. These examples </w:t>
      </w:r>
      <w:r w:rsidR="00DE4011">
        <w:t xml:space="preserve">highlight </w:t>
      </w:r>
      <w:r>
        <w:t>the need for flexible, context-sensitive approaches that balance methodological rigo</w:t>
      </w:r>
      <w:r w:rsidR="00E5256C">
        <w:t>u</w:t>
      </w:r>
      <w:r>
        <w:t>r with practical feasibility</w:t>
      </w:r>
      <w:r w:rsidR="00FB6A53">
        <w:t>.</w:t>
      </w:r>
    </w:p>
    <w:sectPr w:rsidR="002B4F3E" w:rsidRPr="006A14A8" w:rsidSect="002B4F3E">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72BD" w14:textId="77777777" w:rsidR="009F53CB" w:rsidRDefault="009F53CB" w:rsidP="00446BEE">
      <w:r>
        <w:separator/>
      </w:r>
    </w:p>
  </w:endnote>
  <w:endnote w:type="continuationSeparator" w:id="0">
    <w:p w14:paraId="23640B4B" w14:textId="77777777" w:rsidR="009F53CB" w:rsidRDefault="009F53CB" w:rsidP="00446BEE">
      <w:r>
        <w:continuationSeparator/>
      </w:r>
    </w:p>
  </w:endnote>
  <w:endnote w:type="continuationNotice" w:id="1">
    <w:p w14:paraId="5BDE559A" w14:textId="77777777" w:rsidR="009F53CB" w:rsidRDefault="009F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1ED94D5E" w:rsidR="007400D7" w:rsidRPr="007400D7" w:rsidRDefault="42753707" w:rsidP="00E57AE6">
    <w:pPr>
      <w:tabs>
        <w:tab w:val="right" w:pos="8306"/>
      </w:tabs>
      <w:spacing w:after="240"/>
      <w:rPr>
        <w:rFonts w:ascii="Arial" w:hAnsi="Arial" w:cs="Arial"/>
        <w:color w:val="000000"/>
        <w:sz w:val="18"/>
        <w:szCs w:val="18"/>
      </w:rPr>
    </w:pPr>
    <w:r w:rsidRPr="42753707">
      <w:rPr>
        <w:rFonts w:ascii="Arial" w:hAnsi="Arial"/>
        <w:color w:val="000000" w:themeColor="text1"/>
        <w:sz w:val="18"/>
        <w:szCs w:val="18"/>
      </w:rPr>
      <w:t>© NICE 202</w:t>
    </w:r>
    <w:r w:rsidR="00712664">
      <w:rPr>
        <w:rFonts w:ascii="Arial" w:hAnsi="Arial"/>
        <w:color w:val="000000" w:themeColor="text1"/>
        <w:sz w:val="18"/>
        <w:szCs w:val="18"/>
      </w:rPr>
      <w:t>6</w:t>
    </w:r>
    <w:r w:rsidRPr="42753707">
      <w:rPr>
        <w:rFonts w:ascii="Arial" w:hAnsi="Arial"/>
        <w:color w:val="000000" w:themeColor="text1"/>
        <w:sz w:val="18"/>
        <w:szCs w:val="18"/>
      </w:rPr>
      <w:t xml:space="preserve">. All rights reserved. Subject to </w:t>
    </w:r>
    <w:hyperlink r:id="rId1" w:anchor="notice-of-rights" w:history="1">
      <w:r w:rsidRPr="00826E3A">
        <w:rPr>
          <w:rStyle w:val="Hyperlink"/>
          <w:rFonts w:ascii="Arial" w:hAnsi="Arial"/>
          <w:sz w:val="18"/>
          <w:szCs w:val="18"/>
        </w:rPr>
        <w:t>Notice of rights</w:t>
      </w:r>
    </w:hyperlink>
    <w:r w:rsidRPr="42753707">
      <w:rPr>
        <w:rFonts w:ascii="Arial" w:hAnsi="Arial"/>
        <w:color w:val="000000" w:themeColor="text1"/>
        <w:sz w:val="18"/>
        <w:szCs w:val="18"/>
      </w:rPr>
      <w:t>.</w:t>
    </w:r>
    <w:r w:rsidR="5DD8AEA6">
      <w:tab/>
    </w:r>
  </w:p>
  <w:p w14:paraId="49461CE2" w14:textId="70DAD284" w:rsidR="007400D7" w:rsidRPr="00712664" w:rsidRDefault="00712664" w:rsidP="3392959B">
    <w:pPr>
      <w:pStyle w:val="Footer"/>
      <w:rPr>
        <w:color w:val="000000"/>
        <w:sz w:val="18"/>
        <w:szCs w:val="18"/>
      </w:rPr>
    </w:pPr>
    <w:r w:rsidRPr="00712664">
      <w:rPr>
        <w:color w:val="000000" w:themeColor="text1"/>
        <w:sz w:val="18"/>
        <w:szCs w:val="18"/>
      </w:rPr>
      <w:t xml:space="preserve">Infrastructure and service redesign: examining the methods for capturing implementation costs-Appendix </w:t>
    </w:r>
    <w:r w:rsidR="00CB5F95">
      <w:rPr>
        <w:color w:val="000000" w:themeColor="text1"/>
        <w:sz w:val="18"/>
        <w:szCs w:val="18"/>
      </w:rPr>
      <w:t>F</w:t>
    </w:r>
  </w:p>
  <w:p w14:paraId="339F88C0" w14:textId="43DE5705" w:rsidR="00E57AE6" w:rsidRPr="00E57AE6" w:rsidRDefault="00E02817" w:rsidP="3392959B">
    <w:pPr>
      <w:pStyle w:val="Footer"/>
      <w:rPr>
        <w:sz w:val="12"/>
        <w:szCs w:val="12"/>
        <w:highlight w:val="yellow"/>
      </w:rPr>
    </w:pPr>
    <w:r>
      <w:rPr>
        <w:color w:val="000000" w:themeColor="text1"/>
        <w:sz w:val="18"/>
        <w:szCs w:val="18"/>
      </w:rPr>
      <w:t>June</w:t>
    </w:r>
    <w:r w:rsidR="00712664" w:rsidRPr="00712664">
      <w:rPr>
        <w:color w:val="000000" w:themeColor="text1"/>
        <w:sz w:val="18"/>
        <w:szCs w:val="18"/>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07747A">
    <w:pPr>
      <w:pStyle w:val="Footer"/>
      <w:jc w:val="center"/>
    </w:pP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E34D" w14:textId="77777777" w:rsidR="009F53CB" w:rsidRDefault="009F53CB" w:rsidP="00446BEE">
      <w:r>
        <w:separator/>
      </w:r>
    </w:p>
  </w:footnote>
  <w:footnote w:type="continuationSeparator" w:id="0">
    <w:p w14:paraId="71BA388B" w14:textId="77777777" w:rsidR="009F53CB" w:rsidRDefault="009F53CB" w:rsidP="00446BEE">
      <w:r>
        <w:continuationSeparator/>
      </w:r>
    </w:p>
  </w:footnote>
  <w:footnote w:type="continuationNotice" w:id="1">
    <w:p w14:paraId="08DF8A12" w14:textId="77777777" w:rsidR="009F53CB" w:rsidRDefault="009F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2092715555" name="Picture 2092715555"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765" w:type="dxa"/>
      <w:tblLayout w:type="fixed"/>
      <w:tblLook w:val="06A0" w:firstRow="1" w:lastRow="0" w:firstColumn="1" w:lastColumn="0" w:noHBand="1" w:noVBand="1"/>
    </w:tblPr>
    <w:tblGrid>
      <w:gridCol w:w="2765"/>
    </w:tblGrid>
    <w:tr w:rsidR="5DD8AEA6" w14:paraId="1C18297C" w14:textId="77777777" w:rsidTr="47090557">
      <w:trPr>
        <w:trHeight w:val="300"/>
      </w:trPr>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39A27C6"/>
    <w:multiLevelType w:val="hybridMultilevel"/>
    <w:tmpl w:val="10EEB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6404F"/>
    <w:multiLevelType w:val="hybridMultilevel"/>
    <w:tmpl w:val="C9E25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E1A4D"/>
    <w:multiLevelType w:val="hybridMultilevel"/>
    <w:tmpl w:val="51BE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D8AE4A14"/>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ECE5225"/>
    <w:multiLevelType w:val="hybridMultilevel"/>
    <w:tmpl w:val="2C1A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D636C"/>
    <w:multiLevelType w:val="hybridMultilevel"/>
    <w:tmpl w:val="C2ACB236"/>
    <w:lvl w:ilvl="0" w:tplc="0809001B">
      <w:start w:val="1"/>
      <w:numFmt w:val="lowerRoman"/>
      <w:lvlText w:val="%1."/>
      <w:lvlJc w:val="right"/>
      <w:pPr>
        <w:ind w:left="784" w:hanging="360"/>
      </w:pPr>
      <w:rPr>
        <w:rFonts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399716702">
    <w:abstractNumId w:val="14"/>
  </w:num>
  <w:num w:numId="2" w16cid:durableId="1595244151">
    <w:abstractNumId w:val="19"/>
  </w:num>
  <w:num w:numId="3" w16cid:durableId="368646558">
    <w:abstractNumId w:val="6"/>
  </w:num>
  <w:num w:numId="4" w16cid:durableId="534393170">
    <w:abstractNumId w:val="17"/>
  </w:num>
  <w:num w:numId="5" w16cid:durableId="609512517">
    <w:abstractNumId w:val="21"/>
  </w:num>
  <w:num w:numId="6" w16cid:durableId="1428035579">
    <w:abstractNumId w:val="9"/>
  </w:num>
  <w:num w:numId="7" w16cid:durableId="5527409">
    <w:abstractNumId w:val="20"/>
  </w:num>
  <w:num w:numId="8" w16cid:durableId="216166494">
    <w:abstractNumId w:val="7"/>
  </w:num>
  <w:num w:numId="9" w16cid:durableId="276372946">
    <w:abstractNumId w:val="10"/>
  </w:num>
  <w:num w:numId="10" w16cid:durableId="1737240345">
    <w:abstractNumId w:val="2"/>
  </w:num>
  <w:num w:numId="11" w16cid:durableId="592858488">
    <w:abstractNumId w:val="8"/>
  </w:num>
  <w:num w:numId="12" w16cid:durableId="720054198">
    <w:abstractNumId w:val="21"/>
  </w:num>
  <w:num w:numId="13" w16cid:durableId="1882941616">
    <w:abstractNumId w:val="21"/>
  </w:num>
  <w:num w:numId="14" w16cid:durableId="1368408304">
    <w:abstractNumId w:val="21"/>
  </w:num>
  <w:num w:numId="15" w16cid:durableId="710308431">
    <w:abstractNumId w:val="0"/>
  </w:num>
  <w:num w:numId="16" w16cid:durableId="6099552">
    <w:abstractNumId w:val="5"/>
  </w:num>
  <w:num w:numId="17" w16cid:durableId="467480682">
    <w:abstractNumId w:val="11"/>
  </w:num>
  <w:num w:numId="18" w16cid:durableId="19283708">
    <w:abstractNumId w:val="12"/>
  </w:num>
  <w:num w:numId="19" w16cid:durableId="2038920889">
    <w:abstractNumId w:val="12"/>
  </w:num>
  <w:num w:numId="20" w16cid:durableId="1687294361">
    <w:abstractNumId w:val="3"/>
  </w:num>
  <w:num w:numId="21" w16cid:durableId="1122576612">
    <w:abstractNumId w:val="4"/>
  </w:num>
  <w:num w:numId="22" w16cid:durableId="1773940728">
    <w:abstractNumId w:val="1"/>
  </w:num>
  <w:num w:numId="23" w16cid:durableId="2040474818">
    <w:abstractNumId w:val="18"/>
  </w:num>
  <w:num w:numId="24" w16cid:durableId="1131754126">
    <w:abstractNumId w:val="9"/>
  </w:num>
  <w:num w:numId="25" w16cid:durableId="653725856">
    <w:abstractNumId w:val="9"/>
  </w:num>
  <w:num w:numId="26" w16cid:durableId="1885172845">
    <w:abstractNumId w:val="15"/>
  </w:num>
  <w:num w:numId="27" w16cid:durableId="1003557064">
    <w:abstractNumId w:val="14"/>
  </w:num>
  <w:num w:numId="28" w16cid:durableId="2111856508">
    <w:abstractNumId w:val="13"/>
  </w:num>
  <w:num w:numId="29" w16cid:durableId="1477140874">
    <w:abstractNumId w:val="17"/>
  </w:num>
  <w:num w:numId="30" w16cid:durableId="159393007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2F1E"/>
    <w:rsid w:val="000053F8"/>
    <w:rsid w:val="00006515"/>
    <w:rsid w:val="0000797C"/>
    <w:rsid w:val="00013375"/>
    <w:rsid w:val="00013927"/>
    <w:rsid w:val="00015717"/>
    <w:rsid w:val="00023E18"/>
    <w:rsid w:val="00024D0A"/>
    <w:rsid w:val="00025CFE"/>
    <w:rsid w:val="0003072B"/>
    <w:rsid w:val="00032B44"/>
    <w:rsid w:val="00037837"/>
    <w:rsid w:val="00043D38"/>
    <w:rsid w:val="00044008"/>
    <w:rsid w:val="00046DBC"/>
    <w:rsid w:val="00051FDD"/>
    <w:rsid w:val="00053AD1"/>
    <w:rsid w:val="00055BB7"/>
    <w:rsid w:val="00056560"/>
    <w:rsid w:val="00061F05"/>
    <w:rsid w:val="00063209"/>
    <w:rsid w:val="00063F0F"/>
    <w:rsid w:val="00064EFF"/>
    <w:rsid w:val="00065324"/>
    <w:rsid w:val="000653DD"/>
    <w:rsid w:val="00065601"/>
    <w:rsid w:val="00070065"/>
    <w:rsid w:val="00071C6B"/>
    <w:rsid w:val="0007747A"/>
    <w:rsid w:val="0008201A"/>
    <w:rsid w:val="00083D97"/>
    <w:rsid w:val="00086DAD"/>
    <w:rsid w:val="000918F2"/>
    <w:rsid w:val="00094566"/>
    <w:rsid w:val="0009492F"/>
    <w:rsid w:val="00096014"/>
    <w:rsid w:val="00097C7B"/>
    <w:rsid w:val="000A1337"/>
    <w:rsid w:val="000A2A78"/>
    <w:rsid w:val="000A4020"/>
    <w:rsid w:val="000A4FEE"/>
    <w:rsid w:val="000A5D6B"/>
    <w:rsid w:val="000B1FD5"/>
    <w:rsid w:val="000B21F5"/>
    <w:rsid w:val="000B39C1"/>
    <w:rsid w:val="000B5939"/>
    <w:rsid w:val="000C699E"/>
    <w:rsid w:val="000C7258"/>
    <w:rsid w:val="000D1E53"/>
    <w:rsid w:val="000D5637"/>
    <w:rsid w:val="000D7DD6"/>
    <w:rsid w:val="000E21BA"/>
    <w:rsid w:val="000E39C0"/>
    <w:rsid w:val="000E5804"/>
    <w:rsid w:val="000E5B55"/>
    <w:rsid w:val="000E7288"/>
    <w:rsid w:val="000F252C"/>
    <w:rsid w:val="00100344"/>
    <w:rsid w:val="001005AE"/>
    <w:rsid w:val="00104288"/>
    <w:rsid w:val="001050B5"/>
    <w:rsid w:val="00107122"/>
    <w:rsid w:val="001120BC"/>
    <w:rsid w:val="00112889"/>
    <w:rsid w:val="00113135"/>
    <w:rsid w:val="001134E7"/>
    <w:rsid w:val="001147FD"/>
    <w:rsid w:val="0011544F"/>
    <w:rsid w:val="001160A2"/>
    <w:rsid w:val="00121290"/>
    <w:rsid w:val="00125BBC"/>
    <w:rsid w:val="001261CA"/>
    <w:rsid w:val="00126933"/>
    <w:rsid w:val="001336FF"/>
    <w:rsid w:val="00133D3A"/>
    <w:rsid w:val="00136206"/>
    <w:rsid w:val="00140286"/>
    <w:rsid w:val="001471C1"/>
    <w:rsid w:val="00150EA5"/>
    <w:rsid w:val="001537CA"/>
    <w:rsid w:val="00157BBE"/>
    <w:rsid w:val="001600E2"/>
    <w:rsid w:val="001630B2"/>
    <w:rsid w:val="00164F5D"/>
    <w:rsid w:val="001656C7"/>
    <w:rsid w:val="0017062A"/>
    <w:rsid w:val="0017169E"/>
    <w:rsid w:val="00173D4C"/>
    <w:rsid w:val="00177CF1"/>
    <w:rsid w:val="00180F77"/>
    <w:rsid w:val="0018200F"/>
    <w:rsid w:val="0018638F"/>
    <w:rsid w:val="001901CE"/>
    <w:rsid w:val="00190380"/>
    <w:rsid w:val="00195401"/>
    <w:rsid w:val="001A03B9"/>
    <w:rsid w:val="001A1A7A"/>
    <w:rsid w:val="001A3387"/>
    <w:rsid w:val="001A53D7"/>
    <w:rsid w:val="001A6635"/>
    <w:rsid w:val="001B0EE9"/>
    <w:rsid w:val="001B43CC"/>
    <w:rsid w:val="001B65B3"/>
    <w:rsid w:val="001C1E50"/>
    <w:rsid w:val="001C601A"/>
    <w:rsid w:val="001C64C4"/>
    <w:rsid w:val="001C7D18"/>
    <w:rsid w:val="001D2742"/>
    <w:rsid w:val="001D35DE"/>
    <w:rsid w:val="001D5776"/>
    <w:rsid w:val="001D5C42"/>
    <w:rsid w:val="001D7202"/>
    <w:rsid w:val="001E317A"/>
    <w:rsid w:val="001E351B"/>
    <w:rsid w:val="001E60D6"/>
    <w:rsid w:val="001E78D3"/>
    <w:rsid w:val="001E7E4F"/>
    <w:rsid w:val="001F475D"/>
    <w:rsid w:val="001F55A6"/>
    <w:rsid w:val="001F670E"/>
    <w:rsid w:val="001F7178"/>
    <w:rsid w:val="00201661"/>
    <w:rsid w:val="00201DA0"/>
    <w:rsid w:val="00203605"/>
    <w:rsid w:val="00205BD4"/>
    <w:rsid w:val="00210CEB"/>
    <w:rsid w:val="00211EF7"/>
    <w:rsid w:val="0021223A"/>
    <w:rsid w:val="002124D5"/>
    <w:rsid w:val="0021317D"/>
    <w:rsid w:val="00213187"/>
    <w:rsid w:val="00215762"/>
    <w:rsid w:val="00222A26"/>
    <w:rsid w:val="00222AA9"/>
    <w:rsid w:val="00226D8C"/>
    <w:rsid w:val="00232178"/>
    <w:rsid w:val="00232F47"/>
    <w:rsid w:val="0023352A"/>
    <w:rsid w:val="002408EA"/>
    <w:rsid w:val="00252433"/>
    <w:rsid w:val="00254366"/>
    <w:rsid w:val="002544AD"/>
    <w:rsid w:val="0025505E"/>
    <w:rsid w:val="0025603E"/>
    <w:rsid w:val="00257705"/>
    <w:rsid w:val="00257B13"/>
    <w:rsid w:val="00260757"/>
    <w:rsid w:val="00260F2B"/>
    <w:rsid w:val="00275B6C"/>
    <w:rsid w:val="002819D7"/>
    <w:rsid w:val="00281FD5"/>
    <w:rsid w:val="00287008"/>
    <w:rsid w:val="002910D4"/>
    <w:rsid w:val="00293D9F"/>
    <w:rsid w:val="00294725"/>
    <w:rsid w:val="00294F60"/>
    <w:rsid w:val="00296D88"/>
    <w:rsid w:val="00297832"/>
    <w:rsid w:val="002A35D6"/>
    <w:rsid w:val="002A4D12"/>
    <w:rsid w:val="002A6195"/>
    <w:rsid w:val="002B078A"/>
    <w:rsid w:val="002B1DAE"/>
    <w:rsid w:val="002B4F3E"/>
    <w:rsid w:val="002B66B6"/>
    <w:rsid w:val="002B6CF0"/>
    <w:rsid w:val="002C1A7E"/>
    <w:rsid w:val="002C6DC6"/>
    <w:rsid w:val="002C7F11"/>
    <w:rsid w:val="002D1D16"/>
    <w:rsid w:val="002D23A1"/>
    <w:rsid w:val="002D2404"/>
    <w:rsid w:val="002D3376"/>
    <w:rsid w:val="002E144D"/>
    <w:rsid w:val="002E1D22"/>
    <w:rsid w:val="002E2970"/>
    <w:rsid w:val="002E533F"/>
    <w:rsid w:val="002E7175"/>
    <w:rsid w:val="002E75CB"/>
    <w:rsid w:val="002E77D3"/>
    <w:rsid w:val="002F3B89"/>
    <w:rsid w:val="00301720"/>
    <w:rsid w:val="0030448F"/>
    <w:rsid w:val="00307F11"/>
    <w:rsid w:val="00311B84"/>
    <w:rsid w:val="00311ED0"/>
    <w:rsid w:val="00312388"/>
    <w:rsid w:val="00313123"/>
    <w:rsid w:val="0031613F"/>
    <w:rsid w:val="00317F17"/>
    <w:rsid w:val="003221CF"/>
    <w:rsid w:val="00325353"/>
    <w:rsid w:val="00326D41"/>
    <w:rsid w:val="00334618"/>
    <w:rsid w:val="003369E9"/>
    <w:rsid w:val="00345374"/>
    <w:rsid w:val="0035005F"/>
    <w:rsid w:val="00352604"/>
    <w:rsid w:val="00354D18"/>
    <w:rsid w:val="00354D56"/>
    <w:rsid w:val="00357066"/>
    <w:rsid w:val="00361A21"/>
    <w:rsid w:val="003648C5"/>
    <w:rsid w:val="00370E61"/>
    <w:rsid w:val="0037108C"/>
    <w:rsid w:val="003722FA"/>
    <w:rsid w:val="00372F4E"/>
    <w:rsid w:val="0037336D"/>
    <w:rsid w:val="00373E7F"/>
    <w:rsid w:val="00376A77"/>
    <w:rsid w:val="003778D3"/>
    <w:rsid w:val="00377A04"/>
    <w:rsid w:val="003833DA"/>
    <w:rsid w:val="00390DC5"/>
    <w:rsid w:val="003910DD"/>
    <w:rsid w:val="0039182D"/>
    <w:rsid w:val="00392753"/>
    <w:rsid w:val="00397383"/>
    <w:rsid w:val="003A0AA4"/>
    <w:rsid w:val="003A5DD0"/>
    <w:rsid w:val="003B23F0"/>
    <w:rsid w:val="003B5CEE"/>
    <w:rsid w:val="003B647B"/>
    <w:rsid w:val="003C5FCF"/>
    <w:rsid w:val="003C78A3"/>
    <w:rsid w:val="003C7AAF"/>
    <w:rsid w:val="003D2546"/>
    <w:rsid w:val="003D3539"/>
    <w:rsid w:val="003D35EE"/>
    <w:rsid w:val="003D408B"/>
    <w:rsid w:val="003D537B"/>
    <w:rsid w:val="003D5806"/>
    <w:rsid w:val="003E0E9D"/>
    <w:rsid w:val="003E31EB"/>
    <w:rsid w:val="003E74E7"/>
    <w:rsid w:val="003E790A"/>
    <w:rsid w:val="003E7AFE"/>
    <w:rsid w:val="003F0A04"/>
    <w:rsid w:val="003F12B2"/>
    <w:rsid w:val="003F1C1C"/>
    <w:rsid w:val="003F36DF"/>
    <w:rsid w:val="003F4C7F"/>
    <w:rsid w:val="003F4D3C"/>
    <w:rsid w:val="003F5AC0"/>
    <w:rsid w:val="00401051"/>
    <w:rsid w:val="00401C03"/>
    <w:rsid w:val="00402745"/>
    <w:rsid w:val="00404956"/>
    <w:rsid w:val="0040575B"/>
    <w:rsid w:val="004075B6"/>
    <w:rsid w:val="00407F64"/>
    <w:rsid w:val="004106BB"/>
    <w:rsid w:val="0041500C"/>
    <w:rsid w:val="00416AB4"/>
    <w:rsid w:val="00417C75"/>
    <w:rsid w:val="00420952"/>
    <w:rsid w:val="004221BF"/>
    <w:rsid w:val="00424FED"/>
    <w:rsid w:val="004251FC"/>
    <w:rsid w:val="00426032"/>
    <w:rsid w:val="0042620D"/>
    <w:rsid w:val="00426C41"/>
    <w:rsid w:val="004330A4"/>
    <w:rsid w:val="0043555E"/>
    <w:rsid w:val="004357D0"/>
    <w:rsid w:val="004360A7"/>
    <w:rsid w:val="0043714C"/>
    <w:rsid w:val="00441B83"/>
    <w:rsid w:val="004434C6"/>
    <w:rsid w:val="00443F7C"/>
    <w:rsid w:val="00444EEA"/>
    <w:rsid w:val="00446BEE"/>
    <w:rsid w:val="0044765E"/>
    <w:rsid w:val="00450704"/>
    <w:rsid w:val="004518EB"/>
    <w:rsid w:val="00453F68"/>
    <w:rsid w:val="00454ADB"/>
    <w:rsid w:val="00454C50"/>
    <w:rsid w:val="00455F1E"/>
    <w:rsid w:val="0045778C"/>
    <w:rsid w:val="004611AA"/>
    <w:rsid w:val="0046320F"/>
    <w:rsid w:val="004648C1"/>
    <w:rsid w:val="00467517"/>
    <w:rsid w:val="00467EEA"/>
    <w:rsid w:val="0047337B"/>
    <w:rsid w:val="004753FB"/>
    <w:rsid w:val="00477EAF"/>
    <w:rsid w:val="00480C92"/>
    <w:rsid w:val="0048177A"/>
    <w:rsid w:val="00484F20"/>
    <w:rsid w:val="00485492"/>
    <w:rsid w:val="00494018"/>
    <w:rsid w:val="0049434C"/>
    <w:rsid w:val="0049463D"/>
    <w:rsid w:val="004948CD"/>
    <w:rsid w:val="004A0C13"/>
    <w:rsid w:val="004A3686"/>
    <w:rsid w:val="004A4B4F"/>
    <w:rsid w:val="004A4C15"/>
    <w:rsid w:val="004A6652"/>
    <w:rsid w:val="004B230F"/>
    <w:rsid w:val="004B2363"/>
    <w:rsid w:val="004B2688"/>
    <w:rsid w:val="004B2C8A"/>
    <w:rsid w:val="004B377A"/>
    <w:rsid w:val="004B3B56"/>
    <w:rsid w:val="004B3C14"/>
    <w:rsid w:val="004B64A5"/>
    <w:rsid w:val="004B6D7C"/>
    <w:rsid w:val="004B753C"/>
    <w:rsid w:val="004B7AA8"/>
    <w:rsid w:val="004B7AE4"/>
    <w:rsid w:val="004C0D7B"/>
    <w:rsid w:val="004C132A"/>
    <w:rsid w:val="004C1B7A"/>
    <w:rsid w:val="004C2C45"/>
    <w:rsid w:val="004C4B42"/>
    <w:rsid w:val="004C551E"/>
    <w:rsid w:val="004C5D7E"/>
    <w:rsid w:val="004D7D2D"/>
    <w:rsid w:val="004E5CEA"/>
    <w:rsid w:val="004E671C"/>
    <w:rsid w:val="004E6987"/>
    <w:rsid w:val="004E722D"/>
    <w:rsid w:val="004F1109"/>
    <w:rsid w:val="004F1C3C"/>
    <w:rsid w:val="004F28C7"/>
    <w:rsid w:val="004F3270"/>
    <w:rsid w:val="004F34DA"/>
    <w:rsid w:val="004F3F56"/>
    <w:rsid w:val="004F445A"/>
    <w:rsid w:val="004F44E3"/>
    <w:rsid w:val="004F5952"/>
    <w:rsid w:val="005006B4"/>
    <w:rsid w:val="005025A1"/>
    <w:rsid w:val="005036EF"/>
    <w:rsid w:val="00504991"/>
    <w:rsid w:val="005051B9"/>
    <w:rsid w:val="005054D2"/>
    <w:rsid w:val="00505D6D"/>
    <w:rsid w:val="00517754"/>
    <w:rsid w:val="0052213B"/>
    <w:rsid w:val="005225F7"/>
    <w:rsid w:val="00522718"/>
    <w:rsid w:val="00524651"/>
    <w:rsid w:val="00525F28"/>
    <w:rsid w:val="005317C6"/>
    <w:rsid w:val="005321BF"/>
    <w:rsid w:val="00534AFE"/>
    <w:rsid w:val="005351C2"/>
    <w:rsid w:val="00535473"/>
    <w:rsid w:val="00535B56"/>
    <w:rsid w:val="00536AE0"/>
    <w:rsid w:val="005410CE"/>
    <w:rsid w:val="00545F07"/>
    <w:rsid w:val="005539AC"/>
    <w:rsid w:val="005557C0"/>
    <w:rsid w:val="00560C85"/>
    <w:rsid w:val="00560D64"/>
    <w:rsid w:val="00563574"/>
    <w:rsid w:val="00563732"/>
    <w:rsid w:val="0056788F"/>
    <w:rsid w:val="0057192D"/>
    <w:rsid w:val="0057432D"/>
    <w:rsid w:val="005756B3"/>
    <w:rsid w:val="00585FCA"/>
    <w:rsid w:val="005860E6"/>
    <w:rsid w:val="005905A4"/>
    <w:rsid w:val="00591060"/>
    <w:rsid w:val="00594C3A"/>
    <w:rsid w:val="00595B57"/>
    <w:rsid w:val="005972FE"/>
    <w:rsid w:val="005973DF"/>
    <w:rsid w:val="00597796"/>
    <w:rsid w:val="00597A1D"/>
    <w:rsid w:val="005A02D5"/>
    <w:rsid w:val="005A2197"/>
    <w:rsid w:val="005A29BD"/>
    <w:rsid w:val="005A31A0"/>
    <w:rsid w:val="005A6EEE"/>
    <w:rsid w:val="005B04E6"/>
    <w:rsid w:val="005B1747"/>
    <w:rsid w:val="005B278F"/>
    <w:rsid w:val="005B2A4D"/>
    <w:rsid w:val="005B36A7"/>
    <w:rsid w:val="005B4DDC"/>
    <w:rsid w:val="005B748B"/>
    <w:rsid w:val="005B7959"/>
    <w:rsid w:val="005C0523"/>
    <w:rsid w:val="005C3EBD"/>
    <w:rsid w:val="005C651F"/>
    <w:rsid w:val="005C6FB4"/>
    <w:rsid w:val="005D062D"/>
    <w:rsid w:val="005D33B3"/>
    <w:rsid w:val="005D52CB"/>
    <w:rsid w:val="005D52D0"/>
    <w:rsid w:val="005D6A56"/>
    <w:rsid w:val="005D6DCF"/>
    <w:rsid w:val="005D732A"/>
    <w:rsid w:val="005E0871"/>
    <w:rsid w:val="005E37BC"/>
    <w:rsid w:val="005E7479"/>
    <w:rsid w:val="005F0197"/>
    <w:rsid w:val="005F5C6B"/>
    <w:rsid w:val="005F72A9"/>
    <w:rsid w:val="006040D6"/>
    <w:rsid w:val="00605695"/>
    <w:rsid w:val="00605ACE"/>
    <w:rsid w:val="00606E62"/>
    <w:rsid w:val="0061072A"/>
    <w:rsid w:val="0061117F"/>
    <w:rsid w:val="00614C3C"/>
    <w:rsid w:val="00621CC2"/>
    <w:rsid w:val="00624140"/>
    <w:rsid w:val="00625B3D"/>
    <w:rsid w:val="00627D65"/>
    <w:rsid w:val="00630907"/>
    <w:rsid w:val="006353D0"/>
    <w:rsid w:val="00635C77"/>
    <w:rsid w:val="00636ECE"/>
    <w:rsid w:val="00641562"/>
    <w:rsid w:val="00641DC7"/>
    <w:rsid w:val="006432D8"/>
    <w:rsid w:val="00644115"/>
    <w:rsid w:val="0064420A"/>
    <w:rsid w:val="0064590C"/>
    <w:rsid w:val="00650117"/>
    <w:rsid w:val="00651B3B"/>
    <w:rsid w:val="00652061"/>
    <w:rsid w:val="00653530"/>
    <w:rsid w:val="00653E25"/>
    <w:rsid w:val="0065453C"/>
    <w:rsid w:val="00654892"/>
    <w:rsid w:val="00654FD0"/>
    <w:rsid w:val="006660BF"/>
    <w:rsid w:val="00666CF3"/>
    <w:rsid w:val="006709A9"/>
    <w:rsid w:val="006775E5"/>
    <w:rsid w:val="00677687"/>
    <w:rsid w:val="006802A7"/>
    <w:rsid w:val="006844DE"/>
    <w:rsid w:val="00684AFE"/>
    <w:rsid w:val="006903C4"/>
    <w:rsid w:val="006921E1"/>
    <w:rsid w:val="006938F9"/>
    <w:rsid w:val="00696C0A"/>
    <w:rsid w:val="00696C25"/>
    <w:rsid w:val="006A14A8"/>
    <w:rsid w:val="006A28FB"/>
    <w:rsid w:val="006B1561"/>
    <w:rsid w:val="006B1EBC"/>
    <w:rsid w:val="006B3BE5"/>
    <w:rsid w:val="006B7A6E"/>
    <w:rsid w:val="006C2A9F"/>
    <w:rsid w:val="006C3E12"/>
    <w:rsid w:val="006C7DE8"/>
    <w:rsid w:val="006D4C33"/>
    <w:rsid w:val="006D6BC4"/>
    <w:rsid w:val="006D752D"/>
    <w:rsid w:val="006E3C13"/>
    <w:rsid w:val="006E4225"/>
    <w:rsid w:val="006E462F"/>
    <w:rsid w:val="006E580D"/>
    <w:rsid w:val="006E5A7E"/>
    <w:rsid w:val="006E6625"/>
    <w:rsid w:val="006E765A"/>
    <w:rsid w:val="006E7F17"/>
    <w:rsid w:val="006F5606"/>
    <w:rsid w:val="006F7F5A"/>
    <w:rsid w:val="0070011B"/>
    <w:rsid w:val="00702A5B"/>
    <w:rsid w:val="00706859"/>
    <w:rsid w:val="00706A36"/>
    <w:rsid w:val="00710217"/>
    <w:rsid w:val="00710B01"/>
    <w:rsid w:val="0071207B"/>
    <w:rsid w:val="00712664"/>
    <w:rsid w:val="0071311E"/>
    <w:rsid w:val="00714EE2"/>
    <w:rsid w:val="0071550D"/>
    <w:rsid w:val="007156DB"/>
    <w:rsid w:val="007224E4"/>
    <w:rsid w:val="00724766"/>
    <w:rsid w:val="00725CCA"/>
    <w:rsid w:val="007306A7"/>
    <w:rsid w:val="00736348"/>
    <w:rsid w:val="00736DE3"/>
    <w:rsid w:val="007400D7"/>
    <w:rsid w:val="0074306E"/>
    <w:rsid w:val="00747131"/>
    <w:rsid w:val="0075068E"/>
    <w:rsid w:val="00750BAA"/>
    <w:rsid w:val="007521B5"/>
    <w:rsid w:val="00763A01"/>
    <w:rsid w:val="0076483E"/>
    <w:rsid w:val="0076682B"/>
    <w:rsid w:val="00766D3A"/>
    <w:rsid w:val="0077243B"/>
    <w:rsid w:val="0077376B"/>
    <w:rsid w:val="00773FA2"/>
    <w:rsid w:val="0077540F"/>
    <w:rsid w:val="00776A8C"/>
    <w:rsid w:val="00776E57"/>
    <w:rsid w:val="00781BEC"/>
    <w:rsid w:val="00781C41"/>
    <w:rsid w:val="0078474A"/>
    <w:rsid w:val="00787892"/>
    <w:rsid w:val="00791EBF"/>
    <w:rsid w:val="007920B7"/>
    <w:rsid w:val="00792564"/>
    <w:rsid w:val="00796620"/>
    <w:rsid w:val="00796EE3"/>
    <w:rsid w:val="0079731B"/>
    <w:rsid w:val="007A56E3"/>
    <w:rsid w:val="007A5DFA"/>
    <w:rsid w:val="007B0D04"/>
    <w:rsid w:val="007B2AEC"/>
    <w:rsid w:val="007B4F6C"/>
    <w:rsid w:val="007B6484"/>
    <w:rsid w:val="007C0FD8"/>
    <w:rsid w:val="007C260B"/>
    <w:rsid w:val="007C446F"/>
    <w:rsid w:val="007C5857"/>
    <w:rsid w:val="007C72B4"/>
    <w:rsid w:val="007D138D"/>
    <w:rsid w:val="007D2DED"/>
    <w:rsid w:val="007D5808"/>
    <w:rsid w:val="007E0D14"/>
    <w:rsid w:val="007E18F7"/>
    <w:rsid w:val="007E52C3"/>
    <w:rsid w:val="007F08B6"/>
    <w:rsid w:val="007F206E"/>
    <w:rsid w:val="007F2362"/>
    <w:rsid w:val="007F26BB"/>
    <w:rsid w:val="007F7DF6"/>
    <w:rsid w:val="00801BAE"/>
    <w:rsid w:val="00804E26"/>
    <w:rsid w:val="008057E3"/>
    <w:rsid w:val="00812558"/>
    <w:rsid w:val="008138EA"/>
    <w:rsid w:val="00816ACF"/>
    <w:rsid w:val="008209DA"/>
    <w:rsid w:val="008230F9"/>
    <w:rsid w:val="00826E3A"/>
    <w:rsid w:val="0083015D"/>
    <w:rsid w:val="00833D8A"/>
    <w:rsid w:val="008356F2"/>
    <w:rsid w:val="00835F9B"/>
    <w:rsid w:val="0083683D"/>
    <w:rsid w:val="008371BA"/>
    <w:rsid w:val="008424D3"/>
    <w:rsid w:val="008430D6"/>
    <w:rsid w:val="0084312F"/>
    <w:rsid w:val="00845A78"/>
    <w:rsid w:val="008530EF"/>
    <w:rsid w:val="00853935"/>
    <w:rsid w:val="0085418A"/>
    <w:rsid w:val="00855CC8"/>
    <w:rsid w:val="00855E8E"/>
    <w:rsid w:val="00855FFB"/>
    <w:rsid w:val="008560B4"/>
    <w:rsid w:val="0085663F"/>
    <w:rsid w:val="008575DC"/>
    <w:rsid w:val="00857D7E"/>
    <w:rsid w:val="0086149C"/>
    <w:rsid w:val="00861611"/>
    <w:rsid w:val="00861B92"/>
    <w:rsid w:val="00863EE5"/>
    <w:rsid w:val="00864446"/>
    <w:rsid w:val="00872B04"/>
    <w:rsid w:val="00874231"/>
    <w:rsid w:val="008768C9"/>
    <w:rsid w:val="008814FB"/>
    <w:rsid w:val="0088162D"/>
    <w:rsid w:val="00881F08"/>
    <w:rsid w:val="00885B34"/>
    <w:rsid w:val="00887934"/>
    <w:rsid w:val="00887E07"/>
    <w:rsid w:val="0089039E"/>
    <w:rsid w:val="00891D92"/>
    <w:rsid w:val="00892B8E"/>
    <w:rsid w:val="00893028"/>
    <w:rsid w:val="00895B45"/>
    <w:rsid w:val="008A110E"/>
    <w:rsid w:val="008A41BF"/>
    <w:rsid w:val="008B1013"/>
    <w:rsid w:val="008B29C5"/>
    <w:rsid w:val="008B4C95"/>
    <w:rsid w:val="008B7763"/>
    <w:rsid w:val="008C2EF5"/>
    <w:rsid w:val="008C41A3"/>
    <w:rsid w:val="008C4571"/>
    <w:rsid w:val="008C6912"/>
    <w:rsid w:val="008D0C4E"/>
    <w:rsid w:val="008D1157"/>
    <w:rsid w:val="008D140D"/>
    <w:rsid w:val="008D2677"/>
    <w:rsid w:val="008D62C3"/>
    <w:rsid w:val="008E2E49"/>
    <w:rsid w:val="008E37E2"/>
    <w:rsid w:val="008E5D94"/>
    <w:rsid w:val="008E5FB5"/>
    <w:rsid w:val="008E7826"/>
    <w:rsid w:val="008E7B7A"/>
    <w:rsid w:val="008F293A"/>
    <w:rsid w:val="008F5E30"/>
    <w:rsid w:val="008F6FB7"/>
    <w:rsid w:val="00900063"/>
    <w:rsid w:val="0090419C"/>
    <w:rsid w:val="009113B2"/>
    <w:rsid w:val="00911ED6"/>
    <w:rsid w:val="00913015"/>
    <w:rsid w:val="00914CCD"/>
    <w:rsid w:val="00914D7F"/>
    <w:rsid w:val="009175AD"/>
    <w:rsid w:val="0091763B"/>
    <w:rsid w:val="00921A83"/>
    <w:rsid w:val="00922538"/>
    <w:rsid w:val="00923E20"/>
    <w:rsid w:val="00926375"/>
    <w:rsid w:val="00927FC6"/>
    <w:rsid w:val="00935C9C"/>
    <w:rsid w:val="00936143"/>
    <w:rsid w:val="00936EE8"/>
    <w:rsid w:val="009464AC"/>
    <w:rsid w:val="00953A71"/>
    <w:rsid w:val="00954705"/>
    <w:rsid w:val="00954C11"/>
    <w:rsid w:val="009562A6"/>
    <w:rsid w:val="00957018"/>
    <w:rsid w:val="0095720C"/>
    <w:rsid w:val="00960BEB"/>
    <w:rsid w:val="0096113F"/>
    <w:rsid w:val="00962F23"/>
    <w:rsid w:val="0096412C"/>
    <w:rsid w:val="00965C36"/>
    <w:rsid w:val="0097022D"/>
    <w:rsid w:val="009703B5"/>
    <w:rsid w:val="00970E2D"/>
    <w:rsid w:val="00970E64"/>
    <w:rsid w:val="0097265F"/>
    <w:rsid w:val="0097305A"/>
    <w:rsid w:val="009751E6"/>
    <w:rsid w:val="00981422"/>
    <w:rsid w:val="00982ECA"/>
    <w:rsid w:val="0098308C"/>
    <w:rsid w:val="00984906"/>
    <w:rsid w:val="00992C47"/>
    <w:rsid w:val="009936E0"/>
    <w:rsid w:val="00994513"/>
    <w:rsid w:val="00995246"/>
    <w:rsid w:val="00995ADE"/>
    <w:rsid w:val="009967F1"/>
    <w:rsid w:val="00996DB7"/>
    <w:rsid w:val="009A052C"/>
    <w:rsid w:val="009A539A"/>
    <w:rsid w:val="009A5792"/>
    <w:rsid w:val="009B0424"/>
    <w:rsid w:val="009B396A"/>
    <w:rsid w:val="009B50F5"/>
    <w:rsid w:val="009B5DA4"/>
    <w:rsid w:val="009B705E"/>
    <w:rsid w:val="009B780D"/>
    <w:rsid w:val="009B79FA"/>
    <w:rsid w:val="009C0710"/>
    <w:rsid w:val="009C2A06"/>
    <w:rsid w:val="009D1123"/>
    <w:rsid w:val="009D2E1E"/>
    <w:rsid w:val="009D2F80"/>
    <w:rsid w:val="009D3C42"/>
    <w:rsid w:val="009D66D9"/>
    <w:rsid w:val="009E087C"/>
    <w:rsid w:val="009E2056"/>
    <w:rsid w:val="009E30ED"/>
    <w:rsid w:val="009E481B"/>
    <w:rsid w:val="009E4CFC"/>
    <w:rsid w:val="009E6129"/>
    <w:rsid w:val="009E680B"/>
    <w:rsid w:val="009F53CB"/>
    <w:rsid w:val="00A06721"/>
    <w:rsid w:val="00A07373"/>
    <w:rsid w:val="00A07556"/>
    <w:rsid w:val="00A12CAB"/>
    <w:rsid w:val="00A14476"/>
    <w:rsid w:val="00A15A1F"/>
    <w:rsid w:val="00A16404"/>
    <w:rsid w:val="00A21478"/>
    <w:rsid w:val="00A2318E"/>
    <w:rsid w:val="00A256AE"/>
    <w:rsid w:val="00A32E65"/>
    <w:rsid w:val="00A3325A"/>
    <w:rsid w:val="00A36CA7"/>
    <w:rsid w:val="00A37D6C"/>
    <w:rsid w:val="00A4093F"/>
    <w:rsid w:val="00A40CBA"/>
    <w:rsid w:val="00A40D85"/>
    <w:rsid w:val="00A41641"/>
    <w:rsid w:val="00A416A5"/>
    <w:rsid w:val="00A43013"/>
    <w:rsid w:val="00A46885"/>
    <w:rsid w:val="00A5511F"/>
    <w:rsid w:val="00A555F5"/>
    <w:rsid w:val="00A55A0A"/>
    <w:rsid w:val="00A56CBC"/>
    <w:rsid w:val="00A579C1"/>
    <w:rsid w:val="00A6167B"/>
    <w:rsid w:val="00A61C85"/>
    <w:rsid w:val="00A62C34"/>
    <w:rsid w:val="00A648D5"/>
    <w:rsid w:val="00A64FDD"/>
    <w:rsid w:val="00A65C22"/>
    <w:rsid w:val="00A66A4E"/>
    <w:rsid w:val="00A72BA2"/>
    <w:rsid w:val="00A73AFE"/>
    <w:rsid w:val="00A73C00"/>
    <w:rsid w:val="00A744F2"/>
    <w:rsid w:val="00A801B6"/>
    <w:rsid w:val="00A84F48"/>
    <w:rsid w:val="00A86B6C"/>
    <w:rsid w:val="00A9052C"/>
    <w:rsid w:val="00A9322D"/>
    <w:rsid w:val="00AA053A"/>
    <w:rsid w:val="00AA50DB"/>
    <w:rsid w:val="00AB0275"/>
    <w:rsid w:val="00AB02D9"/>
    <w:rsid w:val="00AB4CB4"/>
    <w:rsid w:val="00AB5FA5"/>
    <w:rsid w:val="00AB6363"/>
    <w:rsid w:val="00AC1AB2"/>
    <w:rsid w:val="00AC1B9D"/>
    <w:rsid w:val="00AC6D9E"/>
    <w:rsid w:val="00AD12C2"/>
    <w:rsid w:val="00AD289B"/>
    <w:rsid w:val="00AD32DC"/>
    <w:rsid w:val="00AD383F"/>
    <w:rsid w:val="00AD3B77"/>
    <w:rsid w:val="00AD434D"/>
    <w:rsid w:val="00AD4911"/>
    <w:rsid w:val="00AD6C56"/>
    <w:rsid w:val="00AE1913"/>
    <w:rsid w:val="00AE1C41"/>
    <w:rsid w:val="00AE29F5"/>
    <w:rsid w:val="00AF07F1"/>
    <w:rsid w:val="00AF108A"/>
    <w:rsid w:val="00AF1587"/>
    <w:rsid w:val="00B02E55"/>
    <w:rsid w:val="00B036C1"/>
    <w:rsid w:val="00B03EFA"/>
    <w:rsid w:val="00B05FDC"/>
    <w:rsid w:val="00B06117"/>
    <w:rsid w:val="00B066AF"/>
    <w:rsid w:val="00B07F99"/>
    <w:rsid w:val="00B1206E"/>
    <w:rsid w:val="00B13F69"/>
    <w:rsid w:val="00B20B94"/>
    <w:rsid w:val="00B21079"/>
    <w:rsid w:val="00B22B5E"/>
    <w:rsid w:val="00B270A1"/>
    <w:rsid w:val="00B34B08"/>
    <w:rsid w:val="00B3540B"/>
    <w:rsid w:val="00B40AA9"/>
    <w:rsid w:val="00B41539"/>
    <w:rsid w:val="00B52582"/>
    <w:rsid w:val="00B5431F"/>
    <w:rsid w:val="00B54C11"/>
    <w:rsid w:val="00B56D20"/>
    <w:rsid w:val="00B60061"/>
    <w:rsid w:val="00B6055D"/>
    <w:rsid w:val="00B626A9"/>
    <w:rsid w:val="00B63215"/>
    <w:rsid w:val="00B644E6"/>
    <w:rsid w:val="00B64965"/>
    <w:rsid w:val="00B650FD"/>
    <w:rsid w:val="00B65A11"/>
    <w:rsid w:val="00B65DA8"/>
    <w:rsid w:val="00B7463F"/>
    <w:rsid w:val="00B7547F"/>
    <w:rsid w:val="00B75946"/>
    <w:rsid w:val="00B771E1"/>
    <w:rsid w:val="00B80B0E"/>
    <w:rsid w:val="00B82C20"/>
    <w:rsid w:val="00B83FF4"/>
    <w:rsid w:val="00B84C0B"/>
    <w:rsid w:val="00B86174"/>
    <w:rsid w:val="00B90548"/>
    <w:rsid w:val="00B94F5D"/>
    <w:rsid w:val="00B96CCA"/>
    <w:rsid w:val="00B97CB8"/>
    <w:rsid w:val="00BA6654"/>
    <w:rsid w:val="00BA6FC5"/>
    <w:rsid w:val="00BB1806"/>
    <w:rsid w:val="00BB31C6"/>
    <w:rsid w:val="00BB4D9C"/>
    <w:rsid w:val="00BB65EE"/>
    <w:rsid w:val="00BB72B4"/>
    <w:rsid w:val="00BC184B"/>
    <w:rsid w:val="00BC37E6"/>
    <w:rsid w:val="00BC4667"/>
    <w:rsid w:val="00BC5166"/>
    <w:rsid w:val="00BD44F4"/>
    <w:rsid w:val="00BE0095"/>
    <w:rsid w:val="00BE106D"/>
    <w:rsid w:val="00BE194C"/>
    <w:rsid w:val="00BF0262"/>
    <w:rsid w:val="00BF3481"/>
    <w:rsid w:val="00BF4061"/>
    <w:rsid w:val="00BF47AE"/>
    <w:rsid w:val="00BF5868"/>
    <w:rsid w:val="00BF6F9F"/>
    <w:rsid w:val="00BF7FE0"/>
    <w:rsid w:val="00C00E88"/>
    <w:rsid w:val="00C02F01"/>
    <w:rsid w:val="00C032D4"/>
    <w:rsid w:val="00C04024"/>
    <w:rsid w:val="00C045B4"/>
    <w:rsid w:val="00C17474"/>
    <w:rsid w:val="00C175EA"/>
    <w:rsid w:val="00C20396"/>
    <w:rsid w:val="00C23A04"/>
    <w:rsid w:val="00C2674C"/>
    <w:rsid w:val="00C27256"/>
    <w:rsid w:val="00C31AA0"/>
    <w:rsid w:val="00C3496C"/>
    <w:rsid w:val="00C36044"/>
    <w:rsid w:val="00C41A0D"/>
    <w:rsid w:val="00C41FFD"/>
    <w:rsid w:val="00C43572"/>
    <w:rsid w:val="00C4497C"/>
    <w:rsid w:val="00C6497C"/>
    <w:rsid w:val="00C66097"/>
    <w:rsid w:val="00C70F32"/>
    <w:rsid w:val="00C71C93"/>
    <w:rsid w:val="00C72BF4"/>
    <w:rsid w:val="00C77B9F"/>
    <w:rsid w:val="00C77C66"/>
    <w:rsid w:val="00C80212"/>
    <w:rsid w:val="00C81F4D"/>
    <w:rsid w:val="00C84716"/>
    <w:rsid w:val="00C85682"/>
    <w:rsid w:val="00C861F2"/>
    <w:rsid w:val="00C92377"/>
    <w:rsid w:val="00C95170"/>
    <w:rsid w:val="00C955B2"/>
    <w:rsid w:val="00C96411"/>
    <w:rsid w:val="00C9750F"/>
    <w:rsid w:val="00CA0EAA"/>
    <w:rsid w:val="00CA73F1"/>
    <w:rsid w:val="00CB2369"/>
    <w:rsid w:val="00CB24F3"/>
    <w:rsid w:val="00CB42A1"/>
    <w:rsid w:val="00CB5557"/>
    <w:rsid w:val="00CB5F95"/>
    <w:rsid w:val="00CB6D41"/>
    <w:rsid w:val="00CC1751"/>
    <w:rsid w:val="00CC2833"/>
    <w:rsid w:val="00CC3771"/>
    <w:rsid w:val="00CC6EB5"/>
    <w:rsid w:val="00CC7243"/>
    <w:rsid w:val="00CD1D0E"/>
    <w:rsid w:val="00CD380C"/>
    <w:rsid w:val="00CD68B8"/>
    <w:rsid w:val="00CE0E11"/>
    <w:rsid w:val="00CE23DC"/>
    <w:rsid w:val="00CE2607"/>
    <w:rsid w:val="00CE7B2A"/>
    <w:rsid w:val="00CF0C2E"/>
    <w:rsid w:val="00CF1395"/>
    <w:rsid w:val="00CF2E5C"/>
    <w:rsid w:val="00CF58B7"/>
    <w:rsid w:val="00CF744E"/>
    <w:rsid w:val="00D0208E"/>
    <w:rsid w:val="00D02A8F"/>
    <w:rsid w:val="00D04D4A"/>
    <w:rsid w:val="00D059B2"/>
    <w:rsid w:val="00D104D1"/>
    <w:rsid w:val="00D13DF0"/>
    <w:rsid w:val="00D1655C"/>
    <w:rsid w:val="00D1699D"/>
    <w:rsid w:val="00D17E6B"/>
    <w:rsid w:val="00D2473D"/>
    <w:rsid w:val="00D24F98"/>
    <w:rsid w:val="00D30484"/>
    <w:rsid w:val="00D315B5"/>
    <w:rsid w:val="00D3241B"/>
    <w:rsid w:val="00D33747"/>
    <w:rsid w:val="00D33B2C"/>
    <w:rsid w:val="00D351C1"/>
    <w:rsid w:val="00D35EFB"/>
    <w:rsid w:val="00D36DD9"/>
    <w:rsid w:val="00D43527"/>
    <w:rsid w:val="00D47D55"/>
    <w:rsid w:val="00D504B3"/>
    <w:rsid w:val="00D55C1D"/>
    <w:rsid w:val="00D57F77"/>
    <w:rsid w:val="00D60B06"/>
    <w:rsid w:val="00D61389"/>
    <w:rsid w:val="00D63AFC"/>
    <w:rsid w:val="00D65584"/>
    <w:rsid w:val="00D71674"/>
    <w:rsid w:val="00D74B9A"/>
    <w:rsid w:val="00D75C71"/>
    <w:rsid w:val="00D84166"/>
    <w:rsid w:val="00D85AB8"/>
    <w:rsid w:val="00D85B01"/>
    <w:rsid w:val="00D85DDF"/>
    <w:rsid w:val="00D86BF0"/>
    <w:rsid w:val="00D92D78"/>
    <w:rsid w:val="00D934DC"/>
    <w:rsid w:val="00D93A4C"/>
    <w:rsid w:val="00D96D85"/>
    <w:rsid w:val="00D97D49"/>
    <w:rsid w:val="00DA0964"/>
    <w:rsid w:val="00DA156D"/>
    <w:rsid w:val="00DA1B10"/>
    <w:rsid w:val="00DA2133"/>
    <w:rsid w:val="00DA460F"/>
    <w:rsid w:val="00DA632C"/>
    <w:rsid w:val="00DB098F"/>
    <w:rsid w:val="00DB2161"/>
    <w:rsid w:val="00DC12BA"/>
    <w:rsid w:val="00DC4E10"/>
    <w:rsid w:val="00DC5BEF"/>
    <w:rsid w:val="00DC6287"/>
    <w:rsid w:val="00DD21F3"/>
    <w:rsid w:val="00DD7966"/>
    <w:rsid w:val="00DE4011"/>
    <w:rsid w:val="00DE4F5E"/>
    <w:rsid w:val="00DE663B"/>
    <w:rsid w:val="00DE7F2D"/>
    <w:rsid w:val="00DF07F9"/>
    <w:rsid w:val="00DF4E6F"/>
    <w:rsid w:val="00DF55B4"/>
    <w:rsid w:val="00DF5F34"/>
    <w:rsid w:val="00DF6636"/>
    <w:rsid w:val="00DF66F4"/>
    <w:rsid w:val="00DF7FBD"/>
    <w:rsid w:val="00E02817"/>
    <w:rsid w:val="00E033C7"/>
    <w:rsid w:val="00E03ABF"/>
    <w:rsid w:val="00E1309C"/>
    <w:rsid w:val="00E13A3D"/>
    <w:rsid w:val="00E14172"/>
    <w:rsid w:val="00E1777B"/>
    <w:rsid w:val="00E20659"/>
    <w:rsid w:val="00E21D76"/>
    <w:rsid w:val="00E243E7"/>
    <w:rsid w:val="00E25C46"/>
    <w:rsid w:val="00E26A64"/>
    <w:rsid w:val="00E273A3"/>
    <w:rsid w:val="00E30815"/>
    <w:rsid w:val="00E32677"/>
    <w:rsid w:val="00E332E4"/>
    <w:rsid w:val="00E40FE1"/>
    <w:rsid w:val="00E429C6"/>
    <w:rsid w:val="00E42C2A"/>
    <w:rsid w:val="00E45187"/>
    <w:rsid w:val="00E4729A"/>
    <w:rsid w:val="00E51079"/>
    <w:rsid w:val="00E51920"/>
    <w:rsid w:val="00E5256C"/>
    <w:rsid w:val="00E54542"/>
    <w:rsid w:val="00E55160"/>
    <w:rsid w:val="00E559BB"/>
    <w:rsid w:val="00E55C2E"/>
    <w:rsid w:val="00E57005"/>
    <w:rsid w:val="00E57AE6"/>
    <w:rsid w:val="00E61A8A"/>
    <w:rsid w:val="00E61E2E"/>
    <w:rsid w:val="00E64120"/>
    <w:rsid w:val="00E660A1"/>
    <w:rsid w:val="00E67CED"/>
    <w:rsid w:val="00E72539"/>
    <w:rsid w:val="00E72AE9"/>
    <w:rsid w:val="00E73770"/>
    <w:rsid w:val="00E7415F"/>
    <w:rsid w:val="00E76AFC"/>
    <w:rsid w:val="00E84D54"/>
    <w:rsid w:val="00E851C4"/>
    <w:rsid w:val="00E86F2C"/>
    <w:rsid w:val="00E909A4"/>
    <w:rsid w:val="00E958AA"/>
    <w:rsid w:val="00E95D91"/>
    <w:rsid w:val="00E96426"/>
    <w:rsid w:val="00E96BAB"/>
    <w:rsid w:val="00EA4091"/>
    <w:rsid w:val="00EA5237"/>
    <w:rsid w:val="00EA5773"/>
    <w:rsid w:val="00EA61C7"/>
    <w:rsid w:val="00EB096F"/>
    <w:rsid w:val="00EB244C"/>
    <w:rsid w:val="00EB5476"/>
    <w:rsid w:val="00EB58EC"/>
    <w:rsid w:val="00EB6565"/>
    <w:rsid w:val="00EB7039"/>
    <w:rsid w:val="00EC6805"/>
    <w:rsid w:val="00EE0BBC"/>
    <w:rsid w:val="00EE26BE"/>
    <w:rsid w:val="00EF2897"/>
    <w:rsid w:val="00EF33F4"/>
    <w:rsid w:val="00F01299"/>
    <w:rsid w:val="00F055F1"/>
    <w:rsid w:val="00F13339"/>
    <w:rsid w:val="00F14A4E"/>
    <w:rsid w:val="00F16FAA"/>
    <w:rsid w:val="00F170DD"/>
    <w:rsid w:val="00F247EC"/>
    <w:rsid w:val="00F24DEB"/>
    <w:rsid w:val="00F25E82"/>
    <w:rsid w:val="00F3107C"/>
    <w:rsid w:val="00F320D4"/>
    <w:rsid w:val="00F33B3D"/>
    <w:rsid w:val="00F34579"/>
    <w:rsid w:val="00F34598"/>
    <w:rsid w:val="00F3484B"/>
    <w:rsid w:val="00F35E39"/>
    <w:rsid w:val="00F36C36"/>
    <w:rsid w:val="00F43C3F"/>
    <w:rsid w:val="00F442DD"/>
    <w:rsid w:val="00F44A9F"/>
    <w:rsid w:val="00F535E3"/>
    <w:rsid w:val="00F53822"/>
    <w:rsid w:val="00F56E42"/>
    <w:rsid w:val="00F605F1"/>
    <w:rsid w:val="00F610AF"/>
    <w:rsid w:val="00F623FB"/>
    <w:rsid w:val="00F63148"/>
    <w:rsid w:val="00F70BA6"/>
    <w:rsid w:val="00F75A35"/>
    <w:rsid w:val="00F76B85"/>
    <w:rsid w:val="00F76E21"/>
    <w:rsid w:val="00F814EF"/>
    <w:rsid w:val="00F82F0E"/>
    <w:rsid w:val="00F832E2"/>
    <w:rsid w:val="00F85151"/>
    <w:rsid w:val="00F85183"/>
    <w:rsid w:val="00F860D4"/>
    <w:rsid w:val="00F876B3"/>
    <w:rsid w:val="00F878AF"/>
    <w:rsid w:val="00F91063"/>
    <w:rsid w:val="00F92539"/>
    <w:rsid w:val="00F9379E"/>
    <w:rsid w:val="00F93F21"/>
    <w:rsid w:val="00F94DE0"/>
    <w:rsid w:val="00F97A3D"/>
    <w:rsid w:val="00FA0019"/>
    <w:rsid w:val="00FA0CD9"/>
    <w:rsid w:val="00FA2178"/>
    <w:rsid w:val="00FA2AEA"/>
    <w:rsid w:val="00FA2C5A"/>
    <w:rsid w:val="00FA680B"/>
    <w:rsid w:val="00FB062E"/>
    <w:rsid w:val="00FB076A"/>
    <w:rsid w:val="00FB2BBC"/>
    <w:rsid w:val="00FB6A53"/>
    <w:rsid w:val="00FB75A7"/>
    <w:rsid w:val="00FB7D05"/>
    <w:rsid w:val="00FC1558"/>
    <w:rsid w:val="00FC2D11"/>
    <w:rsid w:val="00FC4B81"/>
    <w:rsid w:val="00FC6230"/>
    <w:rsid w:val="00FC64A2"/>
    <w:rsid w:val="00FD3E59"/>
    <w:rsid w:val="00FD4659"/>
    <w:rsid w:val="00FD609B"/>
    <w:rsid w:val="00FE138C"/>
    <w:rsid w:val="00FF30AF"/>
    <w:rsid w:val="00FF3D43"/>
    <w:rsid w:val="00FF3EA4"/>
    <w:rsid w:val="00FF5510"/>
    <w:rsid w:val="00FF61E7"/>
    <w:rsid w:val="01453781"/>
    <w:rsid w:val="01A149C0"/>
    <w:rsid w:val="051EF4F5"/>
    <w:rsid w:val="06A52601"/>
    <w:rsid w:val="081B0BAA"/>
    <w:rsid w:val="095528BD"/>
    <w:rsid w:val="0C8DDB1F"/>
    <w:rsid w:val="0D27473E"/>
    <w:rsid w:val="0D91765D"/>
    <w:rsid w:val="10AB1DE4"/>
    <w:rsid w:val="12ADDAF3"/>
    <w:rsid w:val="167CBCA7"/>
    <w:rsid w:val="1950D7BC"/>
    <w:rsid w:val="19774A4F"/>
    <w:rsid w:val="197BC498"/>
    <w:rsid w:val="1AECA81D"/>
    <w:rsid w:val="1C88787E"/>
    <w:rsid w:val="1CA580C6"/>
    <w:rsid w:val="1D54FF6B"/>
    <w:rsid w:val="25221B44"/>
    <w:rsid w:val="2523CEAD"/>
    <w:rsid w:val="253FBFEC"/>
    <w:rsid w:val="259C6A6C"/>
    <w:rsid w:val="25F49284"/>
    <w:rsid w:val="26100C44"/>
    <w:rsid w:val="26BF9F0E"/>
    <w:rsid w:val="26FCDE69"/>
    <w:rsid w:val="2704E292"/>
    <w:rsid w:val="27630944"/>
    <w:rsid w:val="27A7CBCF"/>
    <w:rsid w:val="27ABDCA5"/>
    <w:rsid w:val="27B69203"/>
    <w:rsid w:val="29F73FD0"/>
    <w:rsid w:val="2B931031"/>
    <w:rsid w:val="2C06F566"/>
    <w:rsid w:val="30AAB17D"/>
    <w:rsid w:val="3392959B"/>
    <w:rsid w:val="348D6195"/>
    <w:rsid w:val="34BDEA88"/>
    <w:rsid w:val="36A62176"/>
    <w:rsid w:val="37F06CFE"/>
    <w:rsid w:val="3ADB1FFE"/>
    <w:rsid w:val="3AFF0B67"/>
    <w:rsid w:val="3B118447"/>
    <w:rsid w:val="3C07EFEA"/>
    <w:rsid w:val="3DFFF78B"/>
    <w:rsid w:val="3EBB115A"/>
    <w:rsid w:val="3FAAC695"/>
    <w:rsid w:val="41573FB4"/>
    <w:rsid w:val="42753707"/>
    <w:rsid w:val="45A25A13"/>
    <w:rsid w:val="462AB0D7"/>
    <w:rsid w:val="46722B29"/>
    <w:rsid w:val="47090557"/>
    <w:rsid w:val="47A2A68E"/>
    <w:rsid w:val="48AED26C"/>
    <w:rsid w:val="4AA46646"/>
    <w:rsid w:val="4C119B97"/>
    <w:rsid w:val="4C37E5CF"/>
    <w:rsid w:val="4DAD6BF8"/>
    <w:rsid w:val="4F3FB2BF"/>
    <w:rsid w:val="58D277C8"/>
    <w:rsid w:val="59300368"/>
    <w:rsid w:val="5936AC4B"/>
    <w:rsid w:val="5A537823"/>
    <w:rsid w:val="5ADFDFE3"/>
    <w:rsid w:val="5CB803AB"/>
    <w:rsid w:val="5CC86F6A"/>
    <w:rsid w:val="5DD8AEA6"/>
    <w:rsid w:val="5E261F86"/>
    <w:rsid w:val="5EC193F9"/>
    <w:rsid w:val="5F0E32E5"/>
    <w:rsid w:val="5FEFA46D"/>
    <w:rsid w:val="6117EF4E"/>
    <w:rsid w:val="61672D7E"/>
    <w:rsid w:val="64D00A47"/>
    <w:rsid w:val="6AB3B86C"/>
    <w:rsid w:val="6C8912E6"/>
    <w:rsid w:val="6FA9A750"/>
    <w:rsid w:val="6FED4026"/>
    <w:rsid w:val="7063392E"/>
    <w:rsid w:val="706F363C"/>
    <w:rsid w:val="74C1611F"/>
    <w:rsid w:val="770B4130"/>
    <w:rsid w:val="774FA451"/>
    <w:rsid w:val="7799CE02"/>
    <w:rsid w:val="792149D2"/>
    <w:rsid w:val="7DFDF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E61"/>
    <w:rPr>
      <w:sz w:val="24"/>
      <w:szCs w:val="24"/>
      <w:lang w:eastAsia="en-US"/>
    </w:rPr>
  </w:style>
  <w:style w:type="paragraph" w:styleId="Heading1">
    <w:name w:val="heading 1"/>
    <w:basedOn w:val="Normal"/>
    <w:next w:val="NICEnormal"/>
    <w:link w:val="Heading1Char"/>
    <w:qFormat/>
    <w:rsid w:val="00370E6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70E6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70E61"/>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370E6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370E61"/>
    <w:pPr>
      <w:numPr>
        <w:numId w:val="27"/>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370E61"/>
    <w:rPr>
      <w:rFonts w:ascii="Arial" w:hAnsi="Arial" w:cs="Arial"/>
      <w:b/>
      <w:bCs/>
      <w:kern w:val="32"/>
      <w:sz w:val="32"/>
      <w:szCs w:val="32"/>
      <w:lang w:eastAsia="en-US"/>
    </w:rPr>
  </w:style>
  <w:style w:type="paragraph" w:customStyle="1" w:styleId="Bullets">
    <w:name w:val="Bullets"/>
    <w:basedOn w:val="Normal"/>
    <w:uiPriority w:val="5"/>
    <w:qFormat/>
    <w:rsid w:val="00370E61"/>
    <w:pPr>
      <w:spacing w:after="120" w:line="276" w:lineRule="auto"/>
      <w:ind w:left="1134" w:hanging="454"/>
    </w:pPr>
    <w:rPr>
      <w:rFonts w:ascii="Arial" w:hAnsi="Arial"/>
      <w:lang w:eastAsia="en-GB"/>
    </w:rPr>
  </w:style>
  <w:style w:type="paragraph" w:styleId="Header">
    <w:name w:val="header"/>
    <w:basedOn w:val="NICEnormalsinglespacing"/>
    <w:link w:val="HeaderChar"/>
    <w:rsid w:val="00370E61"/>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370E61"/>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370E61"/>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370E61"/>
    <w:rPr>
      <w:rFonts w:ascii="Arial" w:hAnsi="Arial" w:cs="Arial"/>
      <w:b/>
      <w:bCs/>
      <w:sz w:val="28"/>
      <w:szCs w:val="28"/>
      <w:lang w:eastAsia="en-US"/>
    </w:rPr>
  </w:style>
  <w:style w:type="character" w:customStyle="1" w:styleId="Heading3Char">
    <w:name w:val="Heading 3 Char"/>
    <w:basedOn w:val="DefaultParagraphFont"/>
    <w:link w:val="Heading3"/>
    <w:rsid w:val="00370E61"/>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uiPriority w:val="39"/>
    <w:rsid w:val="00370E61"/>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370E61"/>
    <w:pPr>
      <w:keepNext/>
      <w:spacing w:after="200"/>
    </w:pPr>
    <w:rPr>
      <w:b/>
      <w:bCs/>
      <w:iCs/>
      <w:szCs w:val="18"/>
    </w:rPr>
  </w:style>
  <w:style w:type="character" w:styleId="Hyperlink">
    <w:name w:val="Hyperlink"/>
    <w:uiPriority w:val="99"/>
    <w:rsid w:val="00370E61"/>
    <w:rPr>
      <w:color w:val="0000FF"/>
      <w:u w:val="single"/>
    </w:rPr>
  </w:style>
  <w:style w:type="table" w:customStyle="1" w:styleId="PanelDefault">
    <w:name w:val="Panel (Default)"/>
    <w:basedOn w:val="TableNormal"/>
    <w:uiPriority w:val="99"/>
    <w:rsid w:val="00370E6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70E6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370E6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370E61"/>
    <w:pPr>
      <w:keepNext/>
      <w:spacing w:after="60"/>
    </w:pPr>
    <w:rPr>
      <w:sz w:val="22"/>
    </w:rPr>
  </w:style>
  <w:style w:type="paragraph" w:customStyle="1" w:styleId="Tablebullet">
    <w:name w:val="Table bullet"/>
    <w:basedOn w:val="Tabletext"/>
    <w:qFormat/>
    <w:rsid w:val="00370E61"/>
    <w:pPr>
      <w:numPr>
        <w:numId w:val="29"/>
      </w:numPr>
    </w:pPr>
  </w:style>
  <w:style w:type="table" w:styleId="TableGrid">
    <w:name w:val="Table Grid"/>
    <w:basedOn w:val="TableNormal"/>
    <w:rsid w:val="0037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370E61"/>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370E61"/>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370E61"/>
    <w:rPr>
      <w:sz w:val="16"/>
      <w:szCs w:val="16"/>
    </w:rPr>
  </w:style>
  <w:style w:type="paragraph" w:styleId="CommentText">
    <w:name w:val="annotation text"/>
    <w:basedOn w:val="Normal"/>
    <w:link w:val="CommentTextChar"/>
    <w:qFormat/>
    <w:rsid w:val="00370E61"/>
    <w:rPr>
      <w:sz w:val="20"/>
      <w:szCs w:val="20"/>
      <w:lang w:val="x-none"/>
    </w:rPr>
  </w:style>
  <w:style w:type="character" w:customStyle="1" w:styleId="CommentTextChar">
    <w:name w:val="Comment Text Char"/>
    <w:link w:val="CommentText"/>
    <w:qFormat/>
    <w:rsid w:val="00370E61"/>
    <w:rPr>
      <w:lang w:val="x-none" w:eastAsia="en-US"/>
    </w:rPr>
  </w:style>
  <w:style w:type="paragraph" w:styleId="CommentSubject">
    <w:name w:val="annotation subject"/>
    <w:basedOn w:val="CommentText"/>
    <w:next w:val="CommentText"/>
    <w:link w:val="CommentSubjectChar"/>
    <w:semiHidden/>
    <w:rsid w:val="00370E61"/>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370E61"/>
    <w:pPr>
      <w:ind w:left="720"/>
      <w:contextualSpacing/>
    </w:pPr>
    <w:rPr>
      <w:lang w:eastAsia="en-GB"/>
    </w:rPr>
  </w:style>
  <w:style w:type="paragraph" w:customStyle="1" w:styleId="NICEnormalsinglespacing">
    <w:name w:val="NICE normal single spacing"/>
    <w:basedOn w:val="NICEnormal"/>
    <w:rsid w:val="00370E61"/>
    <w:pPr>
      <w:spacing w:line="240" w:lineRule="auto"/>
    </w:pPr>
  </w:style>
  <w:style w:type="paragraph" w:customStyle="1" w:styleId="NICEnormal">
    <w:name w:val="NICE normal"/>
    <w:link w:val="NICEnormalChar"/>
    <w:qFormat/>
    <w:rsid w:val="00370E61"/>
    <w:pPr>
      <w:spacing w:after="240" w:line="360" w:lineRule="auto"/>
    </w:pPr>
    <w:rPr>
      <w:rFonts w:ascii="Arial" w:hAnsi="Arial"/>
      <w:sz w:val="24"/>
      <w:szCs w:val="24"/>
      <w:lang w:eastAsia="en-US"/>
    </w:rPr>
  </w:style>
  <w:style w:type="character" w:customStyle="1" w:styleId="NICEnormalChar">
    <w:name w:val="NICE normal Char"/>
    <w:link w:val="NICEnormal"/>
    <w:rsid w:val="00370E61"/>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370E61"/>
    <w:pPr>
      <w:numPr>
        <w:numId w:val="30"/>
      </w:numPr>
    </w:pPr>
    <w:rPr>
      <w:szCs w:val="24"/>
    </w:rPr>
  </w:style>
  <w:style w:type="character" w:customStyle="1" w:styleId="Numberedheading1CharChar">
    <w:name w:val="Numbered heading 1 Char Char"/>
    <w:link w:val="Numberedheading1"/>
    <w:rsid w:val="00370E61"/>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7E18F7"/>
    <w:pPr>
      <w:numPr>
        <w:ilvl w:val="1"/>
        <w:numId w:val="30"/>
      </w:numPr>
      <w:ind w:left="1134"/>
    </w:pPr>
  </w:style>
  <w:style w:type="character" w:customStyle="1" w:styleId="Numberedheading2Char">
    <w:name w:val="Numbered heading 2 Char"/>
    <w:basedOn w:val="Heading2Char"/>
    <w:link w:val="Numberedheading2"/>
    <w:rsid w:val="007E18F7"/>
    <w:rPr>
      <w:rFonts w:ascii="Arial" w:hAnsi="Arial" w:cs="Arial"/>
      <w:b/>
      <w:bCs/>
      <w:sz w:val="28"/>
      <w:szCs w:val="28"/>
      <w:lang w:eastAsia="en-US"/>
    </w:rPr>
  </w:style>
  <w:style w:type="character" w:styleId="PlaceholderText">
    <w:name w:val="Placeholder Text"/>
    <w:basedOn w:val="DefaultParagraphFont"/>
    <w:uiPriority w:val="99"/>
    <w:semiHidden/>
    <w:rsid w:val="00370E61"/>
    <w:rPr>
      <w:color w:val="808080"/>
    </w:rPr>
  </w:style>
  <w:style w:type="paragraph" w:customStyle="1" w:styleId="Title1">
    <w:name w:val="Title 1"/>
    <w:basedOn w:val="Normal"/>
    <w:qFormat/>
    <w:rsid w:val="00370E61"/>
    <w:pPr>
      <w:keepNext/>
      <w:spacing w:before="240" w:after="240"/>
      <w:jc w:val="center"/>
      <w:outlineLvl w:val="0"/>
    </w:pPr>
    <w:rPr>
      <w:rFonts w:ascii="Arial" w:hAnsi="Arial" w:cs="Arial"/>
      <w:b/>
      <w:bCs/>
      <w:kern w:val="28"/>
      <w:sz w:val="40"/>
      <w:szCs w:val="32"/>
    </w:rPr>
  </w:style>
  <w:style w:type="character" w:customStyle="1" w:styleId="normaltextrun">
    <w:name w:val="normaltextrun"/>
    <w:basedOn w:val="DefaultParagraphFont"/>
    <w:rsid w:val="00370E61"/>
  </w:style>
  <w:style w:type="character" w:customStyle="1" w:styleId="eop">
    <w:name w:val="eop"/>
    <w:basedOn w:val="DefaultParagraphFont"/>
    <w:rsid w:val="004434C6"/>
  </w:style>
  <w:style w:type="paragraph" w:customStyle="1" w:styleId="Bulletindent1">
    <w:name w:val="Bullet indent 1"/>
    <w:basedOn w:val="NICEnormal"/>
    <w:link w:val="Bulletindent1Char"/>
    <w:rsid w:val="00370E61"/>
    <w:pPr>
      <w:numPr>
        <w:numId w:val="15"/>
      </w:numPr>
      <w:spacing w:after="0"/>
    </w:pPr>
  </w:style>
  <w:style w:type="character" w:customStyle="1" w:styleId="Bulletindent1Char">
    <w:name w:val="Bullet indent 1 Char"/>
    <w:link w:val="Bulletindent1"/>
    <w:rsid w:val="00370E61"/>
    <w:rPr>
      <w:rFonts w:ascii="Arial" w:hAnsi="Arial"/>
      <w:sz w:val="24"/>
      <w:szCs w:val="24"/>
      <w:lang w:eastAsia="en-US"/>
    </w:rPr>
  </w:style>
  <w:style w:type="paragraph" w:customStyle="1" w:styleId="Bulletindent1last">
    <w:name w:val="Bullet indent 1 last"/>
    <w:basedOn w:val="NICEnormal"/>
    <w:next w:val="NICEnormal"/>
    <w:rsid w:val="00370E61"/>
    <w:pPr>
      <w:numPr>
        <w:numId w:val="16"/>
      </w:numPr>
    </w:pPr>
  </w:style>
  <w:style w:type="paragraph" w:customStyle="1" w:styleId="Bulletindent2">
    <w:name w:val="Bullet indent 2"/>
    <w:basedOn w:val="NICEnormal"/>
    <w:rsid w:val="00370E61"/>
    <w:pPr>
      <w:numPr>
        <w:ilvl w:val="1"/>
        <w:numId w:val="17"/>
      </w:numPr>
      <w:spacing w:after="0"/>
    </w:pPr>
  </w:style>
  <w:style w:type="paragraph" w:customStyle="1" w:styleId="Bulletindent2last">
    <w:name w:val="Bullet indent 2 last"/>
    <w:basedOn w:val="Bulletindent2"/>
    <w:next w:val="NICEnormal"/>
    <w:rsid w:val="00370E61"/>
    <w:pPr>
      <w:numPr>
        <w:numId w:val="19"/>
      </w:numPr>
      <w:spacing w:after="240"/>
    </w:pPr>
  </w:style>
  <w:style w:type="paragraph" w:customStyle="1" w:styleId="Bulletindent3">
    <w:name w:val="Bullet indent 3"/>
    <w:basedOn w:val="NICEnormal"/>
    <w:rsid w:val="00370E61"/>
    <w:pPr>
      <w:numPr>
        <w:ilvl w:val="2"/>
        <w:numId w:val="19"/>
      </w:numPr>
      <w:spacing w:after="0"/>
    </w:pPr>
  </w:style>
  <w:style w:type="paragraph" w:customStyle="1" w:styleId="Bulletleft1">
    <w:name w:val="Bullet left 1"/>
    <w:basedOn w:val="NICEnormal"/>
    <w:qFormat/>
    <w:rsid w:val="00370E61"/>
    <w:pPr>
      <w:numPr>
        <w:numId w:val="20"/>
      </w:numPr>
      <w:spacing w:after="0"/>
    </w:pPr>
  </w:style>
  <w:style w:type="paragraph" w:customStyle="1" w:styleId="Bulletleft1last">
    <w:name w:val="Bullet left 1 last"/>
    <w:basedOn w:val="NICEnormal"/>
    <w:link w:val="Bulletleft1lastChar"/>
    <w:rsid w:val="00370E61"/>
    <w:pPr>
      <w:numPr>
        <w:numId w:val="21"/>
      </w:numPr>
    </w:pPr>
    <w:rPr>
      <w:rFonts w:cs="Arial"/>
    </w:rPr>
  </w:style>
  <w:style w:type="character" w:customStyle="1" w:styleId="Bulletleft1lastChar">
    <w:name w:val="Bullet left 1 last Char"/>
    <w:link w:val="Bulletleft1last"/>
    <w:rsid w:val="00370E61"/>
    <w:rPr>
      <w:rFonts w:ascii="Arial" w:hAnsi="Arial" w:cs="Arial"/>
      <w:sz w:val="24"/>
      <w:szCs w:val="24"/>
      <w:lang w:eastAsia="en-US"/>
    </w:rPr>
  </w:style>
  <w:style w:type="paragraph" w:customStyle="1" w:styleId="Bulletleft2">
    <w:name w:val="Bullet left 2"/>
    <w:basedOn w:val="NICEnormal"/>
    <w:rsid w:val="00370E61"/>
    <w:pPr>
      <w:numPr>
        <w:ilvl w:val="1"/>
        <w:numId w:val="22"/>
      </w:numPr>
      <w:spacing w:after="0"/>
    </w:pPr>
  </w:style>
  <w:style w:type="paragraph" w:customStyle="1" w:styleId="Bulletleft3">
    <w:name w:val="Bullet left 3"/>
    <w:basedOn w:val="NICEnormal"/>
    <w:rsid w:val="00370E61"/>
    <w:pPr>
      <w:numPr>
        <w:ilvl w:val="2"/>
        <w:numId w:val="23"/>
      </w:numPr>
      <w:spacing w:after="0"/>
    </w:pPr>
  </w:style>
  <w:style w:type="paragraph" w:customStyle="1" w:styleId="Documentissuedate">
    <w:name w:val="Document issue date"/>
    <w:basedOn w:val="NICEnormal"/>
    <w:qFormat/>
    <w:rsid w:val="00370E61"/>
    <w:rPr>
      <w:lang w:val="en-US"/>
    </w:rPr>
  </w:style>
  <w:style w:type="character" w:styleId="FollowedHyperlink">
    <w:name w:val="FollowedHyperlink"/>
    <w:rsid w:val="00370E61"/>
    <w:rPr>
      <w:color w:val="800080"/>
      <w:u w:val="single"/>
    </w:rPr>
  </w:style>
  <w:style w:type="character" w:styleId="FootnoteReference">
    <w:name w:val="footnote reference"/>
    <w:rsid w:val="00370E61"/>
    <w:rPr>
      <w:vertAlign w:val="superscript"/>
    </w:rPr>
  </w:style>
  <w:style w:type="paragraph" w:styleId="FootnoteText">
    <w:name w:val="footnote text"/>
    <w:basedOn w:val="Normal"/>
    <w:link w:val="FootnoteTextChar"/>
    <w:rsid w:val="00370E61"/>
    <w:rPr>
      <w:sz w:val="20"/>
      <w:szCs w:val="20"/>
    </w:rPr>
  </w:style>
  <w:style w:type="character" w:customStyle="1" w:styleId="FootnoteTextChar">
    <w:name w:val="Footnote Text Char"/>
    <w:link w:val="FootnoteText"/>
    <w:rsid w:val="00370E61"/>
    <w:rPr>
      <w:lang w:eastAsia="en-US"/>
    </w:rPr>
  </w:style>
  <w:style w:type="paragraph" w:customStyle="1" w:styleId="Guidanceissuedate">
    <w:name w:val="Guidance issue date"/>
    <w:basedOn w:val="NICEnormal"/>
    <w:qFormat/>
    <w:rsid w:val="00370E61"/>
    <w:rPr>
      <w:lang w:val="en-US"/>
    </w:rPr>
  </w:style>
  <w:style w:type="paragraph" w:customStyle="1" w:styleId="NICEnormalindented">
    <w:name w:val="NICE normal indented"/>
    <w:basedOn w:val="NICEnormal"/>
    <w:rsid w:val="00370E61"/>
    <w:pPr>
      <w:tabs>
        <w:tab w:val="left" w:pos="1134"/>
      </w:tabs>
      <w:ind w:left="1134"/>
    </w:pPr>
  </w:style>
  <w:style w:type="paragraph" w:customStyle="1" w:styleId="Numberedlevel2text">
    <w:name w:val="Numbered level 2 text"/>
    <w:basedOn w:val="Normal"/>
    <w:link w:val="Numberedlevel2textChar"/>
    <w:qFormat/>
    <w:rsid w:val="00370E61"/>
    <w:pPr>
      <w:numPr>
        <w:ilvl w:val="1"/>
        <w:numId w:val="25"/>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370E61"/>
    <w:rPr>
      <w:rFonts w:ascii="Arial" w:hAnsi="Arial"/>
      <w:bCs/>
      <w:iCs/>
      <w:sz w:val="24"/>
      <w:szCs w:val="28"/>
      <w:lang w:val="x-none" w:eastAsia="en-US"/>
    </w:rPr>
  </w:style>
  <w:style w:type="character" w:styleId="PageNumber">
    <w:name w:val="page number"/>
    <w:rsid w:val="00370E61"/>
    <w:rPr>
      <w:rFonts w:ascii="Arial" w:hAnsi="Arial"/>
      <w:sz w:val="24"/>
    </w:rPr>
  </w:style>
  <w:style w:type="paragraph" w:customStyle="1" w:styleId="Panelbullet1">
    <w:name w:val="Panel bullet 1"/>
    <w:basedOn w:val="ListParagraph"/>
    <w:qFormat/>
    <w:rsid w:val="00370E61"/>
    <w:pPr>
      <w:numPr>
        <w:numId w:val="26"/>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370E61"/>
    <w:rPr>
      <w:color w:val="FFFFFF" w:themeColor="background1"/>
      <w:u w:val="single"/>
    </w:rPr>
  </w:style>
  <w:style w:type="paragraph" w:customStyle="1" w:styleId="Paragraphnonumbers">
    <w:name w:val="Paragraph no numbers"/>
    <w:basedOn w:val="Normal"/>
    <w:uiPriority w:val="99"/>
    <w:qFormat/>
    <w:rsid w:val="00370E61"/>
    <w:pPr>
      <w:spacing w:after="240" w:line="276" w:lineRule="auto"/>
    </w:pPr>
    <w:rPr>
      <w:rFonts w:ascii="Arial" w:hAnsi="Arial"/>
      <w:lang w:eastAsia="en-GB"/>
    </w:rPr>
  </w:style>
  <w:style w:type="paragraph" w:styleId="Quote">
    <w:name w:val="Quote"/>
    <w:basedOn w:val="NICEnormal"/>
    <w:next w:val="NICEnormal"/>
    <w:link w:val="QuoteChar"/>
    <w:uiPriority w:val="29"/>
    <w:qFormat/>
    <w:rsid w:val="00370E61"/>
    <w:pPr>
      <w:spacing w:before="200" w:after="160"/>
      <w:ind w:left="864" w:right="864"/>
      <w:jc w:val="center"/>
    </w:pPr>
    <w:rPr>
      <w:iCs/>
    </w:rPr>
  </w:style>
  <w:style w:type="character" w:customStyle="1" w:styleId="QuoteChar">
    <w:name w:val="Quote Char"/>
    <w:basedOn w:val="DefaultParagraphFont"/>
    <w:link w:val="Quote"/>
    <w:uiPriority w:val="29"/>
    <w:rsid w:val="00370E61"/>
    <w:rPr>
      <w:rFonts w:ascii="Arial" w:hAnsi="Arial"/>
      <w:iCs/>
      <w:sz w:val="24"/>
      <w:szCs w:val="24"/>
      <w:lang w:eastAsia="en-US"/>
    </w:rPr>
  </w:style>
  <w:style w:type="paragraph" w:customStyle="1" w:styleId="Section412paragraphs">
    <w:name w:val="Section 4.1.2 paragraphs"/>
    <w:basedOn w:val="NICEnormal"/>
    <w:rsid w:val="00370E61"/>
    <w:pPr>
      <w:numPr>
        <w:numId w:val="28"/>
      </w:numPr>
    </w:pPr>
  </w:style>
  <w:style w:type="character" w:customStyle="1" w:styleId="ui-provider">
    <w:name w:val="ui-provider"/>
    <w:basedOn w:val="DefaultParagraphFont"/>
    <w:rsid w:val="00370E61"/>
  </w:style>
  <w:style w:type="character" w:styleId="UnresolvedMention">
    <w:name w:val="Unresolved Mention"/>
    <w:basedOn w:val="DefaultParagraphFont"/>
    <w:uiPriority w:val="99"/>
    <w:semiHidden/>
    <w:unhideWhenUsed/>
    <w:rsid w:val="00370E61"/>
    <w:rPr>
      <w:color w:val="605E5C"/>
      <w:shd w:val="clear" w:color="auto" w:fill="E1DFDD"/>
    </w:rPr>
  </w:style>
  <w:style w:type="character" w:styleId="Mention">
    <w:name w:val="Mention"/>
    <w:basedOn w:val="DefaultParagraphFont"/>
    <w:uiPriority w:val="99"/>
    <w:unhideWhenUsed/>
    <w:rsid w:val="00416AB4"/>
    <w:rPr>
      <w:color w:val="2B579A"/>
      <w:shd w:val="clear" w:color="auto" w:fill="E1DFDD"/>
    </w:rPr>
  </w:style>
  <w:style w:type="paragraph" w:customStyle="1" w:styleId="Bulletleft2last">
    <w:name w:val="Bullet left 2 last"/>
    <w:basedOn w:val="Bulletleft2"/>
    <w:rsid w:val="00560C85"/>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06515"/>
    <w:rsid w:val="00042C7D"/>
    <w:rsid w:val="00050F85"/>
    <w:rsid w:val="00063209"/>
    <w:rsid w:val="000E39C0"/>
    <w:rsid w:val="001160A2"/>
    <w:rsid w:val="001471C1"/>
    <w:rsid w:val="00150EA5"/>
    <w:rsid w:val="001537CA"/>
    <w:rsid w:val="001652E1"/>
    <w:rsid w:val="0016721D"/>
    <w:rsid w:val="001A43FB"/>
    <w:rsid w:val="00217358"/>
    <w:rsid w:val="002544AD"/>
    <w:rsid w:val="0025637A"/>
    <w:rsid w:val="00281FD5"/>
    <w:rsid w:val="00283A7B"/>
    <w:rsid w:val="00290128"/>
    <w:rsid w:val="002910D4"/>
    <w:rsid w:val="002D5FEF"/>
    <w:rsid w:val="0031613F"/>
    <w:rsid w:val="00345374"/>
    <w:rsid w:val="003A5DD0"/>
    <w:rsid w:val="003A67DB"/>
    <w:rsid w:val="003F4C7F"/>
    <w:rsid w:val="004219E5"/>
    <w:rsid w:val="0046011A"/>
    <w:rsid w:val="0047337B"/>
    <w:rsid w:val="00474820"/>
    <w:rsid w:val="004A3E76"/>
    <w:rsid w:val="004B7AA8"/>
    <w:rsid w:val="004C5F04"/>
    <w:rsid w:val="005317C6"/>
    <w:rsid w:val="00534AFE"/>
    <w:rsid w:val="00535B56"/>
    <w:rsid w:val="005A1871"/>
    <w:rsid w:val="005B26A4"/>
    <w:rsid w:val="005B6BA3"/>
    <w:rsid w:val="005E0871"/>
    <w:rsid w:val="005F72A9"/>
    <w:rsid w:val="00606E62"/>
    <w:rsid w:val="0061117F"/>
    <w:rsid w:val="006353D0"/>
    <w:rsid w:val="00646D9F"/>
    <w:rsid w:val="00666CF3"/>
    <w:rsid w:val="006C2A9F"/>
    <w:rsid w:val="006D04AF"/>
    <w:rsid w:val="00736DE3"/>
    <w:rsid w:val="0074497E"/>
    <w:rsid w:val="00776A8C"/>
    <w:rsid w:val="007C446F"/>
    <w:rsid w:val="007C5857"/>
    <w:rsid w:val="007D39C7"/>
    <w:rsid w:val="007E0D14"/>
    <w:rsid w:val="007E7C21"/>
    <w:rsid w:val="008575DC"/>
    <w:rsid w:val="00861611"/>
    <w:rsid w:val="00892D96"/>
    <w:rsid w:val="008B1013"/>
    <w:rsid w:val="009F4FDF"/>
    <w:rsid w:val="00A416A5"/>
    <w:rsid w:val="00A71CA9"/>
    <w:rsid w:val="00A9052C"/>
    <w:rsid w:val="00AE3134"/>
    <w:rsid w:val="00AF1587"/>
    <w:rsid w:val="00B03EFA"/>
    <w:rsid w:val="00B07F99"/>
    <w:rsid w:val="00B13F69"/>
    <w:rsid w:val="00B64965"/>
    <w:rsid w:val="00B74000"/>
    <w:rsid w:val="00BA6FC5"/>
    <w:rsid w:val="00BB31C6"/>
    <w:rsid w:val="00BC48AB"/>
    <w:rsid w:val="00BE194C"/>
    <w:rsid w:val="00BF5868"/>
    <w:rsid w:val="00C032D4"/>
    <w:rsid w:val="00C955B2"/>
    <w:rsid w:val="00CA7964"/>
    <w:rsid w:val="00CB6D41"/>
    <w:rsid w:val="00CE050C"/>
    <w:rsid w:val="00D623D9"/>
    <w:rsid w:val="00DA0964"/>
    <w:rsid w:val="00DC2838"/>
    <w:rsid w:val="00DC6287"/>
    <w:rsid w:val="00E14172"/>
    <w:rsid w:val="00E93C06"/>
    <w:rsid w:val="00E9647E"/>
    <w:rsid w:val="00EA14C2"/>
    <w:rsid w:val="00EA21DD"/>
    <w:rsid w:val="00EC279B"/>
    <w:rsid w:val="00F1374E"/>
    <w:rsid w:val="00F5069A"/>
    <w:rsid w:val="00F51078"/>
    <w:rsid w:val="00F53822"/>
    <w:rsid w:val="00F735C5"/>
    <w:rsid w:val="00F76B85"/>
    <w:rsid w:val="00F9379E"/>
    <w:rsid w:val="00F94D95"/>
    <w:rsid w:val="00FB20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2677</Words>
  <Characters>16493</Characters>
  <Application>Microsoft Office Word</Application>
  <DocSecurity>0</DocSecurity>
  <Lines>350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2026-07-07T09:59:00Z</dcterms:created>
  <dcterms:modified xsi:type="dcterms:W3CDTF">2026-07-07T09:59:00Z</dcterms:modified>
</cp:coreProperties>
</file>