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D327" w14:textId="75DFF383" w:rsidR="00057044" w:rsidRPr="00BA366A" w:rsidRDefault="00057044" w:rsidP="003D3B28">
      <w:pPr>
        <w:pStyle w:val="Title1"/>
      </w:pPr>
      <w:r w:rsidRPr="00BA366A">
        <w:t>Board meeting</w:t>
      </w:r>
    </w:p>
    <w:p w14:paraId="27B94D8B" w14:textId="413FB6A2" w:rsidR="004B4705" w:rsidRPr="00BA366A" w:rsidRDefault="00753F87" w:rsidP="003D3B28">
      <w:pPr>
        <w:pStyle w:val="Title20"/>
      </w:pPr>
      <w:r w:rsidRPr="00BA366A">
        <w:t>15 July 2026</w:t>
      </w:r>
    </w:p>
    <w:p w14:paraId="4553D034" w14:textId="4F30915D" w:rsidR="006D1814" w:rsidRPr="00BA366A" w:rsidRDefault="00753F87" w:rsidP="00EB4841">
      <w:pPr>
        <w:pStyle w:val="Title1"/>
      </w:pPr>
      <w:r w:rsidRPr="00BA366A">
        <w:t xml:space="preserve">Knowledge </w:t>
      </w:r>
      <w:r w:rsidR="0047556C" w:rsidRPr="00BA366A">
        <w:t>P</w:t>
      </w:r>
      <w:r w:rsidRPr="00BA366A">
        <w:t>latform</w:t>
      </w:r>
      <w:r w:rsidR="00AA3D0E" w:rsidRPr="00BA366A">
        <w:t xml:space="preserve">: </w:t>
      </w:r>
      <w:r w:rsidR="009677B7" w:rsidRPr="00BA366A">
        <w:t>progress update and addendum to original business case</w:t>
      </w:r>
    </w:p>
    <w:p w14:paraId="677AA02C" w14:textId="3C6D0B84" w:rsidR="009B1D56" w:rsidRPr="00BA366A" w:rsidRDefault="009B1D56" w:rsidP="003D3B28">
      <w:pPr>
        <w:pStyle w:val="Heading1boardreport"/>
      </w:pPr>
      <w:r w:rsidRPr="00BA366A">
        <w:t>Purpose of paper</w:t>
      </w:r>
    </w:p>
    <w:p w14:paraId="5EA991F8" w14:textId="336E7B28" w:rsidR="00E906B5" w:rsidRPr="00BA366A" w:rsidRDefault="00E906B5" w:rsidP="00EE3FC3">
      <w:pPr>
        <w:pStyle w:val="NICEnormal"/>
      </w:pPr>
      <w:r w:rsidRPr="00BA366A">
        <w:t>For approval</w:t>
      </w:r>
    </w:p>
    <w:p w14:paraId="7C950FDF" w14:textId="77777777" w:rsidR="009B1D56" w:rsidRPr="00BA366A" w:rsidRDefault="009B1D56" w:rsidP="003D3B28">
      <w:pPr>
        <w:pStyle w:val="Heading1boardreport"/>
      </w:pPr>
      <w:r w:rsidRPr="00BA366A">
        <w:t>Board action required</w:t>
      </w:r>
    </w:p>
    <w:p w14:paraId="3636A0FE" w14:textId="34930517" w:rsidR="00093828" w:rsidRPr="00BA366A" w:rsidRDefault="00093828" w:rsidP="00093828">
      <w:pPr>
        <w:pStyle w:val="NICEnormal"/>
      </w:pPr>
      <w:r w:rsidRPr="00BA366A">
        <w:t>The Board is asked to:</w:t>
      </w:r>
    </w:p>
    <w:p w14:paraId="7D863297" w14:textId="4E3ACB61" w:rsidR="003C119E" w:rsidRPr="00BA366A" w:rsidRDefault="003C119E" w:rsidP="00A27855">
      <w:pPr>
        <w:pStyle w:val="NICEnormal"/>
        <w:numPr>
          <w:ilvl w:val="0"/>
          <w:numId w:val="42"/>
        </w:numPr>
        <w:rPr>
          <w:rStyle w:val="Hyperlink"/>
        </w:rPr>
      </w:pPr>
      <w:r w:rsidRPr="00BA366A">
        <w:t xml:space="preserve">Receive a progress update </w:t>
      </w:r>
      <w:r w:rsidR="00AE62AC" w:rsidRPr="00BA366A">
        <w:t>on</w:t>
      </w:r>
      <w:r w:rsidR="00832E36" w:rsidRPr="00BA366A">
        <w:t xml:space="preserve"> delivery of the </w:t>
      </w:r>
      <w:r w:rsidR="00362C95" w:rsidRPr="00BA366A">
        <w:t>Knowledge Platform</w:t>
      </w:r>
      <w:r w:rsidR="00640E9E" w:rsidRPr="00BA366A">
        <w:t xml:space="preserve">, described </w:t>
      </w:r>
      <w:r w:rsidR="00DC5FCA" w:rsidRPr="00BA366A">
        <w:t xml:space="preserve">in the original </w:t>
      </w:r>
      <w:hyperlink r:id="rId11">
        <w:r w:rsidR="00DC5FCA" w:rsidRPr="00BA366A">
          <w:rPr>
            <w:rStyle w:val="Hyperlink"/>
          </w:rPr>
          <w:t>Business Case - Implementation of a platform to enable guidance content management and publication</w:t>
        </w:r>
      </w:hyperlink>
      <w:r w:rsidR="00C52E20">
        <w:t>.</w:t>
      </w:r>
    </w:p>
    <w:p w14:paraId="3130EFE8" w14:textId="4D9E4F97" w:rsidR="282A1301" w:rsidRPr="00BA366A" w:rsidRDefault="282A1301" w:rsidP="00A27855">
      <w:pPr>
        <w:pStyle w:val="NICEnormal"/>
        <w:numPr>
          <w:ilvl w:val="0"/>
          <w:numId w:val="42"/>
        </w:numPr>
      </w:pPr>
      <w:r w:rsidRPr="00BA366A">
        <w:t xml:space="preserve">Approve an addendum to the original business case to enable completion of the additional component-level taxonomy and versioning capabilities required to realise the full strategic value of the AWS co-built Knowledge Platform at handover. </w:t>
      </w:r>
    </w:p>
    <w:p w14:paraId="278157A6" w14:textId="5446A521" w:rsidR="282A1301" w:rsidRPr="00BA366A" w:rsidRDefault="282A1301" w:rsidP="00A27855">
      <w:pPr>
        <w:pStyle w:val="NICEnormal"/>
        <w:numPr>
          <w:ilvl w:val="0"/>
          <w:numId w:val="42"/>
        </w:numPr>
      </w:pPr>
      <w:r w:rsidRPr="00BA366A">
        <w:t>Approve an increase of up to £850K (exc. VAT) in supplier build costs, through a variation to the existing contract and within the permitted 50% contract extension limit, subject to Professional Services Business Case (PSBC) and Digital and Technology spend control approval.</w:t>
      </w:r>
    </w:p>
    <w:p w14:paraId="6BE181E2" w14:textId="7DDD9D0D" w:rsidR="009B1D56" w:rsidRPr="00BA366A" w:rsidRDefault="009B1D56" w:rsidP="006958CF">
      <w:pPr>
        <w:pStyle w:val="Heading1boardreport"/>
      </w:pPr>
      <w:proofErr w:type="gramStart"/>
      <w:r w:rsidRPr="00BA366A">
        <w:t>Brief summary</w:t>
      </w:r>
      <w:proofErr w:type="gramEnd"/>
    </w:p>
    <w:p w14:paraId="0D7EBD7A" w14:textId="4EFFD061" w:rsidR="006A05A3" w:rsidRPr="00BA366A" w:rsidRDefault="006A05A3" w:rsidP="006A05A3">
      <w:pPr>
        <w:pStyle w:val="Heading1boardreport"/>
        <w:rPr>
          <w:rFonts w:cs="Times New Roman"/>
          <w:b w:val="0"/>
          <w:bCs w:val="0"/>
          <w:kern w:val="0"/>
          <w:sz w:val="24"/>
          <w:szCs w:val="24"/>
        </w:rPr>
      </w:pPr>
      <w:r w:rsidRPr="00BA366A">
        <w:rPr>
          <w:rFonts w:cs="Times New Roman"/>
          <w:b w:val="0"/>
          <w:bCs w:val="0"/>
          <w:kern w:val="0"/>
          <w:sz w:val="24"/>
          <w:szCs w:val="24"/>
        </w:rPr>
        <w:t>The Knowledge Platform is an enabler for transforming how NICE creates, manages, stores and publishes guidance content. It supports NICE’s transition from a document-based publishing model to a structured knowledge model, allowing content components to be reused, combined and delivered in more flexible ways to meet user needs. This will enable NICE guidance to be surfaced in systems, products and interfaces, both NICE-produced and through secondary reuse, to support users in making decisions.</w:t>
      </w:r>
    </w:p>
    <w:p w14:paraId="5237AF36" w14:textId="77777777" w:rsidR="006A05A3" w:rsidRPr="00BA366A" w:rsidRDefault="006A05A3" w:rsidP="006A05A3">
      <w:pPr>
        <w:pStyle w:val="Heading1boardreport"/>
        <w:rPr>
          <w:rFonts w:cs="Times New Roman"/>
          <w:b w:val="0"/>
          <w:bCs w:val="0"/>
          <w:kern w:val="0"/>
          <w:sz w:val="24"/>
          <w:szCs w:val="24"/>
        </w:rPr>
      </w:pPr>
      <w:r w:rsidRPr="00BA366A">
        <w:rPr>
          <w:rFonts w:cs="Times New Roman"/>
          <w:b w:val="0"/>
          <w:bCs w:val="0"/>
          <w:kern w:val="0"/>
          <w:sz w:val="24"/>
          <w:szCs w:val="24"/>
        </w:rPr>
        <w:t>The Knowledge Transformation programme, including discovery and development of the Knowledge Platform with AWS, is demonstrating that the approach described in the original business case is viable and capable of supporting the anticipated business benefits.</w:t>
      </w:r>
    </w:p>
    <w:p w14:paraId="3D49914F" w14:textId="72711E9D" w:rsidR="006A05A3" w:rsidRPr="00BA366A" w:rsidRDefault="006A05A3" w:rsidP="006A05A3">
      <w:pPr>
        <w:pStyle w:val="Heading1boardreport"/>
        <w:rPr>
          <w:rFonts w:cs="Times New Roman"/>
          <w:b w:val="0"/>
          <w:bCs w:val="0"/>
          <w:kern w:val="0"/>
          <w:sz w:val="24"/>
          <w:szCs w:val="24"/>
        </w:rPr>
      </w:pPr>
      <w:r w:rsidRPr="00BA366A">
        <w:rPr>
          <w:rFonts w:cs="Times New Roman"/>
          <w:b w:val="0"/>
          <w:bCs w:val="0"/>
          <w:kern w:val="0"/>
          <w:sz w:val="24"/>
          <w:szCs w:val="24"/>
        </w:rPr>
        <w:t>Delivery is on track against the agreed sprint priorities. As build completion approaches, and as NICE and AWS have developed a fuller understanding of knowledge graph technology, additional functionality has been identified that would fully enable the component-level taxonomy and versioning capabilities required to support future authoring, publishing and syndication. These capabilities are now understood to be essential foundations for realising the strategic value of the Knowledge Platform</w:t>
      </w:r>
      <w:r w:rsidR="00FF201E" w:rsidRPr="00BA366A">
        <w:rPr>
          <w:rFonts w:cs="Times New Roman"/>
          <w:b w:val="0"/>
          <w:bCs w:val="0"/>
          <w:kern w:val="0"/>
          <w:sz w:val="24"/>
          <w:szCs w:val="24"/>
        </w:rPr>
        <w:t xml:space="preserve"> and business case benefits</w:t>
      </w:r>
      <w:r w:rsidR="00C3102F" w:rsidRPr="00BA366A">
        <w:rPr>
          <w:rFonts w:cs="Times New Roman"/>
          <w:b w:val="0"/>
          <w:bCs w:val="0"/>
          <w:kern w:val="0"/>
          <w:sz w:val="24"/>
          <w:szCs w:val="24"/>
        </w:rPr>
        <w:t xml:space="preserve">, </w:t>
      </w:r>
      <w:r w:rsidR="00991EE3" w:rsidRPr="00BA366A">
        <w:rPr>
          <w:rFonts w:cs="Times New Roman"/>
          <w:b w:val="0"/>
          <w:bCs w:val="0"/>
          <w:kern w:val="0"/>
          <w:sz w:val="24"/>
          <w:szCs w:val="24"/>
        </w:rPr>
        <w:t>enabling</w:t>
      </w:r>
      <w:r w:rsidR="007820C0" w:rsidRPr="00BA366A">
        <w:rPr>
          <w:rFonts w:cs="Times New Roman"/>
          <w:b w:val="0"/>
          <w:bCs w:val="0"/>
          <w:kern w:val="0"/>
          <w:sz w:val="24"/>
          <w:szCs w:val="24"/>
        </w:rPr>
        <w:t xml:space="preserve"> </w:t>
      </w:r>
      <w:r w:rsidR="009C78EC" w:rsidRPr="00BA366A">
        <w:rPr>
          <w:rFonts w:cs="Times New Roman"/>
          <w:b w:val="0"/>
          <w:bCs w:val="0"/>
          <w:kern w:val="0"/>
          <w:sz w:val="24"/>
          <w:szCs w:val="24"/>
        </w:rPr>
        <w:t>interoperab</w:t>
      </w:r>
      <w:r w:rsidR="00230CAE" w:rsidRPr="00BA366A">
        <w:rPr>
          <w:rFonts w:cs="Times New Roman"/>
          <w:b w:val="0"/>
          <w:bCs w:val="0"/>
          <w:kern w:val="0"/>
          <w:sz w:val="24"/>
          <w:szCs w:val="24"/>
        </w:rPr>
        <w:t xml:space="preserve">ility </w:t>
      </w:r>
      <w:r w:rsidR="0067600B" w:rsidRPr="00BA366A">
        <w:rPr>
          <w:rFonts w:cs="Times New Roman"/>
          <w:b w:val="0"/>
          <w:bCs w:val="0"/>
          <w:kern w:val="0"/>
          <w:sz w:val="24"/>
          <w:szCs w:val="24"/>
        </w:rPr>
        <w:t>with recognised clinical coding and classification standards</w:t>
      </w:r>
      <w:r w:rsidR="00C3588B" w:rsidRPr="00BA366A">
        <w:rPr>
          <w:rFonts w:cs="Times New Roman"/>
          <w:b w:val="0"/>
          <w:bCs w:val="0"/>
          <w:kern w:val="0"/>
          <w:sz w:val="24"/>
          <w:szCs w:val="24"/>
        </w:rPr>
        <w:t xml:space="preserve"> and systems.</w:t>
      </w:r>
    </w:p>
    <w:p w14:paraId="53920A9A" w14:textId="266BF155" w:rsidR="006A05A3" w:rsidRPr="00BA366A" w:rsidRDefault="006A05A3" w:rsidP="005056AB">
      <w:pPr>
        <w:pStyle w:val="Heading1boardreport"/>
        <w:rPr>
          <w:rFonts w:cs="Times New Roman"/>
          <w:b w:val="0"/>
          <w:bCs w:val="0"/>
          <w:kern w:val="0"/>
          <w:sz w:val="24"/>
          <w:szCs w:val="24"/>
        </w:rPr>
      </w:pPr>
      <w:r w:rsidRPr="00BA366A">
        <w:rPr>
          <w:rFonts w:cs="Times New Roman"/>
          <w:b w:val="0"/>
          <w:bCs w:val="0"/>
          <w:kern w:val="0"/>
          <w:sz w:val="24"/>
          <w:szCs w:val="24"/>
        </w:rPr>
        <w:t>While the additional work is still being estimated by AWS, Board approval is sought to extend potential supplier build costs by up to £850K</w:t>
      </w:r>
      <w:r w:rsidR="00293B77" w:rsidRPr="00BA366A">
        <w:rPr>
          <w:rFonts w:cs="Times New Roman"/>
          <w:b w:val="0"/>
          <w:bCs w:val="0"/>
          <w:kern w:val="0"/>
          <w:sz w:val="24"/>
          <w:szCs w:val="24"/>
        </w:rPr>
        <w:t xml:space="preserve"> (ex</w:t>
      </w:r>
      <w:r w:rsidR="0089400D">
        <w:rPr>
          <w:rFonts w:cs="Times New Roman"/>
          <w:b w:val="0"/>
          <w:bCs w:val="0"/>
          <w:kern w:val="0"/>
          <w:sz w:val="24"/>
          <w:szCs w:val="24"/>
        </w:rPr>
        <w:t>cluding</w:t>
      </w:r>
      <w:r w:rsidR="00293B77" w:rsidRPr="00BA366A">
        <w:rPr>
          <w:rFonts w:cs="Times New Roman"/>
          <w:b w:val="0"/>
          <w:bCs w:val="0"/>
          <w:kern w:val="0"/>
          <w:sz w:val="24"/>
          <w:szCs w:val="24"/>
        </w:rPr>
        <w:t xml:space="preserve"> VAT)</w:t>
      </w:r>
      <w:r w:rsidRPr="00BA366A">
        <w:rPr>
          <w:rFonts w:cs="Times New Roman"/>
          <w:b w:val="0"/>
          <w:bCs w:val="0"/>
          <w:kern w:val="0"/>
          <w:sz w:val="24"/>
          <w:szCs w:val="24"/>
        </w:rPr>
        <w:t xml:space="preserve">, within the permitted 50% contract extension limit. This remains within the scope of the original Invitation to Tender and the awarded three-year supplier contract. </w:t>
      </w:r>
      <w:r w:rsidR="006653B6" w:rsidRPr="00BA366A">
        <w:rPr>
          <w:rFonts w:cs="Times New Roman"/>
          <w:b w:val="0"/>
          <w:bCs w:val="0"/>
          <w:kern w:val="0"/>
          <w:sz w:val="24"/>
          <w:szCs w:val="24"/>
        </w:rPr>
        <w:t>Request for a</w:t>
      </w:r>
      <w:r w:rsidR="005056AB" w:rsidRPr="00BA366A">
        <w:rPr>
          <w:rFonts w:cs="Times New Roman"/>
          <w:b w:val="0"/>
          <w:bCs w:val="0"/>
          <w:kern w:val="0"/>
          <w:sz w:val="24"/>
          <w:szCs w:val="24"/>
        </w:rPr>
        <w:t xml:space="preserve">dditional Professional Services Business Case (PSBC) and Digital and Technology spend control </w:t>
      </w:r>
      <w:r w:rsidR="006653B6" w:rsidRPr="00BA366A">
        <w:rPr>
          <w:rFonts w:cs="Times New Roman"/>
          <w:b w:val="0"/>
          <w:bCs w:val="0"/>
          <w:kern w:val="0"/>
          <w:sz w:val="24"/>
          <w:szCs w:val="24"/>
        </w:rPr>
        <w:t xml:space="preserve">approval </w:t>
      </w:r>
      <w:r w:rsidRPr="00BA366A">
        <w:rPr>
          <w:rFonts w:cs="Times New Roman"/>
          <w:b w:val="0"/>
          <w:bCs w:val="0"/>
          <w:kern w:val="0"/>
          <w:sz w:val="24"/>
          <w:szCs w:val="24"/>
        </w:rPr>
        <w:t>has also been made, and any additional funding will be absorbed within the existing NICE budget.</w:t>
      </w:r>
    </w:p>
    <w:p w14:paraId="5B2B6173" w14:textId="2580A6F7" w:rsidR="009B1D56" w:rsidRPr="00BA366A" w:rsidRDefault="009B1D56" w:rsidP="006A05A3">
      <w:pPr>
        <w:pStyle w:val="Heading1boardreport"/>
      </w:pPr>
      <w:r w:rsidRPr="00BA366A">
        <w:t>Board sponsor</w:t>
      </w:r>
    </w:p>
    <w:p w14:paraId="2A465FE1" w14:textId="437BB2AE" w:rsidR="009B1D56" w:rsidRPr="00BA366A" w:rsidRDefault="00C36FC2" w:rsidP="003830CE">
      <w:pPr>
        <w:pStyle w:val="NICEnormal"/>
      </w:pPr>
      <w:r w:rsidRPr="00BA366A">
        <w:t>Clare Morgan</w:t>
      </w:r>
      <w:r w:rsidR="00EB4841" w:rsidRPr="00BA366A">
        <w:t>, Director of Impact and Partnerships</w:t>
      </w:r>
    </w:p>
    <w:p w14:paraId="68D9122D" w14:textId="25F17788" w:rsidR="00EB4841" w:rsidRPr="00BA366A" w:rsidRDefault="00EB4841">
      <w:pPr>
        <w:rPr>
          <w:rFonts w:ascii="Arial" w:hAnsi="Arial"/>
        </w:rPr>
      </w:pPr>
      <w:r w:rsidRPr="00BA366A">
        <w:br w:type="page"/>
      </w:r>
    </w:p>
    <w:p w14:paraId="6A9B4793" w14:textId="0CA62444" w:rsidR="004B4705" w:rsidRPr="00BA366A" w:rsidRDefault="004B4705" w:rsidP="00655369">
      <w:pPr>
        <w:pStyle w:val="Heading2boardreport"/>
      </w:pPr>
      <w:r w:rsidRPr="00BA366A">
        <w:t xml:space="preserve">Introduction </w:t>
      </w:r>
    </w:p>
    <w:p w14:paraId="1CC109BB" w14:textId="77777777" w:rsidR="005332D3" w:rsidRPr="00BA366A" w:rsidRDefault="005332D3" w:rsidP="00FF201E">
      <w:pPr>
        <w:pStyle w:val="NICEnormalnumbered"/>
        <w:rPr>
          <w:noProof w:val="0"/>
        </w:rPr>
      </w:pPr>
      <w:r w:rsidRPr="00BA366A">
        <w:rPr>
          <w:noProof w:val="0"/>
        </w:rPr>
        <w:t>The Knowledge Platform is an enabler for transforming how NICE creates, manages, stores and publishes guidance. It supports NICE’s transition from a document-based publishing model to a structured knowledge model, allowing content components to be reused, combined and delivered in more flexible ways to meet user needs.</w:t>
      </w:r>
    </w:p>
    <w:p w14:paraId="79F4A8C6" w14:textId="77777777" w:rsidR="000853E7" w:rsidRPr="00BA366A" w:rsidRDefault="000853E7" w:rsidP="00FF201E">
      <w:pPr>
        <w:pStyle w:val="NICEnormalnumbered"/>
        <w:rPr>
          <w:noProof w:val="0"/>
        </w:rPr>
      </w:pPr>
      <w:r w:rsidRPr="00BA366A">
        <w:rPr>
          <w:noProof w:val="0"/>
        </w:rPr>
        <w:t>Delivery of a platform and associated functionality, alongside business transformation, will deliver four of the six strategic aims of the usable guidance product strategy and associated business benefits (by 2027/28):</w:t>
      </w:r>
    </w:p>
    <w:p w14:paraId="39FBAAEB" w14:textId="18473032" w:rsidR="000853E7" w:rsidRPr="00BA366A" w:rsidRDefault="000853E7" w:rsidP="00FE77AA">
      <w:pPr>
        <w:pStyle w:val="NICEnormalnumbered"/>
        <w:numPr>
          <w:ilvl w:val="0"/>
          <w:numId w:val="33"/>
        </w:numPr>
        <w:tabs>
          <w:tab w:val="clear" w:pos="426"/>
          <w:tab w:val="left" w:pos="1276"/>
        </w:tabs>
        <w:ind w:left="1276"/>
        <w:rPr>
          <w:noProof w:val="0"/>
        </w:rPr>
      </w:pPr>
      <w:r w:rsidRPr="00BA366A">
        <w:rPr>
          <w:noProof w:val="0"/>
        </w:rPr>
        <w:t>Users find it easier to navigate to relevant guidance content</w:t>
      </w:r>
    </w:p>
    <w:p w14:paraId="06D8BDEF" w14:textId="0C7F11A4" w:rsidR="000853E7" w:rsidRPr="00BA366A" w:rsidRDefault="000853E7" w:rsidP="00FE77AA">
      <w:pPr>
        <w:pStyle w:val="NICEnormalnumbered"/>
        <w:numPr>
          <w:ilvl w:val="0"/>
          <w:numId w:val="33"/>
        </w:numPr>
        <w:tabs>
          <w:tab w:val="clear" w:pos="426"/>
          <w:tab w:val="left" w:pos="1276"/>
        </w:tabs>
        <w:ind w:left="1276"/>
        <w:rPr>
          <w:noProof w:val="0"/>
        </w:rPr>
      </w:pPr>
      <w:r w:rsidRPr="00BA366A">
        <w:rPr>
          <w:noProof w:val="0"/>
        </w:rPr>
        <w:t>Content is presented in a way that enables users to make decisions</w:t>
      </w:r>
    </w:p>
    <w:p w14:paraId="43FB3505" w14:textId="01D481FF" w:rsidR="000853E7" w:rsidRPr="00BA366A" w:rsidRDefault="000853E7" w:rsidP="00FE77AA">
      <w:pPr>
        <w:pStyle w:val="NICEnormalnumbered"/>
        <w:numPr>
          <w:ilvl w:val="0"/>
          <w:numId w:val="33"/>
        </w:numPr>
        <w:tabs>
          <w:tab w:val="clear" w:pos="426"/>
          <w:tab w:val="left" w:pos="1276"/>
        </w:tabs>
        <w:ind w:left="1276"/>
        <w:rPr>
          <w:noProof w:val="0"/>
        </w:rPr>
      </w:pPr>
      <w:r w:rsidRPr="00BA366A">
        <w:rPr>
          <w:noProof w:val="0"/>
        </w:rPr>
        <w:t>We provide content in a format that is easy for secondary users to access and re-use</w:t>
      </w:r>
    </w:p>
    <w:p w14:paraId="172DC754" w14:textId="508BB6B4" w:rsidR="000853E7" w:rsidRPr="00BA366A" w:rsidRDefault="000853E7" w:rsidP="00FE77AA">
      <w:pPr>
        <w:pStyle w:val="NICEnormalnumbered"/>
        <w:numPr>
          <w:ilvl w:val="0"/>
          <w:numId w:val="33"/>
        </w:numPr>
        <w:tabs>
          <w:tab w:val="clear" w:pos="426"/>
          <w:tab w:val="left" w:pos="1276"/>
        </w:tabs>
        <w:ind w:left="1276"/>
        <w:rPr>
          <w:noProof w:val="0"/>
        </w:rPr>
      </w:pPr>
      <w:r w:rsidRPr="00BA366A">
        <w:rPr>
          <w:noProof w:val="0"/>
        </w:rPr>
        <w:t>The content provided is complete, up to date and accurate</w:t>
      </w:r>
    </w:p>
    <w:p w14:paraId="4A7DCC96" w14:textId="77777777" w:rsidR="00652396" w:rsidRPr="00BA366A" w:rsidRDefault="00652396" w:rsidP="00FF201E">
      <w:pPr>
        <w:pStyle w:val="NICEnormalnumbered"/>
        <w:rPr>
          <w:noProof w:val="0"/>
        </w:rPr>
      </w:pPr>
      <w:r w:rsidRPr="00BA366A">
        <w:rPr>
          <w:noProof w:val="0"/>
        </w:rPr>
        <w:t xml:space="preserve">The strategic direction set out in the Usable Guidance Product Strategy, the original business case and the agile development of the Knowledge Platform with external expert partners is now beginning to be realised. Delivery to date has demonstrated that NICE’s approach to transforming guidance from static documents into structured, reusable knowledge remains correct. The ambition to realise </w:t>
      </w:r>
      <w:proofErr w:type="gramStart"/>
      <w:r w:rsidRPr="00BA366A">
        <w:rPr>
          <w:noProof w:val="0"/>
        </w:rPr>
        <w:t>the majority of</w:t>
      </w:r>
      <w:proofErr w:type="gramEnd"/>
      <w:r w:rsidRPr="00BA366A">
        <w:rPr>
          <w:noProof w:val="0"/>
        </w:rPr>
        <w:t xml:space="preserve"> business benefits by 2027/28 remains on track.</w:t>
      </w:r>
    </w:p>
    <w:p w14:paraId="793ABBB7" w14:textId="48F977BC" w:rsidR="004B4705" w:rsidRPr="00BA366A" w:rsidRDefault="00274B98" w:rsidP="00655369">
      <w:pPr>
        <w:pStyle w:val="Heading2boardreport"/>
      </w:pPr>
      <w:r w:rsidRPr="00BA366A">
        <w:t xml:space="preserve">Progress update </w:t>
      </w:r>
      <w:r w:rsidR="00FF7904" w:rsidRPr="00BA366A">
        <w:t xml:space="preserve">- </w:t>
      </w:r>
      <w:r w:rsidRPr="00BA366A">
        <w:t>Knowledge Platform</w:t>
      </w:r>
      <w:r w:rsidRPr="00BA366A" w:rsidDel="00274B98">
        <w:t xml:space="preserve"> </w:t>
      </w:r>
      <w:r w:rsidR="000F029C" w:rsidRPr="00BA366A">
        <w:t>delivery</w:t>
      </w:r>
    </w:p>
    <w:p w14:paraId="4477CBCE" w14:textId="39CB98D6" w:rsidR="00CB1E3C" w:rsidRPr="00BA366A" w:rsidRDefault="00CB1E3C" w:rsidP="00FF201E">
      <w:pPr>
        <w:pStyle w:val="NICEnormalnumbered"/>
        <w:rPr>
          <w:noProof w:val="0"/>
        </w:rPr>
      </w:pPr>
      <w:r w:rsidRPr="00BA366A">
        <w:rPr>
          <w:noProof w:val="0"/>
        </w:rPr>
        <w:t>The Knowledge Transformation programme, including discovery and development of the knowledge platform with Amazon Web Services (AWS), is demonstrating the approach described in the business case is viable and capable of supporting the anticipated business benefits.</w:t>
      </w:r>
    </w:p>
    <w:p w14:paraId="77F1ACEA" w14:textId="1AACF974" w:rsidR="006F4FF7" w:rsidRPr="00BA366A" w:rsidRDefault="006F4FF7" w:rsidP="007331B1">
      <w:pPr>
        <w:pStyle w:val="NICEnormalnumbered"/>
        <w:rPr>
          <w:noProof w:val="0"/>
        </w:rPr>
      </w:pPr>
      <w:r w:rsidRPr="00BA366A">
        <w:rPr>
          <w:noProof w:val="0"/>
        </w:rPr>
        <w:t>The programme is currently in Sprint 10 of a 13-sprint agile delivery approach. Significant progress has been made in establishing the core foundations of the Knowledge Platform. Delivery to date includes platform infrastructure, semantic data models, a knowledge graph, foundations for API-enabled access and component-level search capability. A functional minimum viable product has now been delivered and validated, including semantic and keyword search, ingestion of guidance content into the knowledge graph, modelling of all agreed guidance component types and a working visualiser to support quality assurance of ingested content.</w:t>
      </w:r>
      <w:r w:rsidR="00DF5507" w:rsidRPr="00BA366A">
        <w:rPr>
          <w:noProof w:val="0"/>
        </w:rPr>
        <w:t xml:space="preserve"> </w:t>
      </w:r>
      <w:r w:rsidR="00770A9D" w:rsidRPr="00BA366A">
        <w:rPr>
          <w:noProof w:val="0"/>
        </w:rPr>
        <w:t xml:space="preserve">Completion of a </w:t>
      </w:r>
      <w:r w:rsidR="007331B1" w:rsidRPr="00BA366A">
        <w:rPr>
          <w:noProof w:val="0"/>
        </w:rPr>
        <w:t xml:space="preserve">Content Creation Service discovery </w:t>
      </w:r>
      <w:r w:rsidR="00770A9D" w:rsidRPr="00BA366A">
        <w:rPr>
          <w:noProof w:val="0"/>
        </w:rPr>
        <w:t xml:space="preserve">will inform NICE’s direction as we move into </w:t>
      </w:r>
      <w:r w:rsidR="00B72EBE" w:rsidRPr="00BA366A">
        <w:rPr>
          <w:noProof w:val="0"/>
        </w:rPr>
        <w:t xml:space="preserve">development. </w:t>
      </w:r>
      <w:r w:rsidR="002374AC" w:rsidRPr="00BA366A">
        <w:rPr>
          <w:noProof w:val="0"/>
        </w:rPr>
        <w:t xml:space="preserve"> </w:t>
      </w:r>
      <w:r w:rsidR="00770A9D" w:rsidRPr="00BA366A">
        <w:rPr>
          <w:noProof w:val="0"/>
        </w:rPr>
        <w:t xml:space="preserve"> </w:t>
      </w:r>
    </w:p>
    <w:p w14:paraId="5DC232B2" w14:textId="77777777" w:rsidR="0035130E" w:rsidRPr="00BA366A" w:rsidRDefault="0035130E" w:rsidP="00474E94">
      <w:pPr>
        <w:pStyle w:val="NICEnormalnumbered"/>
      </w:pPr>
      <w:r w:rsidRPr="00BA366A">
        <w:t>During discovery and delivery, NICE and AWS pivoted from the original approach of modelling recommendations alone to modelling all guidance component types in the knowledge graph. This represents a significant enhancement to the original design. It increases the long-term value of the platform by enabling a broader range of knowledge assets to be managed, connected and reused, and it establishes a stronger foundation for future knowledge-based products and services, including reuse by secondary users.</w:t>
      </w:r>
    </w:p>
    <w:p w14:paraId="745844AC" w14:textId="77777777" w:rsidR="006B16AD" w:rsidRPr="00BA366A" w:rsidRDefault="006B16AD" w:rsidP="00FF201E">
      <w:pPr>
        <w:pStyle w:val="NICEnormalnumbered"/>
        <w:rPr>
          <w:noProof w:val="0"/>
        </w:rPr>
      </w:pPr>
      <w:r w:rsidRPr="00BA366A">
        <w:rPr>
          <w:noProof w:val="0"/>
        </w:rPr>
        <w:t>Current sprint activity is focused on knowledge transfer, documentation, environment stabilisation, defect remediation and handover planning, to ensure NICE can sustainably operate and develop the Knowledge Platform following completion of supplier-led delivery.</w:t>
      </w:r>
    </w:p>
    <w:p w14:paraId="5A5F0381" w14:textId="6B62FE8E" w:rsidR="00A311CA" w:rsidRPr="00BA366A" w:rsidRDefault="00A311CA" w:rsidP="00FF201E">
      <w:pPr>
        <w:pStyle w:val="NICEnormalnumbered"/>
        <w:rPr>
          <w:noProof w:val="0"/>
        </w:rPr>
      </w:pPr>
      <w:r w:rsidRPr="00BA366A">
        <w:rPr>
          <w:noProof w:val="0"/>
        </w:rPr>
        <w:t>Additional deep-dive work is also underway to better understand the taxonomy and versioning</w:t>
      </w:r>
      <w:r w:rsidR="00887FC4" w:rsidRPr="00BA366A">
        <w:rPr>
          <w:noProof w:val="0"/>
        </w:rPr>
        <w:t xml:space="preserve"> capabilities </w:t>
      </w:r>
      <w:r w:rsidRPr="00BA366A">
        <w:rPr>
          <w:noProof w:val="0"/>
        </w:rPr>
        <w:t>required</w:t>
      </w:r>
      <w:r w:rsidR="00887FC4" w:rsidRPr="00BA366A">
        <w:rPr>
          <w:noProof w:val="0"/>
        </w:rPr>
        <w:t xml:space="preserve"> to support future </w:t>
      </w:r>
      <w:r w:rsidR="00F039C3" w:rsidRPr="00BA366A">
        <w:rPr>
          <w:noProof w:val="0"/>
        </w:rPr>
        <w:t xml:space="preserve">authoring, </w:t>
      </w:r>
      <w:r w:rsidR="00731811" w:rsidRPr="00BA366A">
        <w:rPr>
          <w:noProof w:val="0"/>
        </w:rPr>
        <w:t>knowledge mobilisation and syndication functionality.</w:t>
      </w:r>
    </w:p>
    <w:p w14:paraId="6F438D27" w14:textId="3AFF0185" w:rsidR="00731811" w:rsidRPr="00BA366A" w:rsidRDefault="00731811" w:rsidP="00FF201E">
      <w:pPr>
        <w:pStyle w:val="NICEnormalnumbered"/>
        <w:rPr>
          <w:noProof w:val="0"/>
        </w:rPr>
      </w:pPr>
      <w:r w:rsidRPr="00BA366A">
        <w:rPr>
          <w:noProof w:val="0"/>
        </w:rPr>
        <w:t>As delivery has progresse</w:t>
      </w:r>
      <w:r w:rsidR="007C76E2" w:rsidRPr="00BA366A">
        <w:rPr>
          <w:noProof w:val="0"/>
        </w:rPr>
        <w:t>d</w:t>
      </w:r>
      <w:r w:rsidRPr="00BA366A">
        <w:rPr>
          <w:noProof w:val="0"/>
        </w:rPr>
        <w:t xml:space="preserve">, and understanding of the knowledge graph technology has matured, NICE and AWS have identified additional functionality relating to component-level taxonomy and content versioning that would further enable the strategic ambitions of the programme and maximise the value of the </w:t>
      </w:r>
      <w:r w:rsidR="00FB3EA6" w:rsidRPr="00BA366A">
        <w:rPr>
          <w:noProof w:val="0"/>
        </w:rPr>
        <w:t xml:space="preserve">platform foundations delivered to date. </w:t>
      </w:r>
      <w:r w:rsidR="00FB4444" w:rsidRPr="00BA366A">
        <w:rPr>
          <w:noProof w:val="0"/>
        </w:rPr>
        <w:t xml:space="preserve">We are working with the supplier to determine the </w:t>
      </w:r>
      <w:r w:rsidR="00B158AE" w:rsidRPr="00BA366A">
        <w:rPr>
          <w:noProof w:val="0"/>
        </w:rPr>
        <w:t xml:space="preserve">estimated </w:t>
      </w:r>
      <w:r w:rsidR="00FB4444" w:rsidRPr="00BA366A">
        <w:rPr>
          <w:noProof w:val="0"/>
        </w:rPr>
        <w:t>cost of delivery</w:t>
      </w:r>
      <w:r w:rsidR="00B158AE" w:rsidRPr="00BA366A">
        <w:rPr>
          <w:noProof w:val="0"/>
        </w:rPr>
        <w:t>.</w:t>
      </w:r>
    </w:p>
    <w:p w14:paraId="01579612" w14:textId="5D2F1D96" w:rsidR="004B4705" w:rsidRPr="00BA366A" w:rsidRDefault="00093828" w:rsidP="3FB982C6">
      <w:pPr>
        <w:pStyle w:val="Heading3"/>
      </w:pPr>
      <w:r w:rsidRPr="00BA366A">
        <w:t>Why additional investment is required</w:t>
      </w:r>
    </w:p>
    <w:p w14:paraId="6FAE49F3" w14:textId="501911A6" w:rsidR="008D724E" w:rsidRPr="00BA366A" w:rsidRDefault="0040638E" w:rsidP="00655369">
      <w:pPr>
        <w:pStyle w:val="NICEnormalnumbered"/>
        <w:rPr>
          <w:noProof w:val="0"/>
        </w:rPr>
      </w:pPr>
      <w:r w:rsidRPr="00BA366A">
        <w:rPr>
          <w:noProof w:val="0"/>
        </w:rPr>
        <w:t>During</w:t>
      </w:r>
      <w:r w:rsidR="00136F68" w:rsidRPr="00BA366A">
        <w:rPr>
          <w:noProof w:val="0"/>
        </w:rPr>
        <w:t xml:space="preserve"> agile </w:t>
      </w:r>
      <w:r w:rsidRPr="00BA366A">
        <w:rPr>
          <w:noProof w:val="0"/>
        </w:rPr>
        <w:t xml:space="preserve">delivery of the knowledge platform, NICE and AWS have </w:t>
      </w:r>
      <w:r w:rsidR="002064B6" w:rsidRPr="00BA366A">
        <w:rPr>
          <w:noProof w:val="0"/>
        </w:rPr>
        <w:t xml:space="preserve">developed a deeper understanding of the opportunities provided by knowledge graph technology and </w:t>
      </w:r>
      <w:r w:rsidR="00F37ED0" w:rsidRPr="00BA366A">
        <w:rPr>
          <w:noProof w:val="0"/>
        </w:rPr>
        <w:t xml:space="preserve">of </w:t>
      </w:r>
      <w:r w:rsidR="002064B6" w:rsidRPr="00BA366A">
        <w:rPr>
          <w:noProof w:val="0"/>
        </w:rPr>
        <w:t>the requirements needed to support NICE’s future knowledge model.</w:t>
      </w:r>
    </w:p>
    <w:p w14:paraId="2A49165F" w14:textId="74EA4D41" w:rsidR="00F05BB0" w:rsidRPr="00BA366A" w:rsidRDefault="00F05BB0" w:rsidP="00655369">
      <w:pPr>
        <w:pStyle w:val="NICEnormalnumbered"/>
        <w:rPr>
          <w:noProof w:val="0"/>
        </w:rPr>
      </w:pPr>
      <w:r w:rsidRPr="00BA366A">
        <w:rPr>
          <w:noProof w:val="0"/>
        </w:rPr>
        <w:t>As the platform foundations have matured, additional requirements have emerged relating to component-level taxonomy and versioning. These capabilities are now understood to be essential to support future authoring tools, publishing, syndication and reuse of structured content at scale. They will also provide the foundation for future alignment of NICE knowledge with recognised clinical coding and classification standards, improving interoperability with third-party systems such as electronic health records. This will increase the ability of NICE guidance to be consumed, referenced and reused within clinical workflows and digital services, such as the Single National Formulary. Without these capabilities, NICE would be less able to realise the strategic value of the platform foundations already delivered or achieve the longer-term transition to a knowledge-based operating model.</w:t>
      </w:r>
    </w:p>
    <w:p w14:paraId="26F22CAD" w14:textId="74FA4D2A" w:rsidR="00FB6B6D" w:rsidRPr="00BA366A" w:rsidRDefault="00E41916" w:rsidP="00655369">
      <w:pPr>
        <w:pStyle w:val="NICEnormalnumbered"/>
        <w:rPr>
          <w:noProof w:val="0"/>
        </w:rPr>
      </w:pPr>
      <w:r w:rsidRPr="00BA366A">
        <w:rPr>
          <w:noProof w:val="0"/>
        </w:rPr>
        <w:t xml:space="preserve">While this </w:t>
      </w:r>
      <w:r w:rsidR="00756A99" w:rsidRPr="00BA366A">
        <w:rPr>
          <w:noProof w:val="0"/>
        </w:rPr>
        <w:t xml:space="preserve">additional work </w:t>
      </w:r>
      <w:r w:rsidRPr="00BA366A">
        <w:rPr>
          <w:noProof w:val="0"/>
        </w:rPr>
        <w:t xml:space="preserve">is still being estimated by our partner, </w:t>
      </w:r>
      <w:r w:rsidR="00FB6B6D" w:rsidRPr="00BA366A">
        <w:rPr>
          <w:noProof w:val="0"/>
        </w:rPr>
        <w:t>Board approval is therefore sought to extend potential supplier build costs by up to £850K</w:t>
      </w:r>
      <w:r w:rsidR="00865DD9" w:rsidRPr="00BA366A">
        <w:rPr>
          <w:noProof w:val="0"/>
        </w:rPr>
        <w:t xml:space="preserve"> (ex VAT)</w:t>
      </w:r>
      <w:r w:rsidR="00FB6B6D" w:rsidRPr="00BA366A">
        <w:rPr>
          <w:noProof w:val="0"/>
        </w:rPr>
        <w:t>, within the permitted 50% contract extension limit, to enable further development costs as required.</w:t>
      </w:r>
    </w:p>
    <w:p w14:paraId="59D3CA4C" w14:textId="1C94D3D7" w:rsidR="000D46C7" w:rsidRPr="00BA366A" w:rsidRDefault="000D46C7" w:rsidP="00655369">
      <w:pPr>
        <w:pStyle w:val="NICEnormalnumbered"/>
        <w:rPr>
          <w:noProof w:val="0"/>
        </w:rPr>
      </w:pPr>
      <w:r w:rsidRPr="00BA366A">
        <w:rPr>
          <w:noProof w:val="0"/>
        </w:rPr>
        <w:t>The proposed additional investment will enable NICE to complete these foundational capabilities while retaining the kn</w:t>
      </w:r>
      <w:r w:rsidR="005C18FD" w:rsidRPr="00BA366A">
        <w:rPr>
          <w:noProof w:val="0"/>
        </w:rPr>
        <w:t>owledge</w:t>
      </w:r>
      <w:r w:rsidRPr="00BA366A">
        <w:rPr>
          <w:noProof w:val="0"/>
        </w:rPr>
        <w:t>, expertise and momentum established through the existing supplier partnership. The work remains within the scope of the original business case, procurement</w:t>
      </w:r>
      <w:r w:rsidR="00B84BB9" w:rsidRPr="00BA366A">
        <w:rPr>
          <w:noProof w:val="0"/>
        </w:rPr>
        <w:t xml:space="preserve"> and awarded</w:t>
      </w:r>
      <w:r w:rsidR="00AC1468" w:rsidRPr="00BA366A">
        <w:rPr>
          <w:noProof w:val="0"/>
        </w:rPr>
        <w:t xml:space="preserve"> three-year </w:t>
      </w:r>
      <w:r w:rsidR="00B84BB9" w:rsidRPr="00BA366A">
        <w:rPr>
          <w:noProof w:val="0"/>
        </w:rPr>
        <w:t>contract.</w:t>
      </w:r>
    </w:p>
    <w:p w14:paraId="272A161E" w14:textId="77777777" w:rsidR="00A01472" w:rsidRPr="00BA366A" w:rsidRDefault="00AC1468" w:rsidP="00655369">
      <w:pPr>
        <w:pStyle w:val="NICEnormalnumbered"/>
        <w:rPr>
          <w:noProof w:val="0"/>
        </w:rPr>
      </w:pPr>
      <w:r w:rsidRPr="00BA366A">
        <w:rPr>
          <w:noProof w:val="0"/>
        </w:rPr>
        <w:t>A request to extend the DHSC professional services spend control limits has also been made and any additional funding will be absorbed within the existing NICE budget.</w:t>
      </w:r>
    </w:p>
    <w:p w14:paraId="1647789B" w14:textId="0B3263C4" w:rsidR="00093828" w:rsidRPr="00BA366A" w:rsidRDefault="00A01472" w:rsidP="00655369">
      <w:pPr>
        <w:pStyle w:val="NICEnormalnumbered"/>
        <w:rPr>
          <w:noProof w:val="0"/>
        </w:rPr>
      </w:pPr>
      <w:r w:rsidRPr="00BA366A">
        <w:rPr>
          <w:noProof w:val="0"/>
        </w:rPr>
        <w:t>The addendum and Board request reflect the programme’s progression from conceptual scope at business case approval to a validated, engineered solution following discovery and prototyping. The additional investment supports the transition from feasibility to production.</w:t>
      </w:r>
    </w:p>
    <w:p w14:paraId="165A2C24" w14:textId="216F2F29" w:rsidR="0017277D" w:rsidRPr="00BA366A" w:rsidRDefault="0017277D" w:rsidP="00655369">
      <w:pPr>
        <w:pStyle w:val="Heading2boardreport"/>
      </w:pPr>
      <w:r w:rsidRPr="00BA366A">
        <w:t>Financ</w:t>
      </w:r>
      <w:r w:rsidR="00F70148" w:rsidRPr="00BA366A">
        <w:t xml:space="preserve">ial </w:t>
      </w:r>
      <w:r w:rsidRPr="00BA366A">
        <w:t>implications</w:t>
      </w:r>
    </w:p>
    <w:p w14:paraId="08C26A0A" w14:textId="4171031F" w:rsidR="000B4C2E" w:rsidRPr="00BA366A" w:rsidRDefault="000B4C2E" w:rsidP="00E01B9C">
      <w:pPr>
        <w:pStyle w:val="Heading3"/>
      </w:pPr>
      <w:r w:rsidRPr="00BA366A">
        <w:t>Original Business Case</w:t>
      </w:r>
      <w:r w:rsidR="008A0BE0" w:rsidRPr="00BA366A">
        <w:t xml:space="preserve"> (May 2025)</w:t>
      </w:r>
    </w:p>
    <w:p w14:paraId="44B973AF" w14:textId="6AB8EEFA" w:rsidR="00ED34F4" w:rsidRPr="00BA366A" w:rsidRDefault="6D5FFB45" w:rsidP="00FE77AA">
      <w:pPr>
        <w:pStyle w:val="NICEnormalnumbered"/>
        <w:rPr>
          <w:noProof w:val="0"/>
        </w:rPr>
      </w:pPr>
      <w:r w:rsidRPr="00BA366A">
        <w:rPr>
          <w:noProof w:val="0"/>
        </w:rPr>
        <w:t>The original business case approved supplier funding of £</w:t>
      </w:r>
      <w:r w:rsidR="6AE4E4A5" w:rsidRPr="00BA366A">
        <w:rPr>
          <w:noProof w:val="0"/>
        </w:rPr>
        <w:t>2.1</w:t>
      </w:r>
      <w:r w:rsidR="008F1493" w:rsidRPr="00BA366A">
        <w:rPr>
          <w:noProof w:val="0"/>
        </w:rPr>
        <w:t>M</w:t>
      </w:r>
      <w:r w:rsidR="007D3032" w:rsidRPr="00BA366A">
        <w:rPr>
          <w:noProof w:val="0"/>
        </w:rPr>
        <w:t xml:space="preserve"> </w:t>
      </w:r>
      <w:r w:rsidR="0D0A05F9" w:rsidRPr="00BA366A">
        <w:rPr>
          <w:noProof w:val="0"/>
        </w:rPr>
        <w:t>(</w:t>
      </w:r>
      <w:proofErr w:type="spellStart"/>
      <w:r w:rsidR="7219BD51" w:rsidRPr="00BA366A">
        <w:rPr>
          <w:noProof w:val="0"/>
        </w:rPr>
        <w:t>inc</w:t>
      </w:r>
      <w:proofErr w:type="spellEnd"/>
      <w:r w:rsidR="0D0A05F9" w:rsidRPr="00BA366A">
        <w:rPr>
          <w:noProof w:val="0"/>
        </w:rPr>
        <w:t xml:space="preserve"> VAT)</w:t>
      </w:r>
      <w:r w:rsidR="59B5FD50" w:rsidRPr="00BA366A">
        <w:rPr>
          <w:noProof w:val="0"/>
        </w:rPr>
        <w:t xml:space="preserve"> for 2025-2027</w:t>
      </w:r>
      <w:r w:rsidR="782ECD8D" w:rsidRPr="00BA366A">
        <w:rPr>
          <w:noProof w:val="0"/>
        </w:rPr>
        <w:t xml:space="preserve">. </w:t>
      </w:r>
    </w:p>
    <w:p w14:paraId="716E80F6" w14:textId="469C17A4" w:rsidR="00EE5002" w:rsidRPr="00BA366A" w:rsidRDefault="00FF27FD" w:rsidP="00BA71D0">
      <w:pPr>
        <w:pStyle w:val="NICEnormalnumbered"/>
        <w:rPr>
          <w:noProof w:val="0"/>
        </w:rPr>
      </w:pPr>
      <w:r w:rsidRPr="00BA366A">
        <w:rPr>
          <w:noProof w:val="0"/>
        </w:rPr>
        <w:t xml:space="preserve">Since </w:t>
      </w:r>
      <w:proofErr w:type="gramStart"/>
      <w:r w:rsidRPr="00BA366A">
        <w:rPr>
          <w:noProof w:val="0"/>
        </w:rPr>
        <w:t>then</w:t>
      </w:r>
      <w:proofErr w:type="gramEnd"/>
      <w:r w:rsidRPr="00BA366A">
        <w:rPr>
          <w:noProof w:val="0"/>
        </w:rPr>
        <w:t xml:space="preserve"> it </w:t>
      </w:r>
      <w:r w:rsidR="00CC02E2" w:rsidRPr="00BA366A">
        <w:rPr>
          <w:noProof w:val="0"/>
        </w:rPr>
        <w:t>has been determined that VAT is rec</w:t>
      </w:r>
      <w:r w:rsidRPr="00BA366A">
        <w:rPr>
          <w:noProof w:val="0"/>
        </w:rPr>
        <w:t>overable for this work.</w:t>
      </w:r>
    </w:p>
    <w:tbl>
      <w:tblPr>
        <w:tblW w:w="9639" w:type="dxa"/>
        <w:jc w:val="center"/>
        <w:tblLayout w:type="fixed"/>
        <w:tblLook w:val="04A0" w:firstRow="1" w:lastRow="0" w:firstColumn="1" w:lastColumn="0" w:noHBand="0" w:noVBand="1"/>
      </w:tblPr>
      <w:tblGrid>
        <w:gridCol w:w="4006"/>
        <w:gridCol w:w="1289"/>
        <w:gridCol w:w="1452"/>
        <w:gridCol w:w="888"/>
        <w:gridCol w:w="1054"/>
        <w:gridCol w:w="950"/>
      </w:tblGrid>
      <w:tr w:rsidR="000B4C2E" w:rsidRPr="00BA366A" w14:paraId="0B25942A" w14:textId="77777777" w:rsidTr="00E00C7E">
        <w:trPr>
          <w:trHeight w:val="510"/>
          <w:jc w:val="center"/>
        </w:trPr>
        <w:tc>
          <w:tcPr>
            <w:tcW w:w="9639" w:type="dxa"/>
            <w:gridSpan w:val="6"/>
            <w:tcBorders>
              <w:top w:val="single" w:sz="8" w:space="0" w:color="auto"/>
              <w:left w:val="single" w:sz="8" w:space="0" w:color="auto"/>
              <w:bottom w:val="single" w:sz="4" w:space="0" w:color="auto"/>
              <w:right w:val="single" w:sz="8" w:space="0" w:color="000000" w:themeColor="text1"/>
            </w:tcBorders>
            <w:shd w:val="clear" w:color="auto" w:fill="228096"/>
            <w:vAlign w:val="center"/>
            <w:hideMark/>
          </w:tcPr>
          <w:p w14:paraId="256ABEC7" w14:textId="77777777" w:rsidR="000B4C2E" w:rsidRPr="00BA366A" w:rsidRDefault="000B4C2E">
            <w:pPr>
              <w:jc w:val="center"/>
              <w:rPr>
                <w:rFonts w:ascii="Arial" w:hAnsi="Arial" w:cs="Arial"/>
                <w:b/>
                <w:color w:val="FFFFFF"/>
                <w:sz w:val="20"/>
                <w:szCs w:val="20"/>
              </w:rPr>
            </w:pPr>
            <w:r w:rsidRPr="00BA366A">
              <w:rPr>
                <w:rFonts w:ascii="Arial" w:hAnsi="Arial" w:cs="Arial"/>
                <w:b/>
                <w:bCs/>
                <w:color w:val="FFFFFF"/>
              </w:rPr>
              <w:t>FINANCIAL SUMMARY</w:t>
            </w:r>
          </w:p>
        </w:tc>
      </w:tr>
      <w:tr w:rsidR="000B4C2E" w:rsidRPr="00BA366A" w14:paraId="20821708" w14:textId="77777777" w:rsidTr="00ED34F4">
        <w:trPr>
          <w:trHeight w:val="281"/>
          <w:jc w:val="center"/>
        </w:trPr>
        <w:tc>
          <w:tcPr>
            <w:tcW w:w="4006" w:type="dxa"/>
            <w:vMerge w:val="restart"/>
            <w:tcBorders>
              <w:top w:val="single" w:sz="4" w:space="0" w:color="auto"/>
              <w:left w:val="single" w:sz="4" w:space="0" w:color="auto"/>
              <w:bottom w:val="single" w:sz="4" w:space="0" w:color="auto"/>
              <w:right w:val="single" w:sz="4" w:space="0" w:color="auto"/>
            </w:tcBorders>
            <w:hideMark/>
          </w:tcPr>
          <w:p w14:paraId="3BB1C7C1" w14:textId="77777777" w:rsidR="000B4C2E" w:rsidRPr="00BA366A" w:rsidRDefault="000B4C2E">
            <w:pPr>
              <w:rPr>
                <w:rFonts w:ascii="Arial" w:hAnsi="Arial" w:cs="Arial"/>
                <w:b/>
                <w:sz w:val="20"/>
                <w:szCs w:val="20"/>
              </w:rPr>
            </w:pPr>
            <w:r w:rsidRPr="00BA366A">
              <w:rPr>
                <w:rFonts w:ascii="Arial" w:hAnsi="Arial" w:cs="Arial"/>
                <w:b/>
                <w:sz w:val="20"/>
                <w:szCs w:val="20"/>
              </w:rPr>
              <w:t>Summary Finance</w:t>
            </w:r>
          </w:p>
        </w:tc>
        <w:tc>
          <w:tcPr>
            <w:tcW w:w="1289" w:type="dxa"/>
            <w:tcBorders>
              <w:top w:val="single" w:sz="4" w:space="0" w:color="auto"/>
              <w:left w:val="single" w:sz="4" w:space="0" w:color="auto"/>
              <w:right w:val="single" w:sz="8" w:space="0" w:color="auto"/>
            </w:tcBorders>
            <w:hideMark/>
          </w:tcPr>
          <w:p w14:paraId="2E490F4E" w14:textId="77777777" w:rsidR="000B4C2E" w:rsidRPr="00BA366A" w:rsidRDefault="000B4C2E">
            <w:pPr>
              <w:jc w:val="center"/>
              <w:rPr>
                <w:rFonts w:ascii="Arial" w:hAnsi="Arial" w:cs="Arial"/>
                <w:b/>
                <w:sz w:val="20"/>
                <w:szCs w:val="20"/>
              </w:rPr>
            </w:pPr>
            <w:r w:rsidRPr="00BA366A">
              <w:rPr>
                <w:rFonts w:ascii="Arial" w:hAnsi="Arial" w:cs="Arial"/>
                <w:b/>
                <w:sz w:val="20"/>
                <w:szCs w:val="20"/>
              </w:rPr>
              <w:t>2025-26</w:t>
            </w:r>
          </w:p>
        </w:tc>
        <w:tc>
          <w:tcPr>
            <w:tcW w:w="1452" w:type="dxa"/>
            <w:tcBorders>
              <w:top w:val="single" w:sz="4" w:space="0" w:color="auto"/>
              <w:left w:val="nil"/>
              <w:bottom w:val="nil"/>
              <w:right w:val="single" w:sz="8" w:space="0" w:color="auto"/>
            </w:tcBorders>
            <w:hideMark/>
          </w:tcPr>
          <w:p w14:paraId="43DCF528" w14:textId="77777777" w:rsidR="000B4C2E" w:rsidRPr="00BA366A" w:rsidRDefault="000B4C2E">
            <w:pPr>
              <w:jc w:val="center"/>
              <w:rPr>
                <w:rFonts w:ascii="Arial" w:hAnsi="Arial" w:cs="Arial"/>
                <w:b/>
                <w:sz w:val="20"/>
                <w:szCs w:val="20"/>
              </w:rPr>
            </w:pPr>
            <w:r w:rsidRPr="00BA366A">
              <w:rPr>
                <w:rFonts w:ascii="Arial" w:hAnsi="Arial" w:cs="Arial"/>
                <w:b/>
                <w:sz w:val="20"/>
                <w:szCs w:val="20"/>
              </w:rPr>
              <w:t>2026-27</w:t>
            </w:r>
          </w:p>
        </w:tc>
        <w:tc>
          <w:tcPr>
            <w:tcW w:w="888" w:type="dxa"/>
            <w:tcBorders>
              <w:top w:val="single" w:sz="4" w:space="0" w:color="auto"/>
              <w:left w:val="nil"/>
              <w:bottom w:val="nil"/>
              <w:right w:val="single" w:sz="4" w:space="0" w:color="auto"/>
            </w:tcBorders>
          </w:tcPr>
          <w:p w14:paraId="0EB5E6DC"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2027-28</w:t>
            </w:r>
          </w:p>
        </w:tc>
        <w:tc>
          <w:tcPr>
            <w:tcW w:w="1054" w:type="dxa"/>
            <w:tcBorders>
              <w:top w:val="single" w:sz="4" w:space="0" w:color="auto"/>
              <w:left w:val="single" w:sz="4" w:space="0" w:color="auto"/>
              <w:bottom w:val="nil"/>
              <w:right w:val="single" w:sz="8" w:space="0" w:color="auto"/>
            </w:tcBorders>
            <w:hideMark/>
          </w:tcPr>
          <w:p w14:paraId="73664BE7" w14:textId="77777777" w:rsidR="000B4C2E" w:rsidRPr="00BA366A" w:rsidRDefault="000B4C2E">
            <w:pPr>
              <w:jc w:val="center"/>
              <w:rPr>
                <w:rFonts w:ascii="Arial" w:hAnsi="Arial" w:cs="Arial"/>
                <w:b/>
                <w:sz w:val="20"/>
                <w:szCs w:val="20"/>
              </w:rPr>
            </w:pPr>
            <w:r w:rsidRPr="00BA366A">
              <w:rPr>
                <w:rFonts w:ascii="Arial" w:hAnsi="Arial" w:cs="Arial"/>
                <w:b/>
                <w:sz w:val="20"/>
                <w:szCs w:val="20"/>
              </w:rPr>
              <w:t>Recurrent</w:t>
            </w:r>
          </w:p>
        </w:tc>
        <w:tc>
          <w:tcPr>
            <w:tcW w:w="950" w:type="dxa"/>
            <w:tcBorders>
              <w:top w:val="single" w:sz="4" w:space="0" w:color="auto"/>
              <w:left w:val="nil"/>
              <w:bottom w:val="nil"/>
              <w:right w:val="single" w:sz="8" w:space="0" w:color="auto"/>
            </w:tcBorders>
            <w:hideMark/>
          </w:tcPr>
          <w:p w14:paraId="367ACFC9" w14:textId="77777777" w:rsidR="000B4C2E" w:rsidRPr="00BA366A" w:rsidRDefault="000B4C2E">
            <w:pPr>
              <w:jc w:val="center"/>
              <w:rPr>
                <w:rFonts w:ascii="Arial" w:hAnsi="Arial" w:cs="Arial"/>
                <w:b/>
                <w:sz w:val="20"/>
                <w:szCs w:val="20"/>
              </w:rPr>
            </w:pPr>
            <w:r w:rsidRPr="00BA366A">
              <w:rPr>
                <w:rFonts w:ascii="Arial" w:hAnsi="Arial" w:cs="Arial"/>
                <w:b/>
                <w:sz w:val="20"/>
                <w:szCs w:val="20"/>
              </w:rPr>
              <w:t>TOTAL</w:t>
            </w:r>
          </w:p>
        </w:tc>
      </w:tr>
      <w:tr w:rsidR="000B4C2E" w:rsidRPr="00BA366A" w14:paraId="5720E1D4" w14:textId="77777777" w:rsidTr="00ED34F4">
        <w:trPr>
          <w:trHeight w:val="281"/>
          <w:jc w:val="center"/>
        </w:trPr>
        <w:tc>
          <w:tcPr>
            <w:tcW w:w="4006" w:type="dxa"/>
            <w:vMerge/>
            <w:tcBorders>
              <w:top w:val="single" w:sz="4" w:space="0" w:color="auto"/>
              <w:left w:val="single" w:sz="4" w:space="0" w:color="auto"/>
              <w:bottom w:val="single" w:sz="4" w:space="0" w:color="auto"/>
            </w:tcBorders>
            <w:vAlign w:val="center"/>
            <w:hideMark/>
          </w:tcPr>
          <w:p w14:paraId="39BA4C8C" w14:textId="77777777" w:rsidR="000B4C2E" w:rsidRPr="00BA366A" w:rsidRDefault="000B4C2E">
            <w:pPr>
              <w:rPr>
                <w:rFonts w:ascii="Arial" w:hAnsi="Arial" w:cs="Arial"/>
                <w:b/>
                <w:sz w:val="20"/>
                <w:szCs w:val="20"/>
              </w:rPr>
            </w:pPr>
          </w:p>
        </w:tc>
        <w:tc>
          <w:tcPr>
            <w:tcW w:w="1289" w:type="dxa"/>
            <w:tcBorders>
              <w:top w:val="nil"/>
              <w:left w:val="single" w:sz="4" w:space="0" w:color="auto"/>
              <w:bottom w:val="single" w:sz="8" w:space="0" w:color="auto"/>
              <w:right w:val="single" w:sz="8" w:space="0" w:color="auto"/>
            </w:tcBorders>
            <w:hideMark/>
          </w:tcPr>
          <w:p w14:paraId="3B176B01"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1452" w:type="dxa"/>
            <w:tcBorders>
              <w:top w:val="nil"/>
              <w:left w:val="nil"/>
              <w:bottom w:val="single" w:sz="8" w:space="0" w:color="auto"/>
              <w:right w:val="single" w:sz="8" w:space="0" w:color="auto"/>
            </w:tcBorders>
            <w:hideMark/>
          </w:tcPr>
          <w:p w14:paraId="0C70DE88"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888" w:type="dxa"/>
            <w:tcBorders>
              <w:top w:val="nil"/>
              <w:left w:val="nil"/>
              <w:bottom w:val="single" w:sz="8" w:space="0" w:color="auto"/>
              <w:right w:val="single" w:sz="4" w:space="0" w:color="auto"/>
            </w:tcBorders>
          </w:tcPr>
          <w:p w14:paraId="6115C0BA"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£000</w:t>
            </w:r>
          </w:p>
        </w:tc>
        <w:tc>
          <w:tcPr>
            <w:tcW w:w="1054" w:type="dxa"/>
            <w:tcBorders>
              <w:top w:val="nil"/>
              <w:left w:val="single" w:sz="4" w:space="0" w:color="auto"/>
              <w:bottom w:val="single" w:sz="8" w:space="0" w:color="auto"/>
              <w:right w:val="single" w:sz="8" w:space="0" w:color="auto"/>
            </w:tcBorders>
            <w:hideMark/>
          </w:tcPr>
          <w:p w14:paraId="1A8F77B0"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950" w:type="dxa"/>
            <w:tcBorders>
              <w:top w:val="nil"/>
              <w:left w:val="nil"/>
              <w:bottom w:val="single" w:sz="8" w:space="0" w:color="auto"/>
              <w:right w:val="single" w:sz="8" w:space="0" w:color="auto"/>
            </w:tcBorders>
            <w:hideMark/>
          </w:tcPr>
          <w:p w14:paraId="0CEF65CB"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r>
      <w:tr w:rsidR="000B4C2E" w:rsidRPr="00BA366A" w14:paraId="215369CB" w14:textId="77777777" w:rsidTr="00ED34F4">
        <w:trPr>
          <w:trHeight w:val="281"/>
          <w:jc w:val="center"/>
        </w:trPr>
        <w:tc>
          <w:tcPr>
            <w:tcW w:w="4006" w:type="dxa"/>
            <w:tcBorders>
              <w:top w:val="single" w:sz="4" w:space="0" w:color="auto"/>
              <w:left w:val="single" w:sz="8" w:space="0" w:color="auto"/>
              <w:bottom w:val="single" w:sz="8" w:space="0" w:color="auto"/>
              <w:right w:val="single" w:sz="8" w:space="0" w:color="auto"/>
            </w:tcBorders>
            <w:vAlign w:val="bottom"/>
            <w:hideMark/>
          </w:tcPr>
          <w:p w14:paraId="23846DFD" w14:textId="77777777" w:rsidR="000B4C2E" w:rsidRPr="00BA366A" w:rsidRDefault="000B4C2E">
            <w:pPr>
              <w:rPr>
                <w:rFonts w:ascii="Arial" w:hAnsi="Arial" w:cs="Arial"/>
                <w:b/>
                <w:sz w:val="20"/>
                <w:szCs w:val="20"/>
              </w:rPr>
            </w:pPr>
            <w:r w:rsidRPr="00BA366A">
              <w:rPr>
                <w:rFonts w:ascii="Arial" w:hAnsi="Arial" w:cs="Arial"/>
                <w:b/>
                <w:sz w:val="20"/>
                <w:szCs w:val="20"/>
              </w:rPr>
              <w:t>Pay:</w:t>
            </w:r>
          </w:p>
        </w:tc>
        <w:tc>
          <w:tcPr>
            <w:tcW w:w="1289" w:type="dxa"/>
            <w:tcBorders>
              <w:top w:val="nil"/>
              <w:left w:val="nil"/>
              <w:bottom w:val="single" w:sz="8" w:space="0" w:color="auto"/>
              <w:right w:val="single" w:sz="8" w:space="0" w:color="auto"/>
            </w:tcBorders>
            <w:vAlign w:val="bottom"/>
            <w:hideMark/>
          </w:tcPr>
          <w:p w14:paraId="2A7C52EF" w14:textId="77777777" w:rsidR="000B4C2E" w:rsidRPr="00BA366A" w:rsidRDefault="000B4C2E">
            <w:pPr>
              <w:jc w:val="center"/>
              <w:rPr>
                <w:rFonts w:ascii="Arial" w:hAnsi="Arial" w:cs="Arial"/>
                <w:b/>
                <w:sz w:val="20"/>
                <w:szCs w:val="20"/>
              </w:rPr>
            </w:pPr>
            <w:r w:rsidRPr="00BA366A">
              <w:rPr>
                <w:rFonts w:ascii="Arial" w:hAnsi="Arial" w:cs="Arial"/>
                <w:b/>
                <w:bCs/>
                <w:sz w:val="20"/>
                <w:szCs w:val="20"/>
              </w:rPr>
              <w:t>0</w:t>
            </w:r>
          </w:p>
        </w:tc>
        <w:tc>
          <w:tcPr>
            <w:tcW w:w="1452" w:type="dxa"/>
            <w:tcBorders>
              <w:top w:val="nil"/>
              <w:left w:val="nil"/>
              <w:bottom w:val="single" w:sz="8" w:space="0" w:color="auto"/>
              <w:right w:val="single" w:sz="8" w:space="0" w:color="auto"/>
            </w:tcBorders>
            <w:vAlign w:val="bottom"/>
            <w:hideMark/>
          </w:tcPr>
          <w:p w14:paraId="7E86745C" w14:textId="77777777" w:rsidR="000B4C2E" w:rsidRPr="00BA366A" w:rsidRDefault="000B4C2E">
            <w:pPr>
              <w:jc w:val="center"/>
              <w:rPr>
                <w:rFonts w:ascii="Arial" w:hAnsi="Arial" w:cs="Arial"/>
                <w:b/>
                <w:sz w:val="20"/>
                <w:szCs w:val="20"/>
              </w:rPr>
            </w:pPr>
            <w:r w:rsidRPr="00BA366A">
              <w:rPr>
                <w:rFonts w:ascii="Arial" w:hAnsi="Arial" w:cs="Arial"/>
                <w:b/>
                <w:bCs/>
                <w:sz w:val="20"/>
                <w:szCs w:val="20"/>
              </w:rPr>
              <w:t>143</w:t>
            </w:r>
          </w:p>
        </w:tc>
        <w:tc>
          <w:tcPr>
            <w:tcW w:w="888" w:type="dxa"/>
            <w:tcBorders>
              <w:top w:val="nil"/>
              <w:left w:val="nil"/>
              <w:bottom w:val="single" w:sz="8" w:space="0" w:color="auto"/>
              <w:right w:val="single" w:sz="4" w:space="0" w:color="auto"/>
            </w:tcBorders>
            <w:vAlign w:val="bottom"/>
          </w:tcPr>
          <w:p w14:paraId="072AEFF3"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143</w:t>
            </w:r>
          </w:p>
        </w:tc>
        <w:tc>
          <w:tcPr>
            <w:tcW w:w="1054" w:type="dxa"/>
            <w:tcBorders>
              <w:top w:val="nil"/>
              <w:left w:val="single" w:sz="4" w:space="0" w:color="auto"/>
              <w:bottom w:val="single" w:sz="8" w:space="0" w:color="auto"/>
              <w:right w:val="single" w:sz="8" w:space="0" w:color="auto"/>
            </w:tcBorders>
            <w:vAlign w:val="bottom"/>
            <w:hideMark/>
          </w:tcPr>
          <w:p w14:paraId="154400F1" w14:textId="77777777" w:rsidR="000B4C2E" w:rsidRPr="00BA366A" w:rsidRDefault="000B4C2E">
            <w:pPr>
              <w:jc w:val="center"/>
              <w:rPr>
                <w:rFonts w:ascii="Arial" w:hAnsi="Arial" w:cs="Arial"/>
                <w:b/>
                <w:sz w:val="20"/>
                <w:szCs w:val="20"/>
              </w:rPr>
            </w:pPr>
            <w:r w:rsidRPr="00BA366A">
              <w:rPr>
                <w:rFonts w:ascii="Arial" w:hAnsi="Arial" w:cs="Arial"/>
                <w:b/>
                <w:sz w:val="20"/>
                <w:szCs w:val="20"/>
              </w:rPr>
              <w:t>0</w:t>
            </w:r>
          </w:p>
        </w:tc>
        <w:tc>
          <w:tcPr>
            <w:tcW w:w="950" w:type="dxa"/>
            <w:tcBorders>
              <w:top w:val="nil"/>
              <w:left w:val="nil"/>
              <w:bottom w:val="single" w:sz="8" w:space="0" w:color="auto"/>
              <w:right w:val="single" w:sz="8" w:space="0" w:color="auto"/>
            </w:tcBorders>
            <w:vAlign w:val="bottom"/>
            <w:hideMark/>
          </w:tcPr>
          <w:p w14:paraId="6CE4D1D9" w14:textId="77777777" w:rsidR="000B4C2E" w:rsidRPr="00BA366A" w:rsidRDefault="000B4C2E">
            <w:pPr>
              <w:jc w:val="center"/>
              <w:rPr>
                <w:rFonts w:ascii="Arial" w:hAnsi="Arial" w:cs="Arial"/>
                <w:b/>
                <w:sz w:val="20"/>
                <w:szCs w:val="20"/>
              </w:rPr>
            </w:pPr>
            <w:r w:rsidRPr="00BA366A">
              <w:rPr>
                <w:rFonts w:ascii="Arial" w:hAnsi="Arial" w:cs="Arial"/>
                <w:b/>
                <w:bCs/>
                <w:sz w:val="20"/>
                <w:szCs w:val="20"/>
              </w:rPr>
              <w:t>286</w:t>
            </w:r>
          </w:p>
        </w:tc>
      </w:tr>
      <w:tr w:rsidR="000B4C2E" w:rsidRPr="00BA366A" w14:paraId="091E11F7"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tcPr>
          <w:p w14:paraId="180E633F" w14:textId="77777777" w:rsidR="000B4C2E" w:rsidRPr="00BA366A" w:rsidRDefault="000B4C2E">
            <w:pPr>
              <w:rPr>
                <w:rFonts w:ascii="Arial" w:hAnsi="Arial" w:cs="Arial"/>
                <w:sz w:val="20"/>
                <w:szCs w:val="20"/>
              </w:rPr>
            </w:pPr>
            <w:proofErr w:type="spellStart"/>
            <w:r w:rsidRPr="00BA366A">
              <w:rPr>
                <w:rFonts w:ascii="Arial" w:hAnsi="Arial" w:cs="Arial"/>
                <w:sz w:val="20"/>
                <w:szCs w:val="20"/>
              </w:rPr>
              <w:t>DDaT</w:t>
            </w:r>
            <w:proofErr w:type="spellEnd"/>
          </w:p>
        </w:tc>
        <w:tc>
          <w:tcPr>
            <w:tcW w:w="1289" w:type="dxa"/>
            <w:tcBorders>
              <w:top w:val="nil"/>
              <w:left w:val="nil"/>
              <w:bottom w:val="single" w:sz="8" w:space="0" w:color="auto"/>
              <w:right w:val="single" w:sz="8" w:space="0" w:color="auto"/>
            </w:tcBorders>
            <w:vAlign w:val="bottom"/>
          </w:tcPr>
          <w:p w14:paraId="7B021AD6" w14:textId="77777777" w:rsidR="000B4C2E" w:rsidRPr="00BA366A" w:rsidRDefault="000B4C2E">
            <w:pPr>
              <w:jc w:val="center"/>
              <w:rPr>
                <w:rFonts w:ascii="Arial" w:hAnsi="Arial" w:cs="Arial"/>
                <w:b/>
                <w:bCs/>
                <w:sz w:val="20"/>
                <w:szCs w:val="20"/>
              </w:rPr>
            </w:pPr>
          </w:p>
        </w:tc>
        <w:tc>
          <w:tcPr>
            <w:tcW w:w="1452" w:type="dxa"/>
            <w:tcBorders>
              <w:top w:val="nil"/>
              <w:left w:val="nil"/>
              <w:bottom w:val="single" w:sz="8" w:space="0" w:color="auto"/>
              <w:right w:val="single" w:sz="8" w:space="0" w:color="auto"/>
            </w:tcBorders>
            <w:vAlign w:val="bottom"/>
          </w:tcPr>
          <w:p w14:paraId="1ACC715D" w14:textId="77777777" w:rsidR="000B4C2E" w:rsidRPr="00BA366A" w:rsidRDefault="000B4C2E">
            <w:pPr>
              <w:jc w:val="center"/>
              <w:rPr>
                <w:rFonts w:ascii="Arial" w:hAnsi="Arial" w:cs="Arial"/>
                <w:sz w:val="20"/>
                <w:szCs w:val="20"/>
              </w:rPr>
            </w:pPr>
            <w:r w:rsidRPr="00BA366A">
              <w:rPr>
                <w:rFonts w:ascii="Arial" w:hAnsi="Arial" w:cs="Arial"/>
                <w:sz w:val="20"/>
                <w:szCs w:val="20"/>
              </w:rPr>
              <w:t>143</w:t>
            </w:r>
          </w:p>
        </w:tc>
        <w:tc>
          <w:tcPr>
            <w:tcW w:w="888" w:type="dxa"/>
            <w:tcBorders>
              <w:top w:val="nil"/>
              <w:left w:val="nil"/>
              <w:bottom w:val="single" w:sz="8" w:space="0" w:color="auto"/>
              <w:right w:val="single" w:sz="4" w:space="0" w:color="auto"/>
            </w:tcBorders>
            <w:vAlign w:val="bottom"/>
          </w:tcPr>
          <w:p w14:paraId="3025CCBC" w14:textId="77777777" w:rsidR="000B4C2E" w:rsidRPr="00BA366A" w:rsidRDefault="000B4C2E">
            <w:pPr>
              <w:jc w:val="center"/>
              <w:rPr>
                <w:rFonts w:ascii="Arial" w:hAnsi="Arial" w:cs="Arial"/>
                <w:sz w:val="20"/>
                <w:szCs w:val="20"/>
              </w:rPr>
            </w:pPr>
            <w:r w:rsidRPr="00BA366A">
              <w:rPr>
                <w:rFonts w:ascii="Arial" w:hAnsi="Arial" w:cs="Arial"/>
                <w:sz w:val="20"/>
                <w:szCs w:val="20"/>
              </w:rPr>
              <w:t>143</w:t>
            </w:r>
          </w:p>
        </w:tc>
        <w:tc>
          <w:tcPr>
            <w:tcW w:w="1054" w:type="dxa"/>
            <w:tcBorders>
              <w:top w:val="nil"/>
              <w:left w:val="single" w:sz="4" w:space="0" w:color="auto"/>
              <w:bottom w:val="single" w:sz="8" w:space="0" w:color="auto"/>
              <w:right w:val="single" w:sz="8" w:space="0" w:color="auto"/>
            </w:tcBorders>
            <w:vAlign w:val="bottom"/>
          </w:tcPr>
          <w:p w14:paraId="352C1ADE"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0</w:t>
            </w:r>
          </w:p>
        </w:tc>
        <w:tc>
          <w:tcPr>
            <w:tcW w:w="950" w:type="dxa"/>
            <w:tcBorders>
              <w:top w:val="nil"/>
              <w:left w:val="nil"/>
              <w:bottom w:val="single" w:sz="8" w:space="0" w:color="auto"/>
              <w:right w:val="single" w:sz="8" w:space="0" w:color="auto"/>
            </w:tcBorders>
            <w:vAlign w:val="bottom"/>
          </w:tcPr>
          <w:p w14:paraId="780F96EE" w14:textId="77777777" w:rsidR="000B4C2E" w:rsidRPr="00BA366A" w:rsidRDefault="000B4C2E">
            <w:pPr>
              <w:jc w:val="center"/>
              <w:rPr>
                <w:rFonts w:ascii="Arial" w:hAnsi="Arial" w:cs="Arial"/>
                <w:sz w:val="20"/>
                <w:szCs w:val="20"/>
              </w:rPr>
            </w:pPr>
            <w:r w:rsidRPr="00BA366A">
              <w:rPr>
                <w:rFonts w:ascii="Arial" w:hAnsi="Arial" w:cs="Arial"/>
                <w:sz w:val="20"/>
                <w:szCs w:val="20"/>
              </w:rPr>
              <w:t>286</w:t>
            </w:r>
          </w:p>
        </w:tc>
      </w:tr>
      <w:tr w:rsidR="000B4C2E" w:rsidRPr="00BA366A" w14:paraId="1F684DA7"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hideMark/>
          </w:tcPr>
          <w:p w14:paraId="61A3DA9D" w14:textId="77777777" w:rsidR="000B4C2E" w:rsidRPr="00BA366A" w:rsidRDefault="000B4C2E">
            <w:pPr>
              <w:rPr>
                <w:rFonts w:ascii="Arial" w:hAnsi="Arial" w:cs="Arial"/>
                <w:sz w:val="20"/>
                <w:szCs w:val="20"/>
              </w:rPr>
            </w:pPr>
            <w:r w:rsidRPr="00BA366A">
              <w:rPr>
                <w:rFonts w:ascii="Arial" w:hAnsi="Arial" w:cs="Arial"/>
                <w:sz w:val="20"/>
                <w:szCs w:val="20"/>
              </w:rPr>
              <w:t>Indicative Running Costs: Support (*1)</w:t>
            </w:r>
          </w:p>
        </w:tc>
        <w:tc>
          <w:tcPr>
            <w:tcW w:w="1289" w:type="dxa"/>
            <w:tcBorders>
              <w:top w:val="nil"/>
              <w:left w:val="nil"/>
              <w:bottom w:val="single" w:sz="8" w:space="0" w:color="auto"/>
              <w:right w:val="single" w:sz="8" w:space="0" w:color="auto"/>
            </w:tcBorders>
            <w:vAlign w:val="bottom"/>
            <w:hideMark/>
          </w:tcPr>
          <w:p w14:paraId="6606A77A" w14:textId="77777777" w:rsidR="000B4C2E" w:rsidRPr="00BA366A" w:rsidRDefault="000B4C2E">
            <w:pPr>
              <w:jc w:val="center"/>
              <w:rPr>
                <w:rFonts w:ascii="Arial" w:hAnsi="Arial" w:cs="Arial"/>
                <w:i/>
                <w:sz w:val="20"/>
                <w:szCs w:val="20"/>
              </w:rPr>
            </w:pPr>
            <w:r w:rsidRPr="00BA366A">
              <w:rPr>
                <w:rFonts w:ascii="Arial" w:hAnsi="Arial" w:cs="Arial"/>
                <w:sz w:val="20"/>
                <w:szCs w:val="20"/>
              </w:rPr>
              <w:t> </w:t>
            </w:r>
          </w:p>
        </w:tc>
        <w:tc>
          <w:tcPr>
            <w:tcW w:w="1452" w:type="dxa"/>
            <w:tcBorders>
              <w:top w:val="nil"/>
              <w:left w:val="nil"/>
              <w:bottom w:val="single" w:sz="8" w:space="0" w:color="auto"/>
              <w:right w:val="single" w:sz="8" w:space="0" w:color="auto"/>
            </w:tcBorders>
            <w:vAlign w:val="bottom"/>
            <w:hideMark/>
          </w:tcPr>
          <w:p w14:paraId="2853E97C" w14:textId="77777777" w:rsidR="000B4C2E" w:rsidRPr="00BA366A" w:rsidRDefault="000B4C2E">
            <w:pPr>
              <w:jc w:val="center"/>
              <w:rPr>
                <w:rFonts w:ascii="Arial" w:hAnsi="Arial" w:cs="Arial"/>
                <w:i/>
                <w:sz w:val="20"/>
                <w:szCs w:val="20"/>
              </w:rPr>
            </w:pPr>
            <w:r w:rsidRPr="00BA366A">
              <w:rPr>
                <w:rFonts w:ascii="Arial" w:hAnsi="Arial" w:cs="Arial"/>
                <w:i/>
                <w:sz w:val="20"/>
                <w:szCs w:val="20"/>
              </w:rPr>
              <w:t>225</w:t>
            </w:r>
          </w:p>
        </w:tc>
        <w:tc>
          <w:tcPr>
            <w:tcW w:w="888" w:type="dxa"/>
            <w:tcBorders>
              <w:top w:val="nil"/>
              <w:left w:val="nil"/>
              <w:bottom w:val="single" w:sz="8" w:space="0" w:color="auto"/>
              <w:right w:val="single" w:sz="4" w:space="0" w:color="auto"/>
            </w:tcBorders>
            <w:vAlign w:val="bottom"/>
          </w:tcPr>
          <w:p w14:paraId="3630FEAF"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300</w:t>
            </w:r>
          </w:p>
        </w:tc>
        <w:tc>
          <w:tcPr>
            <w:tcW w:w="1054" w:type="dxa"/>
            <w:tcBorders>
              <w:top w:val="nil"/>
              <w:left w:val="single" w:sz="4" w:space="0" w:color="auto"/>
              <w:bottom w:val="single" w:sz="8" w:space="0" w:color="auto"/>
              <w:right w:val="single" w:sz="8" w:space="0" w:color="auto"/>
            </w:tcBorders>
            <w:vAlign w:val="bottom"/>
            <w:hideMark/>
          </w:tcPr>
          <w:p w14:paraId="10A741BD" w14:textId="77777777" w:rsidR="000B4C2E" w:rsidRPr="00BA366A" w:rsidRDefault="000B4C2E">
            <w:pPr>
              <w:jc w:val="center"/>
              <w:rPr>
                <w:rFonts w:ascii="Arial" w:hAnsi="Arial" w:cs="Arial"/>
                <w:i/>
                <w:sz w:val="20"/>
                <w:szCs w:val="20"/>
              </w:rPr>
            </w:pPr>
            <w:r w:rsidRPr="00BA366A">
              <w:rPr>
                <w:rFonts w:ascii="Arial" w:hAnsi="Arial" w:cs="Arial"/>
                <w:i/>
                <w:sz w:val="20"/>
                <w:szCs w:val="20"/>
              </w:rPr>
              <w:t>301</w:t>
            </w:r>
          </w:p>
        </w:tc>
        <w:tc>
          <w:tcPr>
            <w:tcW w:w="950" w:type="dxa"/>
            <w:tcBorders>
              <w:top w:val="nil"/>
              <w:left w:val="nil"/>
              <w:bottom w:val="single" w:sz="8" w:space="0" w:color="auto"/>
              <w:right w:val="single" w:sz="8" w:space="0" w:color="auto"/>
            </w:tcBorders>
            <w:vAlign w:val="bottom"/>
            <w:hideMark/>
          </w:tcPr>
          <w:p w14:paraId="7B91B20B" w14:textId="77777777" w:rsidR="000B4C2E" w:rsidRPr="00BA366A" w:rsidRDefault="000B4C2E">
            <w:pPr>
              <w:jc w:val="center"/>
              <w:rPr>
                <w:rFonts w:ascii="Arial" w:hAnsi="Arial" w:cs="Arial"/>
                <w:i/>
                <w:sz w:val="20"/>
                <w:szCs w:val="20"/>
              </w:rPr>
            </w:pPr>
            <w:r w:rsidRPr="00BA366A">
              <w:rPr>
                <w:rFonts w:ascii="Arial" w:hAnsi="Arial" w:cs="Arial"/>
                <w:i/>
                <w:iCs/>
                <w:sz w:val="20"/>
                <w:szCs w:val="20"/>
              </w:rPr>
              <w:t>525</w:t>
            </w:r>
          </w:p>
        </w:tc>
      </w:tr>
      <w:tr w:rsidR="000B4C2E" w:rsidRPr="00BA366A" w14:paraId="424B1B24"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hideMark/>
          </w:tcPr>
          <w:p w14:paraId="7F77CAAB" w14:textId="77777777" w:rsidR="000B4C2E" w:rsidRPr="00BA366A" w:rsidRDefault="000B4C2E">
            <w:pPr>
              <w:rPr>
                <w:rFonts w:ascii="Arial" w:hAnsi="Arial" w:cs="Arial"/>
                <w:b/>
                <w:sz w:val="20"/>
                <w:szCs w:val="20"/>
              </w:rPr>
            </w:pPr>
            <w:proofErr w:type="gramStart"/>
            <w:r w:rsidRPr="00BA366A">
              <w:rPr>
                <w:rFonts w:ascii="Arial" w:hAnsi="Arial" w:cs="Arial"/>
                <w:b/>
                <w:sz w:val="20"/>
                <w:szCs w:val="20"/>
              </w:rPr>
              <w:t>Non Pay</w:t>
            </w:r>
            <w:proofErr w:type="gramEnd"/>
            <w:r w:rsidRPr="00BA366A">
              <w:rPr>
                <w:rFonts w:ascii="Arial" w:hAnsi="Arial" w:cs="Arial"/>
                <w:b/>
                <w:sz w:val="20"/>
                <w:szCs w:val="20"/>
              </w:rPr>
              <w:t>:</w:t>
            </w:r>
          </w:p>
        </w:tc>
        <w:tc>
          <w:tcPr>
            <w:tcW w:w="1289" w:type="dxa"/>
            <w:tcBorders>
              <w:top w:val="nil"/>
              <w:left w:val="nil"/>
              <w:bottom w:val="single" w:sz="8" w:space="0" w:color="auto"/>
              <w:right w:val="single" w:sz="8" w:space="0" w:color="auto"/>
            </w:tcBorders>
            <w:vAlign w:val="bottom"/>
            <w:hideMark/>
          </w:tcPr>
          <w:p w14:paraId="31A6FB82" w14:textId="77777777" w:rsidR="000B4C2E" w:rsidRPr="00BA366A" w:rsidRDefault="000B4C2E">
            <w:pPr>
              <w:jc w:val="center"/>
              <w:rPr>
                <w:rFonts w:ascii="Arial" w:hAnsi="Arial" w:cs="Arial"/>
                <w:b/>
                <w:sz w:val="20"/>
                <w:szCs w:val="20"/>
              </w:rPr>
            </w:pPr>
            <w:r w:rsidRPr="00BA366A">
              <w:rPr>
                <w:rFonts w:ascii="Arial" w:hAnsi="Arial" w:cs="Arial"/>
                <w:b/>
                <w:bCs/>
                <w:sz w:val="20"/>
                <w:szCs w:val="20"/>
              </w:rPr>
              <w:t>1,010</w:t>
            </w:r>
          </w:p>
        </w:tc>
        <w:tc>
          <w:tcPr>
            <w:tcW w:w="1452" w:type="dxa"/>
            <w:tcBorders>
              <w:top w:val="nil"/>
              <w:left w:val="nil"/>
              <w:bottom w:val="single" w:sz="8" w:space="0" w:color="auto"/>
              <w:right w:val="single" w:sz="8" w:space="0" w:color="auto"/>
            </w:tcBorders>
            <w:vAlign w:val="bottom"/>
            <w:hideMark/>
          </w:tcPr>
          <w:p w14:paraId="6E0B6797" w14:textId="77777777" w:rsidR="000B4C2E" w:rsidRPr="00BA366A" w:rsidRDefault="000B4C2E">
            <w:pPr>
              <w:jc w:val="center"/>
              <w:rPr>
                <w:rFonts w:ascii="Arial" w:hAnsi="Arial" w:cs="Arial"/>
                <w:b/>
                <w:sz w:val="20"/>
                <w:szCs w:val="20"/>
              </w:rPr>
            </w:pPr>
            <w:r w:rsidRPr="00BA366A">
              <w:rPr>
                <w:rFonts w:ascii="Arial" w:hAnsi="Arial" w:cs="Arial"/>
                <w:b/>
                <w:bCs/>
                <w:sz w:val="20"/>
                <w:szCs w:val="20"/>
              </w:rPr>
              <w:t>1,247</w:t>
            </w:r>
          </w:p>
        </w:tc>
        <w:tc>
          <w:tcPr>
            <w:tcW w:w="888" w:type="dxa"/>
            <w:tcBorders>
              <w:top w:val="nil"/>
              <w:left w:val="nil"/>
              <w:bottom w:val="single" w:sz="8" w:space="0" w:color="auto"/>
              <w:right w:val="single" w:sz="4" w:space="0" w:color="auto"/>
            </w:tcBorders>
            <w:vAlign w:val="bottom"/>
          </w:tcPr>
          <w:p w14:paraId="469202FE"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132</w:t>
            </w:r>
          </w:p>
        </w:tc>
        <w:tc>
          <w:tcPr>
            <w:tcW w:w="1054" w:type="dxa"/>
            <w:tcBorders>
              <w:top w:val="nil"/>
              <w:left w:val="single" w:sz="4" w:space="0" w:color="auto"/>
              <w:bottom w:val="single" w:sz="8" w:space="0" w:color="auto"/>
              <w:right w:val="single" w:sz="8" w:space="0" w:color="auto"/>
            </w:tcBorders>
            <w:vAlign w:val="bottom"/>
            <w:hideMark/>
          </w:tcPr>
          <w:p w14:paraId="6A899CEB" w14:textId="77777777" w:rsidR="000B4C2E" w:rsidRPr="00BA366A" w:rsidRDefault="000B4C2E">
            <w:pPr>
              <w:jc w:val="center"/>
              <w:rPr>
                <w:rFonts w:ascii="Arial" w:hAnsi="Arial" w:cs="Arial"/>
                <w:b/>
                <w:sz w:val="20"/>
                <w:szCs w:val="20"/>
              </w:rPr>
            </w:pPr>
            <w:r w:rsidRPr="00BA366A">
              <w:rPr>
                <w:rFonts w:ascii="Arial" w:hAnsi="Arial" w:cs="Arial"/>
                <w:b/>
                <w:sz w:val="20"/>
                <w:szCs w:val="20"/>
              </w:rPr>
              <w:t>132</w:t>
            </w:r>
          </w:p>
        </w:tc>
        <w:tc>
          <w:tcPr>
            <w:tcW w:w="950" w:type="dxa"/>
            <w:tcBorders>
              <w:top w:val="nil"/>
              <w:left w:val="nil"/>
              <w:bottom w:val="single" w:sz="8" w:space="0" w:color="auto"/>
              <w:right w:val="single" w:sz="8" w:space="0" w:color="auto"/>
            </w:tcBorders>
            <w:vAlign w:val="bottom"/>
            <w:hideMark/>
          </w:tcPr>
          <w:p w14:paraId="3C55CA9F" w14:textId="77777777" w:rsidR="000B4C2E" w:rsidRPr="00BA366A" w:rsidRDefault="000B4C2E">
            <w:pPr>
              <w:jc w:val="center"/>
              <w:rPr>
                <w:rFonts w:ascii="Arial" w:hAnsi="Arial" w:cs="Arial"/>
                <w:b/>
                <w:sz w:val="20"/>
                <w:szCs w:val="20"/>
              </w:rPr>
            </w:pPr>
            <w:r w:rsidRPr="00BA366A">
              <w:rPr>
                <w:rFonts w:ascii="Arial" w:hAnsi="Arial" w:cs="Arial"/>
                <w:b/>
                <w:sz w:val="20"/>
                <w:szCs w:val="20"/>
              </w:rPr>
              <w:t>2,</w:t>
            </w:r>
            <w:r w:rsidRPr="00BA366A">
              <w:rPr>
                <w:rFonts w:ascii="Arial" w:hAnsi="Arial" w:cs="Arial"/>
                <w:b/>
                <w:bCs/>
                <w:sz w:val="20"/>
                <w:szCs w:val="20"/>
              </w:rPr>
              <w:t>389</w:t>
            </w:r>
          </w:p>
        </w:tc>
      </w:tr>
      <w:tr w:rsidR="000B4C2E" w:rsidRPr="00BA366A" w14:paraId="12570133"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hideMark/>
          </w:tcPr>
          <w:p w14:paraId="565D04B3" w14:textId="77777777" w:rsidR="000B4C2E" w:rsidRPr="00BA366A" w:rsidRDefault="000B4C2E">
            <w:pPr>
              <w:rPr>
                <w:rFonts w:ascii="Arial" w:hAnsi="Arial" w:cs="Arial"/>
                <w:sz w:val="20"/>
                <w:szCs w:val="20"/>
              </w:rPr>
            </w:pPr>
            <w:r w:rsidRPr="00BA366A">
              <w:rPr>
                <w:rFonts w:ascii="Arial" w:hAnsi="Arial" w:cs="Arial"/>
                <w:sz w:val="20"/>
                <w:szCs w:val="20"/>
              </w:rPr>
              <w:t>Professional Services (*2) inc. VAT</w:t>
            </w:r>
          </w:p>
        </w:tc>
        <w:tc>
          <w:tcPr>
            <w:tcW w:w="1289" w:type="dxa"/>
            <w:tcBorders>
              <w:top w:val="nil"/>
              <w:left w:val="nil"/>
              <w:bottom w:val="single" w:sz="8" w:space="0" w:color="auto"/>
              <w:right w:val="single" w:sz="8" w:space="0" w:color="auto"/>
            </w:tcBorders>
            <w:vAlign w:val="bottom"/>
            <w:hideMark/>
          </w:tcPr>
          <w:p w14:paraId="498A31F3" w14:textId="77777777" w:rsidR="000B4C2E" w:rsidRPr="00BA366A" w:rsidRDefault="000B4C2E">
            <w:pPr>
              <w:jc w:val="center"/>
              <w:rPr>
                <w:rFonts w:ascii="Arial" w:hAnsi="Arial" w:cs="Arial"/>
                <w:sz w:val="20"/>
                <w:szCs w:val="20"/>
              </w:rPr>
            </w:pPr>
            <w:r w:rsidRPr="00BA366A">
              <w:rPr>
                <w:rFonts w:ascii="Arial" w:hAnsi="Arial" w:cs="Arial"/>
                <w:sz w:val="20"/>
                <w:szCs w:val="20"/>
              </w:rPr>
              <w:t>715</w:t>
            </w:r>
          </w:p>
        </w:tc>
        <w:tc>
          <w:tcPr>
            <w:tcW w:w="1452" w:type="dxa"/>
            <w:tcBorders>
              <w:top w:val="nil"/>
              <w:left w:val="nil"/>
              <w:bottom w:val="single" w:sz="8" w:space="0" w:color="auto"/>
              <w:right w:val="single" w:sz="8" w:space="0" w:color="auto"/>
            </w:tcBorders>
            <w:vAlign w:val="bottom"/>
            <w:hideMark/>
          </w:tcPr>
          <w:p w14:paraId="55AB18D5" w14:textId="77777777" w:rsidR="000B4C2E" w:rsidRPr="00BA366A" w:rsidRDefault="000B4C2E">
            <w:pPr>
              <w:jc w:val="center"/>
              <w:rPr>
                <w:rFonts w:ascii="Arial" w:hAnsi="Arial" w:cs="Arial"/>
                <w:sz w:val="20"/>
                <w:szCs w:val="20"/>
              </w:rPr>
            </w:pPr>
            <w:r w:rsidRPr="00BA366A">
              <w:rPr>
                <w:rFonts w:ascii="Arial" w:hAnsi="Arial" w:cs="Arial"/>
                <w:sz w:val="20"/>
                <w:szCs w:val="20"/>
              </w:rPr>
              <w:t>845</w:t>
            </w:r>
          </w:p>
        </w:tc>
        <w:tc>
          <w:tcPr>
            <w:tcW w:w="888" w:type="dxa"/>
            <w:tcBorders>
              <w:top w:val="nil"/>
              <w:left w:val="nil"/>
              <w:bottom w:val="single" w:sz="8" w:space="0" w:color="auto"/>
              <w:right w:val="single" w:sz="4" w:space="0" w:color="auto"/>
            </w:tcBorders>
            <w:vAlign w:val="bottom"/>
          </w:tcPr>
          <w:p w14:paraId="1FE49041" w14:textId="77777777" w:rsidR="000B4C2E" w:rsidRPr="00BA366A" w:rsidRDefault="000B4C2E">
            <w:pPr>
              <w:jc w:val="center"/>
              <w:rPr>
                <w:rFonts w:ascii="Arial" w:hAnsi="Arial" w:cs="Arial"/>
                <w:sz w:val="20"/>
                <w:szCs w:val="20"/>
              </w:rPr>
            </w:pPr>
          </w:p>
        </w:tc>
        <w:tc>
          <w:tcPr>
            <w:tcW w:w="1054" w:type="dxa"/>
            <w:tcBorders>
              <w:top w:val="nil"/>
              <w:left w:val="single" w:sz="4" w:space="0" w:color="auto"/>
              <w:bottom w:val="single" w:sz="8" w:space="0" w:color="auto"/>
              <w:right w:val="single" w:sz="8" w:space="0" w:color="auto"/>
            </w:tcBorders>
            <w:vAlign w:val="bottom"/>
            <w:hideMark/>
          </w:tcPr>
          <w:p w14:paraId="1E7EBE2B" w14:textId="77777777" w:rsidR="000B4C2E" w:rsidRPr="00BA366A" w:rsidRDefault="000B4C2E">
            <w:pPr>
              <w:jc w:val="center"/>
              <w:rPr>
                <w:rFonts w:ascii="Arial" w:hAnsi="Arial" w:cs="Arial"/>
                <w:sz w:val="20"/>
                <w:szCs w:val="20"/>
              </w:rPr>
            </w:pPr>
            <w:r w:rsidRPr="00BA366A">
              <w:rPr>
                <w:rFonts w:ascii="Arial" w:hAnsi="Arial" w:cs="Arial"/>
                <w:sz w:val="20"/>
                <w:szCs w:val="20"/>
              </w:rPr>
              <w:t> </w:t>
            </w:r>
          </w:p>
        </w:tc>
        <w:tc>
          <w:tcPr>
            <w:tcW w:w="950" w:type="dxa"/>
            <w:tcBorders>
              <w:top w:val="nil"/>
              <w:left w:val="nil"/>
              <w:bottom w:val="single" w:sz="8" w:space="0" w:color="auto"/>
              <w:right w:val="single" w:sz="8" w:space="0" w:color="auto"/>
            </w:tcBorders>
            <w:vAlign w:val="bottom"/>
            <w:hideMark/>
          </w:tcPr>
          <w:p w14:paraId="7F524611" w14:textId="77777777" w:rsidR="000B4C2E" w:rsidRPr="00BA366A" w:rsidRDefault="000B4C2E">
            <w:pPr>
              <w:jc w:val="center"/>
              <w:rPr>
                <w:rFonts w:ascii="Arial" w:hAnsi="Arial" w:cs="Arial"/>
                <w:sz w:val="20"/>
                <w:szCs w:val="20"/>
              </w:rPr>
            </w:pPr>
            <w:r w:rsidRPr="00BA366A">
              <w:rPr>
                <w:rFonts w:ascii="Arial" w:hAnsi="Arial" w:cs="Arial"/>
                <w:sz w:val="20"/>
                <w:szCs w:val="20"/>
              </w:rPr>
              <w:t>1,560</w:t>
            </w:r>
          </w:p>
        </w:tc>
      </w:tr>
      <w:tr w:rsidR="000B4C2E" w:rsidRPr="00BA366A" w14:paraId="10929EAD"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hideMark/>
          </w:tcPr>
          <w:p w14:paraId="2ED5C14B" w14:textId="77777777" w:rsidR="000B4C2E" w:rsidRPr="00BA366A" w:rsidRDefault="000B4C2E">
            <w:pPr>
              <w:rPr>
                <w:rFonts w:ascii="Arial" w:hAnsi="Arial" w:cs="Arial"/>
                <w:sz w:val="20"/>
                <w:szCs w:val="20"/>
              </w:rPr>
            </w:pPr>
            <w:r w:rsidRPr="00BA366A">
              <w:rPr>
                <w:rFonts w:ascii="Arial" w:hAnsi="Arial" w:cs="Arial"/>
                <w:sz w:val="20"/>
                <w:szCs w:val="20"/>
              </w:rPr>
              <w:t>Compute (Infrastructure) Semantic Search (*3)</w:t>
            </w:r>
          </w:p>
        </w:tc>
        <w:tc>
          <w:tcPr>
            <w:tcW w:w="1289" w:type="dxa"/>
            <w:tcBorders>
              <w:top w:val="nil"/>
              <w:left w:val="nil"/>
              <w:bottom w:val="single" w:sz="8" w:space="0" w:color="auto"/>
              <w:right w:val="single" w:sz="8" w:space="0" w:color="auto"/>
            </w:tcBorders>
            <w:vAlign w:val="bottom"/>
            <w:hideMark/>
          </w:tcPr>
          <w:p w14:paraId="596523D3" w14:textId="77777777" w:rsidR="000B4C2E" w:rsidRPr="00BA366A" w:rsidRDefault="000B4C2E">
            <w:pPr>
              <w:jc w:val="center"/>
              <w:rPr>
                <w:rFonts w:ascii="Arial" w:hAnsi="Arial" w:cs="Arial"/>
                <w:sz w:val="20"/>
                <w:szCs w:val="20"/>
              </w:rPr>
            </w:pPr>
            <w:r w:rsidRPr="00BA366A">
              <w:rPr>
                <w:rFonts w:ascii="Arial" w:hAnsi="Arial" w:cs="Arial"/>
                <w:sz w:val="20"/>
                <w:szCs w:val="20"/>
              </w:rPr>
              <w:t>50</w:t>
            </w:r>
          </w:p>
        </w:tc>
        <w:tc>
          <w:tcPr>
            <w:tcW w:w="1452" w:type="dxa"/>
            <w:tcBorders>
              <w:top w:val="nil"/>
              <w:left w:val="nil"/>
              <w:bottom w:val="single" w:sz="8" w:space="0" w:color="auto"/>
              <w:right w:val="single" w:sz="8" w:space="0" w:color="auto"/>
            </w:tcBorders>
            <w:vAlign w:val="bottom"/>
            <w:hideMark/>
          </w:tcPr>
          <w:p w14:paraId="181C3DBB" w14:textId="77777777" w:rsidR="000B4C2E" w:rsidRPr="00BA366A" w:rsidRDefault="000B4C2E">
            <w:pPr>
              <w:jc w:val="center"/>
              <w:rPr>
                <w:rFonts w:ascii="Arial" w:hAnsi="Arial" w:cs="Arial"/>
                <w:sz w:val="20"/>
                <w:szCs w:val="20"/>
              </w:rPr>
            </w:pPr>
            <w:r w:rsidRPr="00BA366A">
              <w:rPr>
                <w:rFonts w:ascii="Arial" w:hAnsi="Arial" w:cs="Arial"/>
                <w:sz w:val="20"/>
                <w:szCs w:val="20"/>
              </w:rPr>
              <w:t>100</w:t>
            </w:r>
          </w:p>
        </w:tc>
        <w:tc>
          <w:tcPr>
            <w:tcW w:w="888" w:type="dxa"/>
            <w:tcBorders>
              <w:top w:val="nil"/>
              <w:left w:val="nil"/>
              <w:bottom w:val="single" w:sz="8" w:space="0" w:color="auto"/>
              <w:right w:val="single" w:sz="4" w:space="0" w:color="auto"/>
            </w:tcBorders>
            <w:vAlign w:val="bottom"/>
          </w:tcPr>
          <w:p w14:paraId="0E78EDE0" w14:textId="77777777" w:rsidR="000B4C2E" w:rsidRPr="00BA366A" w:rsidRDefault="000B4C2E">
            <w:pPr>
              <w:jc w:val="center"/>
              <w:rPr>
                <w:rFonts w:ascii="Arial" w:hAnsi="Arial" w:cs="Arial"/>
                <w:sz w:val="20"/>
                <w:szCs w:val="20"/>
              </w:rPr>
            </w:pPr>
            <w:r w:rsidRPr="00BA366A">
              <w:rPr>
                <w:rFonts w:ascii="Arial" w:hAnsi="Arial" w:cs="Arial"/>
                <w:sz w:val="20"/>
                <w:szCs w:val="20"/>
              </w:rPr>
              <w:t>100</w:t>
            </w:r>
          </w:p>
        </w:tc>
        <w:tc>
          <w:tcPr>
            <w:tcW w:w="1054" w:type="dxa"/>
            <w:tcBorders>
              <w:top w:val="nil"/>
              <w:left w:val="single" w:sz="4" w:space="0" w:color="auto"/>
              <w:bottom w:val="single" w:sz="8" w:space="0" w:color="auto"/>
              <w:right w:val="single" w:sz="8" w:space="0" w:color="auto"/>
            </w:tcBorders>
            <w:vAlign w:val="bottom"/>
            <w:hideMark/>
          </w:tcPr>
          <w:p w14:paraId="504A7407" w14:textId="77777777" w:rsidR="000B4C2E" w:rsidRPr="00BA366A" w:rsidRDefault="000B4C2E">
            <w:pPr>
              <w:jc w:val="center"/>
              <w:rPr>
                <w:rFonts w:ascii="Arial" w:hAnsi="Arial" w:cs="Arial"/>
                <w:sz w:val="20"/>
                <w:szCs w:val="20"/>
              </w:rPr>
            </w:pPr>
            <w:r w:rsidRPr="00BA366A">
              <w:rPr>
                <w:rFonts w:ascii="Arial" w:hAnsi="Arial" w:cs="Arial"/>
                <w:sz w:val="20"/>
                <w:szCs w:val="20"/>
              </w:rPr>
              <w:t>100</w:t>
            </w:r>
          </w:p>
        </w:tc>
        <w:tc>
          <w:tcPr>
            <w:tcW w:w="950" w:type="dxa"/>
            <w:tcBorders>
              <w:top w:val="nil"/>
              <w:left w:val="nil"/>
              <w:bottom w:val="single" w:sz="8" w:space="0" w:color="auto"/>
              <w:right w:val="single" w:sz="8" w:space="0" w:color="auto"/>
            </w:tcBorders>
            <w:vAlign w:val="bottom"/>
            <w:hideMark/>
          </w:tcPr>
          <w:p w14:paraId="53521F96" w14:textId="77777777" w:rsidR="000B4C2E" w:rsidRPr="00BA366A" w:rsidRDefault="000B4C2E">
            <w:pPr>
              <w:jc w:val="center"/>
              <w:rPr>
                <w:rFonts w:ascii="Arial" w:hAnsi="Arial" w:cs="Arial"/>
                <w:sz w:val="20"/>
                <w:szCs w:val="20"/>
              </w:rPr>
            </w:pPr>
            <w:r w:rsidRPr="00BA366A">
              <w:rPr>
                <w:rFonts w:ascii="Arial" w:hAnsi="Arial" w:cs="Arial"/>
                <w:sz w:val="20"/>
                <w:szCs w:val="20"/>
              </w:rPr>
              <w:t>250</w:t>
            </w:r>
          </w:p>
        </w:tc>
      </w:tr>
      <w:tr w:rsidR="000B4C2E" w:rsidRPr="00BA366A" w14:paraId="762A04D7" w14:textId="77777777" w:rsidTr="00ED34F4">
        <w:trPr>
          <w:trHeight w:val="281"/>
          <w:jc w:val="center"/>
        </w:trPr>
        <w:tc>
          <w:tcPr>
            <w:tcW w:w="4006" w:type="dxa"/>
            <w:tcBorders>
              <w:top w:val="nil"/>
              <w:left w:val="single" w:sz="8" w:space="0" w:color="auto"/>
              <w:bottom w:val="single" w:sz="8" w:space="0" w:color="auto"/>
              <w:right w:val="single" w:sz="8" w:space="0" w:color="auto"/>
            </w:tcBorders>
            <w:vAlign w:val="bottom"/>
            <w:hideMark/>
          </w:tcPr>
          <w:p w14:paraId="63DE1CE0" w14:textId="77777777" w:rsidR="000B4C2E" w:rsidRPr="00BA366A" w:rsidRDefault="000B4C2E">
            <w:pPr>
              <w:rPr>
                <w:rFonts w:ascii="Arial" w:hAnsi="Arial" w:cs="Arial"/>
                <w:i/>
                <w:iCs/>
                <w:sz w:val="20"/>
                <w:szCs w:val="20"/>
              </w:rPr>
            </w:pPr>
            <w:r w:rsidRPr="00BA366A">
              <w:rPr>
                <w:rFonts w:ascii="Arial" w:hAnsi="Arial" w:cs="Arial"/>
                <w:i/>
                <w:iCs/>
                <w:sz w:val="20"/>
                <w:szCs w:val="20"/>
              </w:rPr>
              <w:t>Contingency (*4)</w:t>
            </w:r>
          </w:p>
        </w:tc>
        <w:tc>
          <w:tcPr>
            <w:tcW w:w="1289" w:type="dxa"/>
            <w:tcBorders>
              <w:top w:val="nil"/>
              <w:left w:val="nil"/>
              <w:bottom w:val="single" w:sz="8" w:space="0" w:color="auto"/>
              <w:right w:val="single" w:sz="8" w:space="0" w:color="auto"/>
            </w:tcBorders>
            <w:vAlign w:val="bottom"/>
            <w:hideMark/>
          </w:tcPr>
          <w:p w14:paraId="5B06A8E5"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245</w:t>
            </w:r>
          </w:p>
        </w:tc>
        <w:tc>
          <w:tcPr>
            <w:tcW w:w="1452" w:type="dxa"/>
            <w:tcBorders>
              <w:top w:val="nil"/>
              <w:left w:val="nil"/>
              <w:bottom w:val="single" w:sz="8" w:space="0" w:color="auto"/>
              <w:right w:val="single" w:sz="8" w:space="0" w:color="auto"/>
            </w:tcBorders>
            <w:vAlign w:val="bottom"/>
            <w:hideMark/>
          </w:tcPr>
          <w:p w14:paraId="298A4C22"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302</w:t>
            </w:r>
          </w:p>
        </w:tc>
        <w:tc>
          <w:tcPr>
            <w:tcW w:w="888" w:type="dxa"/>
            <w:tcBorders>
              <w:top w:val="nil"/>
              <w:left w:val="nil"/>
              <w:bottom w:val="single" w:sz="8" w:space="0" w:color="auto"/>
              <w:right w:val="single" w:sz="4" w:space="0" w:color="auto"/>
            </w:tcBorders>
            <w:vAlign w:val="bottom"/>
          </w:tcPr>
          <w:p w14:paraId="39978041"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32</w:t>
            </w:r>
          </w:p>
        </w:tc>
        <w:tc>
          <w:tcPr>
            <w:tcW w:w="1054" w:type="dxa"/>
            <w:tcBorders>
              <w:top w:val="nil"/>
              <w:left w:val="single" w:sz="4" w:space="0" w:color="auto"/>
              <w:bottom w:val="single" w:sz="8" w:space="0" w:color="auto"/>
              <w:right w:val="single" w:sz="8" w:space="0" w:color="auto"/>
            </w:tcBorders>
            <w:vAlign w:val="bottom"/>
            <w:hideMark/>
          </w:tcPr>
          <w:p w14:paraId="04201788"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32</w:t>
            </w:r>
          </w:p>
        </w:tc>
        <w:tc>
          <w:tcPr>
            <w:tcW w:w="950" w:type="dxa"/>
            <w:tcBorders>
              <w:top w:val="nil"/>
              <w:left w:val="nil"/>
              <w:bottom w:val="single" w:sz="8" w:space="0" w:color="auto"/>
              <w:right w:val="single" w:sz="8" w:space="0" w:color="auto"/>
            </w:tcBorders>
            <w:vAlign w:val="bottom"/>
            <w:hideMark/>
          </w:tcPr>
          <w:p w14:paraId="5E336EAE" w14:textId="77777777" w:rsidR="000B4C2E" w:rsidRPr="00BA366A" w:rsidRDefault="000B4C2E">
            <w:pPr>
              <w:jc w:val="center"/>
              <w:rPr>
                <w:rFonts w:ascii="Arial" w:hAnsi="Arial" w:cs="Arial"/>
                <w:i/>
                <w:iCs/>
                <w:sz w:val="20"/>
                <w:szCs w:val="20"/>
              </w:rPr>
            </w:pPr>
            <w:r w:rsidRPr="00BA366A">
              <w:rPr>
                <w:rFonts w:ascii="Arial" w:hAnsi="Arial" w:cs="Arial"/>
                <w:i/>
                <w:iCs/>
                <w:sz w:val="20"/>
                <w:szCs w:val="20"/>
              </w:rPr>
              <w:t>579</w:t>
            </w:r>
          </w:p>
        </w:tc>
      </w:tr>
      <w:tr w:rsidR="000B4C2E" w:rsidRPr="00BA366A" w14:paraId="073B2198" w14:textId="77777777" w:rsidTr="00DD49E9">
        <w:trPr>
          <w:trHeight w:val="281"/>
          <w:jc w:val="center"/>
        </w:trPr>
        <w:tc>
          <w:tcPr>
            <w:tcW w:w="4006" w:type="dxa"/>
            <w:tcBorders>
              <w:top w:val="nil"/>
              <w:left w:val="single" w:sz="8" w:space="0" w:color="auto"/>
              <w:bottom w:val="single" w:sz="8" w:space="0" w:color="auto"/>
              <w:right w:val="single" w:sz="8" w:space="0" w:color="auto"/>
            </w:tcBorders>
            <w:shd w:val="clear" w:color="auto" w:fill="228096"/>
            <w:vAlign w:val="bottom"/>
            <w:hideMark/>
          </w:tcPr>
          <w:p w14:paraId="4508A112" w14:textId="77777777" w:rsidR="000B4C2E" w:rsidRPr="00BA366A" w:rsidRDefault="000B4C2E">
            <w:pPr>
              <w:rPr>
                <w:rFonts w:ascii="Arial" w:hAnsi="Arial" w:cs="Arial"/>
                <w:b/>
                <w:color w:val="FFFFFF"/>
                <w:sz w:val="22"/>
                <w:szCs w:val="22"/>
              </w:rPr>
            </w:pPr>
            <w:r w:rsidRPr="00BA366A">
              <w:rPr>
                <w:rFonts w:ascii="Arial" w:hAnsi="Arial" w:cs="Arial"/>
                <w:b/>
                <w:color w:val="FFFFFF"/>
                <w:sz w:val="22"/>
                <w:szCs w:val="22"/>
              </w:rPr>
              <w:t xml:space="preserve">Total Cost </w:t>
            </w:r>
          </w:p>
        </w:tc>
        <w:tc>
          <w:tcPr>
            <w:tcW w:w="1289" w:type="dxa"/>
            <w:tcBorders>
              <w:top w:val="nil"/>
              <w:left w:val="nil"/>
              <w:bottom w:val="single" w:sz="8" w:space="0" w:color="auto"/>
              <w:right w:val="single" w:sz="8" w:space="0" w:color="auto"/>
            </w:tcBorders>
            <w:shd w:val="clear" w:color="auto" w:fill="228096"/>
            <w:vAlign w:val="bottom"/>
            <w:hideMark/>
          </w:tcPr>
          <w:p w14:paraId="7717F7D8" w14:textId="77777777" w:rsidR="000B4C2E" w:rsidRPr="00BA366A" w:rsidRDefault="000B4C2E">
            <w:pPr>
              <w:jc w:val="center"/>
              <w:rPr>
                <w:rFonts w:ascii="Arial" w:hAnsi="Arial" w:cs="Arial"/>
                <w:b/>
                <w:color w:val="FFFFFF"/>
                <w:sz w:val="22"/>
                <w:szCs w:val="22"/>
              </w:rPr>
            </w:pPr>
            <w:r w:rsidRPr="00BA366A">
              <w:rPr>
                <w:rFonts w:ascii="Arial" w:hAnsi="Arial" w:cs="Arial"/>
                <w:b/>
                <w:bCs/>
                <w:color w:val="FFFFFF"/>
                <w:sz w:val="22"/>
                <w:szCs w:val="22"/>
              </w:rPr>
              <w:t>1,010</w:t>
            </w:r>
          </w:p>
        </w:tc>
        <w:tc>
          <w:tcPr>
            <w:tcW w:w="1452" w:type="dxa"/>
            <w:tcBorders>
              <w:top w:val="nil"/>
              <w:left w:val="nil"/>
              <w:bottom w:val="single" w:sz="8" w:space="0" w:color="auto"/>
              <w:right w:val="single" w:sz="8" w:space="0" w:color="auto"/>
            </w:tcBorders>
            <w:shd w:val="clear" w:color="auto" w:fill="228096"/>
            <w:vAlign w:val="bottom"/>
            <w:hideMark/>
          </w:tcPr>
          <w:p w14:paraId="6D8BFE2B" w14:textId="77777777" w:rsidR="000B4C2E" w:rsidRPr="00BA366A" w:rsidRDefault="000B4C2E">
            <w:pPr>
              <w:jc w:val="center"/>
              <w:rPr>
                <w:rFonts w:ascii="Arial" w:hAnsi="Arial" w:cs="Arial"/>
                <w:b/>
                <w:color w:val="FFFFFF"/>
                <w:sz w:val="22"/>
                <w:szCs w:val="22"/>
              </w:rPr>
            </w:pPr>
            <w:r w:rsidRPr="00BA366A">
              <w:rPr>
                <w:rFonts w:ascii="Arial" w:hAnsi="Arial" w:cs="Arial"/>
                <w:b/>
                <w:bCs/>
                <w:color w:val="FFFFFF"/>
                <w:sz w:val="22"/>
                <w:szCs w:val="22"/>
              </w:rPr>
              <w:t>1,390</w:t>
            </w:r>
          </w:p>
        </w:tc>
        <w:tc>
          <w:tcPr>
            <w:tcW w:w="888" w:type="dxa"/>
            <w:tcBorders>
              <w:top w:val="nil"/>
              <w:left w:val="nil"/>
              <w:bottom w:val="single" w:sz="8" w:space="0" w:color="auto"/>
              <w:right w:val="single" w:sz="4" w:space="0" w:color="auto"/>
            </w:tcBorders>
            <w:shd w:val="clear" w:color="auto" w:fill="228096"/>
            <w:vAlign w:val="bottom"/>
          </w:tcPr>
          <w:p w14:paraId="2EA2BC9F" w14:textId="77777777" w:rsidR="000B4C2E" w:rsidRPr="00BA366A" w:rsidRDefault="000B4C2E">
            <w:pPr>
              <w:jc w:val="center"/>
              <w:rPr>
                <w:rFonts w:ascii="Arial" w:hAnsi="Arial" w:cs="Arial"/>
                <w:b/>
                <w:bCs/>
                <w:color w:val="FFFFFF"/>
                <w:sz w:val="22"/>
                <w:szCs w:val="22"/>
              </w:rPr>
            </w:pPr>
            <w:r w:rsidRPr="00BA366A">
              <w:rPr>
                <w:rFonts w:ascii="Arial" w:hAnsi="Arial" w:cs="Arial"/>
                <w:b/>
                <w:bCs/>
                <w:color w:val="FFFFFF"/>
                <w:sz w:val="22"/>
                <w:szCs w:val="22"/>
              </w:rPr>
              <w:t>275</w:t>
            </w:r>
          </w:p>
        </w:tc>
        <w:tc>
          <w:tcPr>
            <w:tcW w:w="1054" w:type="dxa"/>
            <w:tcBorders>
              <w:top w:val="nil"/>
              <w:left w:val="single" w:sz="4" w:space="0" w:color="auto"/>
              <w:bottom w:val="single" w:sz="8" w:space="0" w:color="auto"/>
              <w:right w:val="single" w:sz="8" w:space="0" w:color="auto"/>
            </w:tcBorders>
            <w:shd w:val="clear" w:color="auto" w:fill="228096"/>
            <w:vAlign w:val="bottom"/>
            <w:hideMark/>
          </w:tcPr>
          <w:p w14:paraId="342AE320" w14:textId="77777777" w:rsidR="000B4C2E" w:rsidRPr="00BA366A" w:rsidRDefault="000B4C2E">
            <w:pPr>
              <w:jc w:val="center"/>
              <w:rPr>
                <w:rFonts w:ascii="Arial" w:hAnsi="Arial" w:cs="Arial"/>
                <w:b/>
                <w:color w:val="FFFFFF"/>
                <w:sz w:val="22"/>
                <w:szCs w:val="22"/>
              </w:rPr>
            </w:pPr>
            <w:r w:rsidRPr="00BA366A">
              <w:rPr>
                <w:rFonts w:ascii="Arial" w:hAnsi="Arial" w:cs="Arial"/>
                <w:b/>
                <w:color w:val="FFFFFF"/>
                <w:sz w:val="22"/>
                <w:szCs w:val="22"/>
              </w:rPr>
              <w:t>132</w:t>
            </w:r>
          </w:p>
        </w:tc>
        <w:tc>
          <w:tcPr>
            <w:tcW w:w="950" w:type="dxa"/>
            <w:tcBorders>
              <w:top w:val="nil"/>
              <w:left w:val="nil"/>
              <w:bottom w:val="single" w:sz="8" w:space="0" w:color="auto"/>
              <w:right w:val="single" w:sz="8" w:space="0" w:color="auto"/>
            </w:tcBorders>
            <w:shd w:val="clear" w:color="auto" w:fill="228096"/>
            <w:vAlign w:val="bottom"/>
            <w:hideMark/>
          </w:tcPr>
          <w:p w14:paraId="6C58016A" w14:textId="77777777" w:rsidR="000B4C2E" w:rsidRPr="00BA366A" w:rsidRDefault="000B4C2E">
            <w:pPr>
              <w:jc w:val="center"/>
              <w:rPr>
                <w:rFonts w:ascii="Arial" w:hAnsi="Arial" w:cs="Arial"/>
                <w:b/>
                <w:color w:val="FFFFFF"/>
                <w:sz w:val="22"/>
                <w:szCs w:val="22"/>
              </w:rPr>
            </w:pPr>
            <w:r w:rsidRPr="00BA366A">
              <w:rPr>
                <w:rFonts w:ascii="Arial" w:hAnsi="Arial" w:cs="Arial"/>
                <w:b/>
                <w:color w:val="FFFFFF"/>
                <w:sz w:val="22"/>
                <w:szCs w:val="22"/>
              </w:rPr>
              <w:t>2,</w:t>
            </w:r>
            <w:r w:rsidRPr="00BA366A">
              <w:rPr>
                <w:rFonts w:ascii="Arial" w:hAnsi="Arial" w:cs="Arial"/>
                <w:b/>
                <w:bCs/>
                <w:color w:val="FFFFFF"/>
                <w:sz w:val="22"/>
                <w:szCs w:val="22"/>
              </w:rPr>
              <w:t>675</w:t>
            </w:r>
          </w:p>
        </w:tc>
      </w:tr>
    </w:tbl>
    <w:p w14:paraId="02846EDB" w14:textId="77777777" w:rsidR="000B4C2E" w:rsidRPr="00BA366A" w:rsidRDefault="000B4C2E" w:rsidP="000B4C2E">
      <w:pPr>
        <w:spacing w:before="120" w:after="120"/>
        <w:rPr>
          <w:rFonts w:ascii="Arial" w:hAnsi="Arial" w:cs="Arial"/>
          <w:sz w:val="20"/>
          <w:szCs w:val="20"/>
        </w:rPr>
      </w:pPr>
      <w:r w:rsidRPr="00BA366A">
        <w:rPr>
          <w:rFonts w:ascii="Arial" w:hAnsi="Arial" w:cs="Arial"/>
          <w:sz w:val="20"/>
          <w:szCs w:val="20"/>
        </w:rPr>
        <w:t xml:space="preserve">*1. Anticipated as in-house pay costs and is based on 20% of estimated build costs.  However, this may change to a non-pay maintenance/call-off contract. </w:t>
      </w:r>
      <w:r w:rsidRPr="00BA366A">
        <w:rPr>
          <w:rFonts w:ascii="Arial" w:hAnsi="Arial" w:cs="Arial"/>
          <w:i/>
          <w:iCs/>
          <w:sz w:val="20"/>
          <w:szCs w:val="20"/>
        </w:rPr>
        <w:t xml:space="preserve">These costs are not included in the ask of this business case. </w:t>
      </w:r>
    </w:p>
    <w:p w14:paraId="2D9D8899" w14:textId="77777777" w:rsidR="000B4C2E" w:rsidRPr="00BA366A" w:rsidRDefault="000B4C2E" w:rsidP="000B4C2E">
      <w:pPr>
        <w:spacing w:before="120" w:after="120"/>
        <w:rPr>
          <w:rFonts w:ascii="Arial" w:hAnsi="Arial" w:cs="Arial"/>
          <w:sz w:val="20"/>
          <w:szCs w:val="20"/>
          <w:highlight w:val="yellow"/>
        </w:rPr>
      </w:pPr>
      <w:r w:rsidRPr="00BA366A">
        <w:rPr>
          <w:rFonts w:ascii="Arial" w:hAnsi="Arial" w:cs="Arial"/>
          <w:sz w:val="20"/>
          <w:szCs w:val="20"/>
        </w:rPr>
        <w:t>*2. Professional services include collaborative design and build, capability building and handover by an external supplier.</w:t>
      </w:r>
    </w:p>
    <w:p w14:paraId="0F8E228A" w14:textId="77777777" w:rsidR="000B4C2E" w:rsidRPr="00BA366A" w:rsidRDefault="000B4C2E" w:rsidP="000B4C2E">
      <w:pPr>
        <w:spacing w:before="120" w:after="120"/>
        <w:rPr>
          <w:rFonts w:ascii="Arial" w:hAnsi="Arial" w:cs="Arial"/>
          <w:sz w:val="20"/>
          <w:szCs w:val="20"/>
        </w:rPr>
      </w:pPr>
      <w:r w:rsidRPr="00BA366A">
        <w:rPr>
          <w:rFonts w:ascii="Arial" w:hAnsi="Arial" w:cs="Arial"/>
          <w:sz w:val="20"/>
          <w:szCs w:val="20"/>
        </w:rPr>
        <w:t>*3. These recurrent infrastructure costs are in addition to the £400k per annum we currently spend.</w:t>
      </w:r>
      <w:r w:rsidRPr="00BA366A">
        <w:t xml:space="preserve"> </w:t>
      </w:r>
      <w:r w:rsidRPr="00BA366A">
        <w:rPr>
          <w:rFonts w:ascii="Arial" w:hAnsi="Arial" w:cs="Arial"/>
          <w:sz w:val="20"/>
          <w:szCs w:val="20"/>
        </w:rPr>
        <w:t>There are no license requirements and therefore no licensing costs are included.</w:t>
      </w:r>
    </w:p>
    <w:p w14:paraId="5ACFC127" w14:textId="069AF9D3" w:rsidR="00076F03" w:rsidRDefault="000B4C2E" w:rsidP="000B4C2E">
      <w:pPr>
        <w:spacing w:before="120" w:after="120"/>
        <w:rPr>
          <w:rFonts w:ascii="Arial" w:hAnsi="Arial" w:cs="Arial"/>
          <w:sz w:val="20"/>
          <w:szCs w:val="20"/>
        </w:rPr>
      </w:pPr>
      <w:r w:rsidRPr="00BA366A">
        <w:rPr>
          <w:rFonts w:ascii="Arial" w:hAnsi="Arial" w:cs="Arial"/>
          <w:sz w:val="20"/>
          <w:szCs w:val="20"/>
        </w:rPr>
        <w:t xml:space="preserve">*4. Contingency costs of 32% (non-pay costs) based on the middle of green book guidance </w:t>
      </w:r>
      <w:r w:rsidR="009D7B5C" w:rsidRPr="00BA366A">
        <w:rPr>
          <w:rFonts w:ascii="Arial" w:hAnsi="Arial" w:cs="Arial"/>
          <w:sz w:val="20"/>
          <w:szCs w:val="20"/>
        </w:rPr>
        <w:t xml:space="preserve">to </w:t>
      </w:r>
      <w:r w:rsidRPr="00BA366A">
        <w:rPr>
          <w:rFonts w:ascii="Arial" w:hAnsi="Arial" w:cs="Arial"/>
          <w:sz w:val="20"/>
          <w:szCs w:val="20"/>
        </w:rPr>
        <w:t>cover undetermined costs and expenses.</w:t>
      </w:r>
    </w:p>
    <w:p w14:paraId="026EDAEA" w14:textId="77777777" w:rsidR="00076F03" w:rsidRDefault="00076F03">
      <w:pPr>
        <w:rPr>
          <w:rFonts w:ascii="Arial" w:hAnsi="Arial" w:cs="Arial"/>
          <w:sz w:val="20"/>
          <w:szCs w:val="20"/>
        </w:rPr>
      </w:pPr>
      <w:r>
        <w:rPr>
          <w:rFonts w:ascii="Arial" w:hAnsi="Arial" w:cs="Arial"/>
          <w:sz w:val="20"/>
          <w:szCs w:val="20"/>
        </w:rPr>
        <w:br w:type="page"/>
      </w:r>
    </w:p>
    <w:p w14:paraId="5957566A" w14:textId="77777777" w:rsidR="000B4C2E" w:rsidRPr="00BA366A" w:rsidRDefault="000B4C2E" w:rsidP="000B4C2E">
      <w:pPr>
        <w:spacing w:before="120" w:after="120"/>
        <w:rPr>
          <w:rFonts w:ascii="Arial" w:hAnsi="Arial" w:cs="Arial"/>
          <w:sz w:val="20"/>
          <w:szCs w:val="20"/>
        </w:rPr>
      </w:pPr>
    </w:p>
    <w:p w14:paraId="6F31D7C5" w14:textId="51DEFC24" w:rsidR="000B4C2E" w:rsidRPr="00BA366A" w:rsidRDefault="000B4C2E" w:rsidP="00FE77AA">
      <w:pPr>
        <w:pStyle w:val="Heading2boardreport"/>
      </w:pPr>
      <w:r w:rsidRPr="00BA366A">
        <w:t xml:space="preserve">Proposed </w:t>
      </w:r>
      <w:r w:rsidR="00ED34F4" w:rsidRPr="00BA366A">
        <w:t xml:space="preserve">Business Case </w:t>
      </w:r>
      <w:r w:rsidRPr="00BA366A">
        <w:t xml:space="preserve">Addendum </w:t>
      </w:r>
    </w:p>
    <w:tbl>
      <w:tblPr>
        <w:tblW w:w="9699" w:type="dxa"/>
        <w:jc w:val="center"/>
        <w:tblLayout w:type="fixed"/>
        <w:tblLook w:val="04A0" w:firstRow="1" w:lastRow="0" w:firstColumn="1" w:lastColumn="0" w:noHBand="0" w:noVBand="1"/>
      </w:tblPr>
      <w:tblGrid>
        <w:gridCol w:w="4031"/>
        <w:gridCol w:w="1297"/>
        <w:gridCol w:w="1461"/>
        <w:gridCol w:w="893"/>
        <w:gridCol w:w="1060"/>
        <w:gridCol w:w="957"/>
      </w:tblGrid>
      <w:tr w:rsidR="000B4C2E" w:rsidRPr="00BA366A" w14:paraId="4C70F4BA" w14:textId="77777777" w:rsidTr="00E00C7E">
        <w:trPr>
          <w:trHeight w:val="402"/>
          <w:jc w:val="center"/>
        </w:trPr>
        <w:tc>
          <w:tcPr>
            <w:tcW w:w="9699" w:type="dxa"/>
            <w:gridSpan w:val="6"/>
            <w:tcBorders>
              <w:top w:val="single" w:sz="8" w:space="0" w:color="auto"/>
              <w:left w:val="single" w:sz="8" w:space="0" w:color="auto"/>
              <w:bottom w:val="single" w:sz="4" w:space="0" w:color="auto"/>
              <w:right w:val="single" w:sz="8" w:space="0" w:color="000000" w:themeColor="text1"/>
            </w:tcBorders>
            <w:shd w:val="clear" w:color="auto" w:fill="228096"/>
            <w:vAlign w:val="center"/>
            <w:hideMark/>
          </w:tcPr>
          <w:p w14:paraId="662FA244" w14:textId="77777777" w:rsidR="000B4C2E" w:rsidRPr="00BA366A" w:rsidRDefault="000B4C2E">
            <w:pPr>
              <w:jc w:val="center"/>
              <w:rPr>
                <w:rFonts w:ascii="Arial" w:hAnsi="Arial" w:cs="Arial"/>
                <w:b/>
                <w:color w:val="FFFFFF"/>
                <w:sz w:val="20"/>
                <w:szCs w:val="20"/>
              </w:rPr>
            </w:pPr>
            <w:r w:rsidRPr="00BA366A">
              <w:rPr>
                <w:rFonts w:ascii="Arial" w:hAnsi="Arial" w:cs="Arial"/>
                <w:b/>
                <w:bCs/>
                <w:color w:val="FFFFFF"/>
              </w:rPr>
              <w:t>FINANCIAL SUMMARY</w:t>
            </w:r>
          </w:p>
        </w:tc>
      </w:tr>
      <w:tr w:rsidR="000B4C2E" w:rsidRPr="00BA366A" w14:paraId="537978F0" w14:textId="77777777" w:rsidTr="00E00C7E">
        <w:trPr>
          <w:trHeight w:val="221"/>
          <w:jc w:val="center"/>
        </w:trPr>
        <w:tc>
          <w:tcPr>
            <w:tcW w:w="4031" w:type="dxa"/>
            <w:vMerge w:val="restart"/>
            <w:tcBorders>
              <w:top w:val="single" w:sz="4" w:space="0" w:color="auto"/>
              <w:left w:val="single" w:sz="4" w:space="0" w:color="auto"/>
              <w:bottom w:val="single" w:sz="4" w:space="0" w:color="auto"/>
              <w:right w:val="single" w:sz="4" w:space="0" w:color="auto"/>
            </w:tcBorders>
            <w:hideMark/>
          </w:tcPr>
          <w:p w14:paraId="24695E3C" w14:textId="77777777" w:rsidR="000B4C2E" w:rsidRPr="00BA366A" w:rsidRDefault="000B4C2E">
            <w:pPr>
              <w:rPr>
                <w:rFonts w:ascii="Arial" w:hAnsi="Arial" w:cs="Arial"/>
                <w:b/>
                <w:sz w:val="20"/>
                <w:szCs w:val="20"/>
              </w:rPr>
            </w:pPr>
            <w:r w:rsidRPr="00BA366A">
              <w:rPr>
                <w:rFonts w:ascii="Arial" w:hAnsi="Arial" w:cs="Arial"/>
                <w:b/>
                <w:sz w:val="20"/>
                <w:szCs w:val="20"/>
              </w:rPr>
              <w:t>Summary Finance</w:t>
            </w:r>
          </w:p>
        </w:tc>
        <w:tc>
          <w:tcPr>
            <w:tcW w:w="1297" w:type="dxa"/>
            <w:tcBorders>
              <w:top w:val="single" w:sz="4" w:space="0" w:color="auto"/>
              <w:left w:val="single" w:sz="4" w:space="0" w:color="auto"/>
              <w:right w:val="single" w:sz="8" w:space="0" w:color="auto"/>
            </w:tcBorders>
            <w:hideMark/>
          </w:tcPr>
          <w:p w14:paraId="7950F564" w14:textId="77777777" w:rsidR="000B4C2E" w:rsidRPr="00BA366A" w:rsidRDefault="000B4C2E">
            <w:pPr>
              <w:jc w:val="center"/>
              <w:rPr>
                <w:rFonts w:ascii="Arial" w:hAnsi="Arial" w:cs="Arial"/>
                <w:b/>
                <w:sz w:val="20"/>
                <w:szCs w:val="20"/>
              </w:rPr>
            </w:pPr>
            <w:r w:rsidRPr="00BA366A">
              <w:rPr>
                <w:rFonts w:ascii="Arial" w:hAnsi="Arial" w:cs="Arial"/>
                <w:b/>
                <w:sz w:val="20"/>
                <w:szCs w:val="20"/>
              </w:rPr>
              <w:t>2025-26</w:t>
            </w:r>
          </w:p>
        </w:tc>
        <w:tc>
          <w:tcPr>
            <w:tcW w:w="1461" w:type="dxa"/>
            <w:tcBorders>
              <w:top w:val="single" w:sz="4" w:space="0" w:color="auto"/>
              <w:left w:val="nil"/>
              <w:bottom w:val="nil"/>
              <w:right w:val="single" w:sz="8" w:space="0" w:color="auto"/>
            </w:tcBorders>
            <w:hideMark/>
          </w:tcPr>
          <w:p w14:paraId="31E2F61D" w14:textId="77777777" w:rsidR="000B4C2E" w:rsidRPr="00BA366A" w:rsidRDefault="000B4C2E">
            <w:pPr>
              <w:jc w:val="center"/>
              <w:rPr>
                <w:rFonts w:ascii="Arial" w:hAnsi="Arial" w:cs="Arial"/>
                <w:b/>
                <w:sz w:val="20"/>
                <w:szCs w:val="20"/>
              </w:rPr>
            </w:pPr>
            <w:r w:rsidRPr="00BA366A">
              <w:rPr>
                <w:rFonts w:ascii="Arial" w:hAnsi="Arial" w:cs="Arial"/>
                <w:b/>
                <w:sz w:val="20"/>
                <w:szCs w:val="20"/>
              </w:rPr>
              <w:t>2026-27</w:t>
            </w:r>
          </w:p>
        </w:tc>
        <w:tc>
          <w:tcPr>
            <w:tcW w:w="893" w:type="dxa"/>
            <w:tcBorders>
              <w:top w:val="single" w:sz="4" w:space="0" w:color="auto"/>
              <w:left w:val="nil"/>
              <w:bottom w:val="nil"/>
              <w:right w:val="single" w:sz="4" w:space="0" w:color="auto"/>
            </w:tcBorders>
          </w:tcPr>
          <w:p w14:paraId="6B0888E1"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2027-28</w:t>
            </w:r>
          </w:p>
        </w:tc>
        <w:tc>
          <w:tcPr>
            <w:tcW w:w="1060" w:type="dxa"/>
            <w:tcBorders>
              <w:top w:val="single" w:sz="4" w:space="0" w:color="auto"/>
              <w:left w:val="single" w:sz="4" w:space="0" w:color="auto"/>
              <w:bottom w:val="nil"/>
              <w:right w:val="single" w:sz="8" w:space="0" w:color="auto"/>
            </w:tcBorders>
            <w:hideMark/>
          </w:tcPr>
          <w:p w14:paraId="4178117B" w14:textId="77777777" w:rsidR="000B4C2E" w:rsidRPr="00BA366A" w:rsidRDefault="000B4C2E">
            <w:pPr>
              <w:jc w:val="center"/>
              <w:rPr>
                <w:rFonts w:ascii="Arial" w:hAnsi="Arial" w:cs="Arial"/>
                <w:b/>
                <w:sz w:val="20"/>
                <w:szCs w:val="20"/>
              </w:rPr>
            </w:pPr>
            <w:r w:rsidRPr="00BA366A">
              <w:rPr>
                <w:rFonts w:ascii="Arial" w:hAnsi="Arial" w:cs="Arial"/>
                <w:b/>
                <w:sz w:val="20"/>
                <w:szCs w:val="20"/>
              </w:rPr>
              <w:t>Recurrent</w:t>
            </w:r>
          </w:p>
        </w:tc>
        <w:tc>
          <w:tcPr>
            <w:tcW w:w="954" w:type="dxa"/>
            <w:tcBorders>
              <w:top w:val="single" w:sz="4" w:space="0" w:color="auto"/>
              <w:left w:val="nil"/>
              <w:bottom w:val="nil"/>
              <w:right w:val="single" w:sz="8" w:space="0" w:color="auto"/>
            </w:tcBorders>
            <w:hideMark/>
          </w:tcPr>
          <w:p w14:paraId="36436B55" w14:textId="77777777" w:rsidR="000B4C2E" w:rsidRPr="00BA366A" w:rsidRDefault="000B4C2E">
            <w:pPr>
              <w:jc w:val="center"/>
              <w:rPr>
                <w:rFonts w:ascii="Arial" w:hAnsi="Arial" w:cs="Arial"/>
                <w:b/>
                <w:sz w:val="20"/>
                <w:szCs w:val="20"/>
              </w:rPr>
            </w:pPr>
            <w:r w:rsidRPr="00BA366A">
              <w:rPr>
                <w:rFonts w:ascii="Arial" w:hAnsi="Arial" w:cs="Arial"/>
                <w:b/>
                <w:sz w:val="20"/>
                <w:szCs w:val="20"/>
              </w:rPr>
              <w:t>TOTAL</w:t>
            </w:r>
          </w:p>
        </w:tc>
      </w:tr>
      <w:tr w:rsidR="000B4C2E" w:rsidRPr="00BA366A" w14:paraId="2128F966" w14:textId="77777777" w:rsidTr="00E00C7E">
        <w:trPr>
          <w:trHeight w:val="221"/>
          <w:jc w:val="center"/>
        </w:trPr>
        <w:tc>
          <w:tcPr>
            <w:tcW w:w="4031" w:type="dxa"/>
            <w:vMerge/>
            <w:tcBorders>
              <w:top w:val="single" w:sz="4" w:space="0" w:color="auto"/>
              <w:left w:val="single" w:sz="4" w:space="0" w:color="auto"/>
              <w:bottom w:val="single" w:sz="4" w:space="0" w:color="auto"/>
            </w:tcBorders>
            <w:vAlign w:val="center"/>
            <w:hideMark/>
          </w:tcPr>
          <w:p w14:paraId="76217FF4" w14:textId="77777777" w:rsidR="000B4C2E" w:rsidRPr="00BA366A" w:rsidRDefault="000B4C2E">
            <w:pPr>
              <w:rPr>
                <w:rFonts w:ascii="Arial" w:hAnsi="Arial" w:cs="Arial"/>
                <w:b/>
                <w:sz w:val="20"/>
                <w:szCs w:val="20"/>
              </w:rPr>
            </w:pPr>
          </w:p>
        </w:tc>
        <w:tc>
          <w:tcPr>
            <w:tcW w:w="1297" w:type="dxa"/>
            <w:tcBorders>
              <w:top w:val="nil"/>
              <w:left w:val="single" w:sz="4" w:space="0" w:color="auto"/>
              <w:bottom w:val="single" w:sz="8" w:space="0" w:color="auto"/>
              <w:right w:val="single" w:sz="8" w:space="0" w:color="auto"/>
            </w:tcBorders>
            <w:hideMark/>
          </w:tcPr>
          <w:p w14:paraId="7E369BA3"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1461" w:type="dxa"/>
            <w:tcBorders>
              <w:top w:val="nil"/>
              <w:left w:val="nil"/>
              <w:bottom w:val="single" w:sz="8" w:space="0" w:color="auto"/>
              <w:right w:val="single" w:sz="8" w:space="0" w:color="auto"/>
            </w:tcBorders>
            <w:hideMark/>
          </w:tcPr>
          <w:p w14:paraId="0FFDC0EB"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893" w:type="dxa"/>
            <w:tcBorders>
              <w:top w:val="nil"/>
              <w:left w:val="nil"/>
              <w:bottom w:val="single" w:sz="8" w:space="0" w:color="auto"/>
              <w:right w:val="single" w:sz="4" w:space="0" w:color="auto"/>
            </w:tcBorders>
          </w:tcPr>
          <w:p w14:paraId="14DE9EDC" w14:textId="77777777" w:rsidR="000B4C2E" w:rsidRPr="00BA366A" w:rsidRDefault="000B4C2E">
            <w:pPr>
              <w:jc w:val="center"/>
              <w:rPr>
                <w:rFonts w:ascii="Arial" w:hAnsi="Arial" w:cs="Arial"/>
                <w:b/>
                <w:bCs/>
                <w:sz w:val="20"/>
                <w:szCs w:val="20"/>
              </w:rPr>
            </w:pPr>
            <w:r w:rsidRPr="00BA366A">
              <w:rPr>
                <w:rFonts w:ascii="Arial" w:hAnsi="Arial" w:cs="Arial"/>
                <w:b/>
                <w:bCs/>
                <w:sz w:val="20"/>
                <w:szCs w:val="20"/>
              </w:rPr>
              <w:t>£000</w:t>
            </w:r>
          </w:p>
        </w:tc>
        <w:tc>
          <w:tcPr>
            <w:tcW w:w="1060" w:type="dxa"/>
            <w:tcBorders>
              <w:top w:val="nil"/>
              <w:left w:val="single" w:sz="4" w:space="0" w:color="auto"/>
              <w:bottom w:val="single" w:sz="8" w:space="0" w:color="auto"/>
              <w:right w:val="single" w:sz="8" w:space="0" w:color="auto"/>
            </w:tcBorders>
            <w:hideMark/>
          </w:tcPr>
          <w:p w14:paraId="3B812D32"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c>
          <w:tcPr>
            <w:tcW w:w="954" w:type="dxa"/>
            <w:tcBorders>
              <w:top w:val="nil"/>
              <w:left w:val="nil"/>
              <w:bottom w:val="single" w:sz="8" w:space="0" w:color="auto"/>
              <w:right w:val="single" w:sz="8" w:space="0" w:color="auto"/>
            </w:tcBorders>
            <w:hideMark/>
          </w:tcPr>
          <w:p w14:paraId="65AFB7BF" w14:textId="77777777" w:rsidR="000B4C2E" w:rsidRPr="00BA366A" w:rsidRDefault="000B4C2E">
            <w:pPr>
              <w:jc w:val="center"/>
              <w:rPr>
                <w:rFonts w:ascii="Arial" w:hAnsi="Arial" w:cs="Arial"/>
                <w:b/>
                <w:sz w:val="20"/>
                <w:szCs w:val="20"/>
              </w:rPr>
            </w:pPr>
            <w:r w:rsidRPr="00BA366A">
              <w:rPr>
                <w:rFonts w:ascii="Arial" w:hAnsi="Arial" w:cs="Arial"/>
                <w:b/>
                <w:sz w:val="20"/>
                <w:szCs w:val="20"/>
              </w:rPr>
              <w:t>£000</w:t>
            </w:r>
          </w:p>
        </w:tc>
      </w:tr>
      <w:tr w:rsidR="000B4C2E" w:rsidRPr="00BA366A" w14:paraId="57E3B7DB" w14:textId="77777777" w:rsidTr="00E00C7E">
        <w:trPr>
          <w:trHeight w:val="221"/>
          <w:jc w:val="center"/>
        </w:trPr>
        <w:tc>
          <w:tcPr>
            <w:tcW w:w="4031" w:type="dxa"/>
            <w:tcBorders>
              <w:top w:val="nil"/>
              <w:left w:val="single" w:sz="8" w:space="0" w:color="auto"/>
              <w:bottom w:val="single" w:sz="8" w:space="0" w:color="auto"/>
              <w:right w:val="single" w:sz="8" w:space="0" w:color="auto"/>
            </w:tcBorders>
            <w:vAlign w:val="bottom"/>
          </w:tcPr>
          <w:p w14:paraId="3BF47DD2" w14:textId="5FBBEBD3" w:rsidR="000B4C2E" w:rsidRPr="00BA366A" w:rsidRDefault="000B4C2E">
            <w:pPr>
              <w:rPr>
                <w:rFonts w:ascii="Arial" w:hAnsi="Arial" w:cs="Arial"/>
                <w:sz w:val="20"/>
                <w:szCs w:val="20"/>
              </w:rPr>
            </w:pPr>
            <w:r w:rsidRPr="00BA366A">
              <w:rPr>
                <w:rFonts w:ascii="Arial" w:hAnsi="Arial" w:cs="Arial"/>
                <w:sz w:val="20"/>
                <w:szCs w:val="20"/>
              </w:rPr>
              <w:t xml:space="preserve">Professional Services Extension (*5) </w:t>
            </w:r>
            <w:r w:rsidR="00FF27FD" w:rsidRPr="00BA366A">
              <w:rPr>
                <w:rFonts w:ascii="Arial" w:hAnsi="Arial" w:cs="Arial"/>
                <w:sz w:val="20"/>
                <w:szCs w:val="20"/>
              </w:rPr>
              <w:t>ex</w:t>
            </w:r>
            <w:r w:rsidRPr="00BA366A">
              <w:rPr>
                <w:rFonts w:ascii="Arial" w:hAnsi="Arial" w:cs="Arial"/>
                <w:sz w:val="20"/>
                <w:szCs w:val="20"/>
              </w:rPr>
              <w:t>. VAT</w:t>
            </w:r>
          </w:p>
        </w:tc>
        <w:tc>
          <w:tcPr>
            <w:tcW w:w="1297" w:type="dxa"/>
            <w:tcBorders>
              <w:top w:val="nil"/>
              <w:left w:val="nil"/>
              <w:bottom w:val="single" w:sz="8" w:space="0" w:color="auto"/>
              <w:right w:val="single" w:sz="8" w:space="0" w:color="auto"/>
            </w:tcBorders>
            <w:vAlign w:val="bottom"/>
          </w:tcPr>
          <w:p w14:paraId="2D8BAADF" w14:textId="77777777" w:rsidR="000B4C2E" w:rsidRPr="00BA366A" w:rsidRDefault="000B4C2E">
            <w:pPr>
              <w:jc w:val="center"/>
              <w:rPr>
                <w:rFonts w:ascii="Arial" w:hAnsi="Arial" w:cs="Arial"/>
                <w:sz w:val="20"/>
                <w:szCs w:val="20"/>
              </w:rPr>
            </w:pPr>
          </w:p>
        </w:tc>
        <w:tc>
          <w:tcPr>
            <w:tcW w:w="1461" w:type="dxa"/>
            <w:tcBorders>
              <w:top w:val="nil"/>
              <w:left w:val="nil"/>
              <w:bottom w:val="single" w:sz="8" w:space="0" w:color="auto"/>
              <w:right w:val="single" w:sz="8" w:space="0" w:color="auto"/>
            </w:tcBorders>
            <w:vAlign w:val="bottom"/>
          </w:tcPr>
          <w:p w14:paraId="6226EEB9" w14:textId="77777777" w:rsidR="000B4C2E" w:rsidRPr="00BA366A" w:rsidRDefault="000B4C2E">
            <w:pPr>
              <w:jc w:val="center"/>
              <w:rPr>
                <w:rFonts w:ascii="Arial" w:hAnsi="Arial" w:cs="Arial"/>
                <w:sz w:val="20"/>
                <w:szCs w:val="20"/>
              </w:rPr>
            </w:pPr>
            <w:r w:rsidRPr="00BA366A">
              <w:rPr>
                <w:rFonts w:ascii="Arial" w:hAnsi="Arial" w:cs="Arial"/>
                <w:sz w:val="20"/>
                <w:szCs w:val="20"/>
              </w:rPr>
              <w:t>850</w:t>
            </w:r>
          </w:p>
        </w:tc>
        <w:tc>
          <w:tcPr>
            <w:tcW w:w="893" w:type="dxa"/>
            <w:tcBorders>
              <w:top w:val="nil"/>
              <w:left w:val="nil"/>
              <w:bottom w:val="single" w:sz="8" w:space="0" w:color="auto"/>
              <w:right w:val="single" w:sz="4" w:space="0" w:color="auto"/>
            </w:tcBorders>
            <w:vAlign w:val="bottom"/>
          </w:tcPr>
          <w:p w14:paraId="0AA11483" w14:textId="77777777" w:rsidR="000B4C2E" w:rsidRPr="00BA366A" w:rsidRDefault="000B4C2E">
            <w:pPr>
              <w:jc w:val="center"/>
              <w:rPr>
                <w:rFonts w:ascii="Arial" w:hAnsi="Arial" w:cs="Arial"/>
                <w:sz w:val="20"/>
                <w:szCs w:val="20"/>
              </w:rPr>
            </w:pPr>
          </w:p>
        </w:tc>
        <w:tc>
          <w:tcPr>
            <w:tcW w:w="1060" w:type="dxa"/>
            <w:tcBorders>
              <w:top w:val="nil"/>
              <w:left w:val="single" w:sz="4" w:space="0" w:color="auto"/>
              <w:bottom w:val="single" w:sz="8" w:space="0" w:color="auto"/>
              <w:right w:val="single" w:sz="8" w:space="0" w:color="auto"/>
            </w:tcBorders>
            <w:vAlign w:val="bottom"/>
          </w:tcPr>
          <w:p w14:paraId="609CAF3E" w14:textId="77777777" w:rsidR="000B4C2E" w:rsidRPr="00BA366A" w:rsidRDefault="000B4C2E">
            <w:pPr>
              <w:jc w:val="center"/>
              <w:rPr>
                <w:rFonts w:ascii="Arial" w:hAnsi="Arial" w:cs="Arial"/>
                <w:sz w:val="20"/>
                <w:szCs w:val="20"/>
              </w:rPr>
            </w:pPr>
          </w:p>
        </w:tc>
        <w:tc>
          <w:tcPr>
            <w:tcW w:w="954" w:type="dxa"/>
            <w:tcBorders>
              <w:top w:val="nil"/>
              <w:left w:val="nil"/>
              <w:bottom w:val="single" w:sz="8" w:space="0" w:color="auto"/>
              <w:right w:val="single" w:sz="8" w:space="0" w:color="auto"/>
            </w:tcBorders>
            <w:vAlign w:val="bottom"/>
          </w:tcPr>
          <w:p w14:paraId="75FBCC90" w14:textId="77777777" w:rsidR="000B4C2E" w:rsidRPr="00BA366A" w:rsidRDefault="000B4C2E">
            <w:pPr>
              <w:jc w:val="center"/>
              <w:rPr>
                <w:rFonts w:ascii="Arial" w:hAnsi="Arial" w:cs="Arial"/>
                <w:sz w:val="20"/>
                <w:szCs w:val="20"/>
              </w:rPr>
            </w:pPr>
            <w:r w:rsidRPr="00BA366A">
              <w:rPr>
                <w:rFonts w:ascii="Arial" w:hAnsi="Arial" w:cs="Arial"/>
                <w:sz w:val="20"/>
                <w:szCs w:val="20"/>
              </w:rPr>
              <w:t>850</w:t>
            </w:r>
          </w:p>
        </w:tc>
      </w:tr>
      <w:tr w:rsidR="000B4C2E" w:rsidRPr="00BA366A" w14:paraId="7377A70D" w14:textId="77777777" w:rsidTr="00F775E1">
        <w:trPr>
          <w:trHeight w:val="221"/>
          <w:jc w:val="center"/>
        </w:trPr>
        <w:tc>
          <w:tcPr>
            <w:tcW w:w="4031" w:type="dxa"/>
            <w:tcBorders>
              <w:top w:val="nil"/>
              <w:left w:val="single" w:sz="8" w:space="0" w:color="auto"/>
              <w:bottom w:val="single" w:sz="8" w:space="0" w:color="auto"/>
              <w:right w:val="single" w:sz="8" w:space="0" w:color="auto"/>
            </w:tcBorders>
            <w:shd w:val="clear" w:color="auto" w:fill="228096"/>
            <w:vAlign w:val="bottom"/>
            <w:hideMark/>
          </w:tcPr>
          <w:p w14:paraId="56113D06" w14:textId="77777777" w:rsidR="000B4C2E" w:rsidRPr="00BA366A" w:rsidRDefault="000B4C2E">
            <w:pPr>
              <w:rPr>
                <w:rFonts w:ascii="Arial" w:hAnsi="Arial" w:cs="Arial"/>
                <w:b/>
                <w:color w:val="FFFFFF"/>
                <w:sz w:val="22"/>
                <w:szCs w:val="22"/>
              </w:rPr>
            </w:pPr>
            <w:r w:rsidRPr="00BA366A">
              <w:rPr>
                <w:rFonts w:ascii="Arial" w:hAnsi="Arial" w:cs="Arial"/>
                <w:b/>
                <w:color w:val="FFFFFF"/>
                <w:sz w:val="22"/>
                <w:szCs w:val="22"/>
              </w:rPr>
              <w:t xml:space="preserve">Total Cost </w:t>
            </w:r>
          </w:p>
        </w:tc>
        <w:tc>
          <w:tcPr>
            <w:tcW w:w="1297" w:type="dxa"/>
            <w:tcBorders>
              <w:top w:val="nil"/>
              <w:left w:val="nil"/>
              <w:bottom w:val="single" w:sz="8" w:space="0" w:color="auto"/>
              <w:right w:val="single" w:sz="8" w:space="0" w:color="auto"/>
            </w:tcBorders>
            <w:shd w:val="clear" w:color="auto" w:fill="228096"/>
            <w:vAlign w:val="bottom"/>
            <w:hideMark/>
          </w:tcPr>
          <w:p w14:paraId="6E5F01AB" w14:textId="77777777" w:rsidR="000B4C2E" w:rsidRPr="00BA366A" w:rsidRDefault="000B4C2E">
            <w:pPr>
              <w:jc w:val="center"/>
              <w:rPr>
                <w:rFonts w:ascii="Arial" w:hAnsi="Arial" w:cs="Arial"/>
                <w:b/>
                <w:color w:val="FFFFFF"/>
                <w:sz w:val="22"/>
                <w:szCs w:val="22"/>
              </w:rPr>
            </w:pPr>
          </w:p>
        </w:tc>
        <w:tc>
          <w:tcPr>
            <w:tcW w:w="1461" w:type="dxa"/>
            <w:tcBorders>
              <w:top w:val="nil"/>
              <w:left w:val="nil"/>
              <w:bottom w:val="single" w:sz="8" w:space="0" w:color="auto"/>
              <w:right w:val="single" w:sz="8" w:space="0" w:color="auto"/>
            </w:tcBorders>
            <w:shd w:val="clear" w:color="auto" w:fill="228096"/>
            <w:vAlign w:val="bottom"/>
            <w:hideMark/>
          </w:tcPr>
          <w:p w14:paraId="4DCFEBF1" w14:textId="77777777" w:rsidR="000B4C2E" w:rsidRPr="00BA366A" w:rsidRDefault="000B4C2E">
            <w:pPr>
              <w:jc w:val="center"/>
              <w:rPr>
                <w:rFonts w:ascii="Arial" w:hAnsi="Arial" w:cs="Arial"/>
                <w:b/>
                <w:color w:val="FFFFFF"/>
                <w:sz w:val="22"/>
                <w:szCs w:val="22"/>
              </w:rPr>
            </w:pPr>
            <w:r w:rsidRPr="00BA366A">
              <w:rPr>
                <w:rFonts w:ascii="Arial" w:hAnsi="Arial" w:cs="Arial"/>
                <w:b/>
                <w:bCs/>
                <w:color w:val="FFFFFF"/>
                <w:sz w:val="22"/>
                <w:szCs w:val="22"/>
              </w:rPr>
              <w:t>850</w:t>
            </w:r>
          </w:p>
        </w:tc>
        <w:tc>
          <w:tcPr>
            <w:tcW w:w="893" w:type="dxa"/>
            <w:tcBorders>
              <w:top w:val="nil"/>
              <w:left w:val="nil"/>
              <w:bottom w:val="single" w:sz="8" w:space="0" w:color="auto"/>
              <w:right w:val="single" w:sz="4" w:space="0" w:color="auto"/>
            </w:tcBorders>
            <w:shd w:val="clear" w:color="auto" w:fill="228096"/>
            <w:vAlign w:val="bottom"/>
          </w:tcPr>
          <w:p w14:paraId="3C9B48E7" w14:textId="77777777" w:rsidR="000B4C2E" w:rsidRPr="00BA366A" w:rsidRDefault="000B4C2E">
            <w:pPr>
              <w:jc w:val="center"/>
              <w:rPr>
                <w:rFonts w:ascii="Arial" w:hAnsi="Arial" w:cs="Arial"/>
                <w:b/>
                <w:bCs/>
                <w:color w:val="FFFFFF"/>
                <w:sz w:val="22"/>
                <w:szCs w:val="22"/>
              </w:rPr>
            </w:pPr>
          </w:p>
        </w:tc>
        <w:tc>
          <w:tcPr>
            <w:tcW w:w="1060" w:type="dxa"/>
            <w:tcBorders>
              <w:top w:val="nil"/>
              <w:left w:val="single" w:sz="4" w:space="0" w:color="auto"/>
              <w:bottom w:val="single" w:sz="8" w:space="0" w:color="auto"/>
              <w:right w:val="single" w:sz="8" w:space="0" w:color="auto"/>
            </w:tcBorders>
            <w:shd w:val="clear" w:color="auto" w:fill="228096"/>
            <w:vAlign w:val="bottom"/>
            <w:hideMark/>
          </w:tcPr>
          <w:p w14:paraId="2C48A348" w14:textId="77777777" w:rsidR="000B4C2E" w:rsidRPr="00BA366A" w:rsidRDefault="000B4C2E">
            <w:pPr>
              <w:jc w:val="center"/>
              <w:rPr>
                <w:rFonts w:ascii="Arial" w:hAnsi="Arial" w:cs="Arial"/>
                <w:b/>
                <w:color w:val="FFFFFF"/>
                <w:sz w:val="22"/>
                <w:szCs w:val="22"/>
              </w:rPr>
            </w:pPr>
          </w:p>
        </w:tc>
        <w:tc>
          <w:tcPr>
            <w:tcW w:w="954" w:type="dxa"/>
            <w:tcBorders>
              <w:top w:val="nil"/>
              <w:left w:val="nil"/>
              <w:bottom w:val="single" w:sz="8" w:space="0" w:color="auto"/>
              <w:right w:val="single" w:sz="8" w:space="0" w:color="auto"/>
            </w:tcBorders>
            <w:shd w:val="clear" w:color="auto" w:fill="228096"/>
            <w:vAlign w:val="bottom"/>
            <w:hideMark/>
          </w:tcPr>
          <w:p w14:paraId="79ACC111" w14:textId="77777777" w:rsidR="000B4C2E" w:rsidRPr="00BA366A" w:rsidRDefault="000B4C2E">
            <w:pPr>
              <w:jc w:val="center"/>
              <w:rPr>
                <w:rFonts w:ascii="Arial" w:hAnsi="Arial" w:cs="Arial"/>
                <w:b/>
                <w:color w:val="FFFFFF"/>
                <w:sz w:val="22"/>
                <w:szCs w:val="22"/>
              </w:rPr>
            </w:pPr>
            <w:r w:rsidRPr="00BA366A">
              <w:rPr>
                <w:rFonts w:ascii="Arial" w:hAnsi="Arial" w:cs="Arial"/>
                <w:b/>
                <w:color w:val="FFFFFF"/>
                <w:sz w:val="22"/>
                <w:szCs w:val="22"/>
              </w:rPr>
              <w:t>850</w:t>
            </w:r>
          </w:p>
        </w:tc>
      </w:tr>
    </w:tbl>
    <w:p w14:paraId="5050A3EB" w14:textId="72A2E310" w:rsidR="000B4C2E" w:rsidRPr="00BA366A" w:rsidRDefault="000B4C2E" w:rsidP="000B4C2E">
      <w:pPr>
        <w:spacing w:before="120" w:after="120"/>
        <w:rPr>
          <w:rFonts w:ascii="Arial" w:hAnsi="Arial" w:cs="Arial"/>
          <w:sz w:val="20"/>
          <w:szCs w:val="20"/>
        </w:rPr>
      </w:pPr>
      <w:r w:rsidRPr="00BA366A">
        <w:rPr>
          <w:rFonts w:ascii="Arial" w:hAnsi="Arial" w:cs="Arial"/>
          <w:sz w:val="20"/>
          <w:szCs w:val="20"/>
        </w:rPr>
        <w:t xml:space="preserve">*5. Professional services extension of up to £850K </w:t>
      </w:r>
      <w:r w:rsidR="00FF27FD" w:rsidRPr="00BA366A">
        <w:rPr>
          <w:rFonts w:ascii="Arial" w:hAnsi="Arial" w:cs="Arial"/>
          <w:sz w:val="20"/>
          <w:szCs w:val="20"/>
        </w:rPr>
        <w:t xml:space="preserve">(ex VAT) </w:t>
      </w:r>
      <w:r w:rsidRPr="00BA366A">
        <w:rPr>
          <w:rFonts w:ascii="Arial" w:hAnsi="Arial" w:cs="Arial"/>
          <w:sz w:val="20"/>
          <w:szCs w:val="20"/>
        </w:rPr>
        <w:t>to cover additional collaborative design and build, capability building and handover with an external supplier.</w:t>
      </w:r>
    </w:p>
    <w:p w14:paraId="586E34DC" w14:textId="77777777" w:rsidR="00474D8C" w:rsidRPr="00BA366A" w:rsidRDefault="00474D8C" w:rsidP="00ED34F4">
      <w:pPr>
        <w:pStyle w:val="Heading3"/>
      </w:pPr>
      <w:r w:rsidRPr="00BA366A">
        <w:t>Proposed addendum</w:t>
      </w:r>
    </w:p>
    <w:p w14:paraId="16EEC63F" w14:textId="4752EDBF" w:rsidR="00474D8C" w:rsidRPr="00BA366A" w:rsidRDefault="00474D8C" w:rsidP="3FB982C6">
      <w:pPr>
        <w:pStyle w:val="Paragraph"/>
        <w:rPr>
          <w:noProof w:val="0"/>
        </w:rPr>
      </w:pPr>
      <w:r w:rsidRPr="00BA366A">
        <w:rPr>
          <w:noProof w:val="0"/>
        </w:rPr>
        <w:t xml:space="preserve">The proposed addendum seeks approval for a professional services extension of up to £850K, </w:t>
      </w:r>
      <w:r w:rsidR="00FF27FD" w:rsidRPr="00BA366A">
        <w:rPr>
          <w:noProof w:val="0"/>
        </w:rPr>
        <w:t xml:space="preserve">excluding </w:t>
      </w:r>
      <w:r w:rsidRPr="00BA366A">
        <w:rPr>
          <w:noProof w:val="0"/>
        </w:rPr>
        <w:t>VAT, to cover additional collaborative design and build, capability building and handover with the external supplier.</w:t>
      </w:r>
    </w:p>
    <w:p w14:paraId="437239ED" w14:textId="09D74F8F" w:rsidR="00474D8C" w:rsidRPr="00BA366A" w:rsidRDefault="5E1F79B1" w:rsidP="3FB982C6">
      <w:pPr>
        <w:pStyle w:val="Paragraph"/>
        <w:rPr>
          <w:noProof w:val="0"/>
        </w:rPr>
      </w:pPr>
      <w:r w:rsidRPr="00BA366A">
        <w:rPr>
          <w:noProof w:val="0"/>
        </w:rPr>
        <w:t>This paper seeks approval to extend potential supplier build costs by up to £850K</w:t>
      </w:r>
      <w:r w:rsidR="07562062" w:rsidRPr="00BA366A">
        <w:rPr>
          <w:noProof w:val="0"/>
        </w:rPr>
        <w:t xml:space="preserve"> (exc</w:t>
      </w:r>
      <w:r w:rsidR="41937B4E" w:rsidRPr="00BA366A">
        <w:rPr>
          <w:noProof w:val="0"/>
        </w:rPr>
        <w:t>.</w:t>
      </w:r>
      <w:r w:rsidR="07562062" w:rsidRPr="00BA366A">
        <w:rPr>
          <w:noProof w:val="0"/>
        </w:rPr>
        <w:t xml:space="preserve"> VAT)</w:t>
      </w:r>
      <w:r w:rsidRPr="00BA366A">
        <w:rPr>
          <w:noProof w:val="0"/>
        </w:rPr>
        <w:t xml:space="preserve">, within the permitted 50% contract extension limit. This would increase </w:t>
      </w:r>
      <w:r w:rsidR="04818ACE" w:rsidRPr="00BA366A">
        <w:rPr>
          <w:noProof w:val="0"/>
        </w:rPr>
        <w:t xml:space="preserve">professional services </w:t>
      </w:r>
      <w:r w:rsidRPr="00BA366A">
        <w:rPr>
          <w:noProof w:val="0"/>
        </w:rPr>
        <w:t xml:space="preserve">supplier build costs to £2.55m </w:t>
      </w:r>
      <w:r w:rsidR="5498B426" w:rsidRPr="00BA366A">
        <w:rPr>
          <w:noProof w:val="0"/>
        </w:rPr>
        <w:t>(ex VAT)</w:t>
      </w:r>
      <w:r w:rsidRPr="00BA366A">
        <w:rPr>
          <w:noProof w:val="0"/>
        </w:rPr>
        <w:t>.</w:t>
      </w:r>
    </w:p>
    <w:p w14:paraId="774B1847" w14:textId="46F3FEF1" w:rsidR="005502CC" w:rsidRPr="00BA366A" w:rsidRDefault="005502CC" w:rsidP="3FB982C6">
      <w:pPr>
        <w:pStyle w:val="Paragraph"/>
        <w:rPr>
          <w:noProof w:val="0"/>
        </w:rPr>
      </w:pPr>
      <w:r w:rsidRPr="00BA366A">
        <w:rPr>
          <w:noProof w:val="0"/>
        </w:rPr>
        <w:t>The additional spend:</w:t>
      </w:r>
    </w:p>
    <w:p w14:paraId="16EF42BF" w14:textId="77777777" w:rsidR="005502CC" w:rsidRPr="00BA366A" w:rsidRDefault="005502CC" w:rsidP="006F1CFE">
      <w:pPr>
        <w:pStyle w:val="Paragraph"/>
        <w:numPr>
          <w:ilvl w:val="0"/>
          <w:numId w:val="40"/>
        </w:numPr>
        <w:rPr>
          <w:noProof w:val="0"/>
        </w:rPr>
      </w:pPr>
      <w:r w:rsidRPr="00BA366A">
        <w:rPr>
          <w:noProof w:val="0"/>
        </w:rPr>
        <w:t>Is within the scope of the original contract and allowable extensions</w:t>
      </w:r>
    </w:p>
    <w:p w14:paraId="73E0630A" w14:textId="77777777" w:rsidR="005502CC" w:rsidRPr="00BA366A" w:rsidRDefault="005502CC" w:rsidP="006F1CFE">
      <w:pPr>
        <w:pStyle w:val="Paragraph"/>
        <w:numPr>
          <w:ilvl w:val="0"/>
          <w:numId w:val="40"/>
        </w:numPr>
        <w:rPr>
          <w:noProof w:val="0"/>
        </w:rPr>
      </w:pPr>
      <w:r w:rsidRPr="00BA366A">
        <w:rPr>
          <w:noProof w:val="0"/>
        </w:rPr>
        <w:t>Will be delivered via variation to the existing RM6100 contract</w:t>
      </w:r>
    </w:p>
    <w:p w14:paraId="14FD7F2F" w14:textId="7579CEBA" w:rsidR="005502CC" w:rsidRPr="00BA366A" w:rsidRDefault="005502CC" w:rsidP="006F1CFE">
      <w:pPr>
        <w:pStyle w:val="Paragraph"/>
        <w:numPr>
          <w:ilvl w:val="0"/>
          <w:numId w:val="40"/>
        </w:numPr>
        <w:rPr>
          <w:noProof w:val="0"/>
        </w:rPr>
      </w:pPr>
      <w:r w:rsidRPr="00BA366A">
        <w:rPr>
          <w:noProof w:val="0"/>
        </w:rPr>
        <w:t>Is permissible within the existing contractual route and does not require re-procurement.</w:t>
      </w:r>
    </w:p>
    <w:p w14:paraId="745A99E0" w14:textId="77777777" w:rsidR="00E93EC4" w:rsidRPr="00BA366A" w:rsidRDefault="00E93EC4" w:rsidP="3FB982C6">
      <w:pPr>
        <w:pStyle w:val="Paragraph"/>
        <w:rPr>
          <w:noProof w:val="0"/>
        </w:rPr>
      </w:pPr>
      <w:r w:rsidRPr="00BA366A">
        <w:rPr>
          <w:noProof w:val="0"/>
        </w:rPr>
        <w:t>Approval of this addendum is subject to:</w:t>
      </w:r>
    </w:p>
    <w:p w14:paraId="52CE2CDF" w14:textId="77777777" w:rsidR="00E93EC4" w:rsidRPr="00BA366A" w:rsidRDefault="00E93EC4" w:rsidP="006F1CFE">
      <w:pPr>
        <w:pStyle w:val="Paragraph"/>
        <w:numPr>
          <w:ilvl w:val="0"/>
          <w:numId w:val="41"/>
        </w:numPr>
        <w:rPr>
          <w:noProof w:val="0"/>
        </w:rPr>
      </w:pPr>
      <w:r w:rsidRPr="00BA366A">
        <w:rPr>
          <w:noProof w:val="0"/>
        </w:rPr>
        <w:t>Additional Professional Services Business Case (PSBC) approval</w:t>
      </w:r>
    </w:p>
    <w:p w14:paraId="4A9C42A6" w14:textId="77777777" w:rsidR="00E93EC4" w:rsidRPr="00BA366A" w:rsidRDefault="00E93EC4" w:rsidP="006F1CFE">
      <w:pPr>
        <w:pStyle w:val="Paragraph"/>
        <w:numPr>
          <w:ilvl w:val="0"/>
          <w:numId w:val="41"/>
        </w:numPr>
        <w:rPr>
          <w:noProof w:val="0"/>
        </w:rPr>
      </w:pPr>
      <w:r w:rsidRPr="00BA366A">
        <w:rPr>
          <w:noProof w:val="0"/>
        </w:rPr>
        <w:t>Additional Digital and Technology spend control approval</w:t>
      </w:r>
    </w:p>
    <w:p w14:paraId="0F963C3A" w14:textId="2FFB8326" w:rsidR="00E00C7E" w:rsidRPr="00BA366A" w:rsidRDefault="0037591F" w:rsidP="3FB982C6">
      <w:pPr>
        <w:pStyle w:val="NICEnormalnumbered"/>
        <w:numPr>
          <w:ilvl w:val="0"/>
          <w:numId w:val="0"/>
        </w:numPr>
        <w:rPr>
          <w:noProof w:val="0"/>
        </w:rPr>
      </w:pPr>
      <w:r>
        <w:rPr>
          <w:noProof w:val="0"/>
        </w:rPr>
        <w:tab/>
      </w:r>
      <w:r w:rsidR="00E93EC4" w:rsidRPr="00BA366A">
        <w:rPr>
          <w:noProof w:val="0"/>
        </w:rPr>
        <w:t>Work is already underway to secure these approvals.</w:t>
      </w:r>
    </w:p>
    <w:p w14:paraId="423C9EF4" w14:textId="1D75C7FA" w:rsidR="00160A4C" w:rsidRPr="00BA366A" w:rsidRDefault="00160A4C" w:rsidP="00ED34F4">
      <w:pPr>
        <w:pStyle w:val="NICEnormalnumbered"/>
        <w:rPr>
          <w:noProof w:val="0"/>
        </w:rPr>
      </w:pPr>
      <w:r w:rsidRPr="00BA366A">
        <w:rPr>
          <w:noProof w:val="0"/>
        </w:rPr>
        <w:t>The proposal represents the most cost-effective route to completing the Phase One foundations and realising the full benefits outlined in the original business case.</w:t>
      </w:r>
    </w:p>
    <w:p w14:paraId="0C072D00" w14:textId="77777777" w:rsidR="004B4705" w:rsidRPr="00BA366A" w:rsidRDefault="000A103F" w:rsidP="003D3B28">
      <w:pPr>
        <w:pStyle w:val="Heading1boardreport"/>
      </w:pPr>
      <w:r w:rsidRPr="00BA366A">
        <w:t>Board action required</w:t>
      </w:r>
    </w:p>
    <w:p w14:paraId="423A5B68" w14:textId="77777777" w:rsidR="00753F87" w:rsidRPr="00BA366A" w:rsidRDefault="00753F87" w:rsidP="00753F87">
      <w:pPr>
        <w:pStyle w:val="NICEnormal"/>
      </w:pPr>
      <w:r w:rsidRPr="00BA366A">
        <w:t>The Board is asked to:</w:t>
      </w:r>
    </w:p>
    <w:p w14:paraId="3482B56E" w14:textId="1AC4BDAE" w:rsidR="006958CF" w:rsidRPr="00BA366A" w:rsidRDefault="006958CF" w:rsidP="000F657E">
      <w:pPr>
        <w:pStyle w:val="NICEnormal"/>
        <w:numPr>
          <w:ilvl w:val="0"/>
          <w:numId w:val="32"/>
        </w:numPr>
        <w:rPr>
          <w:lang w:eastAsia="en-GB"/>
        </w:rPr>
      </w:pPr>
      <w:r w:rsidRPr="00BA366A">
        <w:rPr>
          <w:lang w:eastAsia="en-GB"/>
        </w:rPr>
        <w:t>Receive a progress update on delivery of the Knowledge Platform, described in the original Business Case - Implementation of a platform to enable guidance content management and publication</w:t>
      </w:r>
    </w:p>
    <w:p w14:paraId="15770F3C" w14:textId="2AC668D2" w:rsidR="006958CF" w:rsidRPr="00BA366A" w:rsidRDefault="006958CF" w:rsidP="000F657E">
      <w:pPr>
        <w:pStyle w:val="NICEnormal"/>
        <w:numPr>
          <w:ilvl w:val="0"/>
          <w:numId w:val="32"/>
        </w:numPr>
        <w:rPr>
          <w:lang w:eastAsia="en-GB"/>
        </w:rPr>
      </w:pPr>
      <w:r w:rsidRPr="00BA366A">
        <w:rPr>
          <w:lang w:eastAsia="en-GB"/>
        </w:rPr>
        <w:t>Approve an addendum to the original business case to enable completion of the additional component-level taxonomy and versioning capabilities required to realise the full strategic value of the AWS co-built Knowledge Platform at handover.</w:t>
      </w:r>
    </w:p>
    <w:p w14:paraId="13903536" w14:textId="15C200D6" w:rsidR="006958CF" w:rsidRPr="00BA366A" w:rsidRDefault="006958CF" w:rsidP="000F657E">
      <w:pPr>
        <w:pStyle w:val="NICEnormal"/>
        <w:numPr>
          <w:ilvl w:val="0"/>
          <w:numId w:val="32"/>
        </w:numPr>
        <w:rPr>
          <w:lang w:eastAsia="en-GB"/>
        </w:rPr>
      </w:pPr>
      <w:r w:rsidRPr="00BA366A">
        <w:rPr>
          <w:lang w:eastAsia="en-GB"/>
        </w:rPr>
        <w:t>Approve an increase of up to £850K</w:t>
      </w:r>
      <w:r w:rsidR="00293B77" w:rsidRPr="00BA366A">
        <w:rPr>
          <w:lang w:eastAsia="en-GB"/>
        </w:rPr>
        <w:t xml:space="preserve"> (ex</w:t>
      </w:r>
      <w:r w:rsidR="0C67C3B6" w:rsidRPr="00BA366A">
        <w:rPr>
          <w:lang w:eastAsia="en-GB"/>
        </w:rPr>
        <w:t>c.</w:t>
      </w:r>
      <w:r w:rsidR="00293B77" w:rsidRPr="00BA366A">
        <w:rPr>
          <w:lang w:eastAsia="en-GB"/>
        </w:rPr>
        <w:t xml:space="preserve"> VAT)</w:t>
      </w:r>
      <w:r w:rsidRPr="00BA366A">
        <w:rPr>
          <w:lang w:eastAsia="en-GB"/>
        </w:rPr>
        <w:t xml:space="preserve"> in supplier build costs, through a variation to the existing contract and within the permitted 50% contract extension limit, subject to Professional Services Business Case (PSBC) and Digital and Technology spend control approval.</w:t>
      </w:r>
    </w:p>
    <w:p w14:paraId="0F63C6BE" w14:textId="77777777" w:rsidR="004B4705" w:rsidRPr="00BA366A" w:rsidRDefault="004B4705" w:rsidP="004511A7">
      <w:pPr>
        <w:pStyle w:val="NICEnormal"/>
      </w:pPr>
    </w:p>
    <w:p w14:paraId="01CC1E66" w14:textId="0360B86C" w:rsidR="004B4705" w:rsidRPr="00BA366A" w:rsidRDefault="004B4705" w:rsidP="004B4705">
      <w:pPr>
        <w:pStyle w:val="NICEnormal"/>
      </w:pPr>
      <w:r w:rsidRPr="00BA366A">
        <w:t xml:space="preserve">© NICE </w:t>
      </w:r>
      <w:r w:rsidR="00753F87" w:rsidRPr="00BA366A">
        <w:t>2026</w:t>
      </w:r>
      <w:r w:rsidRPr="00BA366A">
        <w:t xml:space="preserve">. All rights reserved. </w:t>
      </w:r>
      <w:hyperlink r:id="rId12" w:anchor="notice-of-rights" w:history="1">
        <w:r w:rsidRPr="00BA366A">
          <w:rPr>
            <w:rStyle w:val="Hyperlink"/>
          </w:rPr>
          <w:t>Subject to Notice of rights</w:t>
        </w:r>
      </w:hyperlink>
      <w:r w:rsidRPr="00BA366A">
        <w:t>.</w:t>
      </w:r>
    </w:p>
    <w:p w14:paraId="0EB6EB73" w14:textId="4BED979B" w:rsidR="004B4705" w:rsidRPr="00BA366A" w:rsidRDefault="00753F87" w:rsidP="004511A7">
      <w:pPr>
        <w:pStyle w:val="NICEnormal"/>
      </w:pPr>
      <w:r w:rsidRPr="00BA366A">
        <w:t>July 2026</w:t>
      </w:r>
    </w:p>
    <w:sectPr w:rsidR="004B4705" w:rsidRPr="00BA366A" w:rsidSect="00B0463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9BD4" w14:textId="77777777" w:rsidR="00E93003" w:rsidRDefault="00E93003">
      <w:r>
        <w:separator/>
      </w:r>
    </w:p>
  </w:endnote>
  <w:endnote w:type="continuationSeparator" w:id="0">
    <w:p w14:paraId="112B1976" w14:textId="77777777" w:rsidR="00E93003" w:rsidRDefault="00E9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76BA" w14:textId="7AE0779E" w:rsidR="000601A9" w:rsidRPr="002A231B" w:rsidRDefault="3FB982C6" w:rsidP="00A6066F">
    <w:pPr>
      <w:pStyle w:val="Footer"/>
      <w:tabs>
        <w:tab w:val="right" w:pos="8931"/>
        <w:tab w:val="right" w:pos="13892"/>
      </w:tabs>
    </w:pPr>
    <w:r>
      <w:t>Knowledge Platform</w:t>
    </w:r>
    <w:r w:rsidR="00EB4841">
      <w:t xml:space="preserve">: </w:t>
    </w:r>
    <w:r>
      <w:t>progress update and addendum to original business case</w:t>
    </w:r>
    <w:r w:rsidR="000944BD">
      <w:tab/>
    </w:r>
    <w:r>
      <w:t xml:space="preserve">Page </w:t>
    </w:r>
    <w:r w:rsidR="000944BD">
      <w:fldChar w:fldCharType="begin"/>
    </w:r>
    <w:r w:rsidR="000944BD">
      <w:instrText xml:space="preserve"> PAGE  \* Arabic  \* MERGEFORMAT </w:instrText>
    </w:r>
    <w:r w:rsidR="000944BD">
      <w:fldChar w:fldCharType="separate"/>
    </w:r>
    <w:r>
      <w:t>1</w:t>
    </w:r>
    <w:r w:rsidR="000944BD">
      <w:fldChar w:fldCharType="end"/>
    </w:r>
    <w:r>
      <w:t xml:space="preserve"> of </w:t>
    </w:r>
    <w:fldSimple w:instr=" NUMPAGES  \* Arabic  \* MERGEFORMAT ">
      <w:r>
        <w:t>10</w:t>
      </w:r>
    </w:fldSimple>
  </w:p>
  <w:p w14:paraId="32867A91" w14:textId="1AA05C9D" w:rsidR="000601A9" w:rsidRPr="00EB4841" w:rsidRDefault="000601A9" w:rsidP="00A6066F">
    <w:pPr>
      <w:pStyle w:val="Footer"/>
      <w:rPr>
        <w:szCs w:val="16"/>
      </w:rPr>
    </w:pPr>
    <w:r w:rsidRPr="00EB4841">
      <w:rPr>
        <w:szCs w:val="16"/>
      </w:rPr>
      <w:t>Public Board meeting</w:t>
    </w:r>
  </w:p>
  <w:p w14:paraId="6C18D199" w14:textId="62E43D36" w:rsidR="000601A9" w:rsidRPr="002A231B" w:rsidRDefault="006635AE" w:rsidP="004B4705">
    <w:pPr>
      <w:pStyle w:val="Footer"/>
      <w:rPr>
        <w:szCs w:val="16"/>
      </w:rPr>
    </w:pPr>
    <w:r>
      <w:rPr>
        <w:szCs w:val="16"/>
      </w:rPr>
      <w:t>1</w:t>
    </w:r>
    <w:r w:rsidR="00B918B0">
      <w:rPr>
        <w:szCs w:val="16"/>
      </w:rPr>
      <w:t>5</w:t>
    </w:r>
    <w:r>
      <w:rPr>
        <w:szCs w:val="16"/>
      </w:rPr>
      <w:t xml:space="preserve">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7051" w14:textId="77777777" w:rsidR="00E93003" w:rsidRDefault="00E93003">
      <w:r>
        <w:separator/>
      </w:r>
    </w:p>
  </w:footnote>
  <w:footnote w:type="continuationSeparator" w:id="0">
    <w:p w14:paraId="3EACC589" w14:textId="77777777" w:rsidR="00E93003" w:rsidRDefault="00E9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8427" w14:textId="77777777" w:rsidR="000601A9" w:rsidRDefault="000601A9" w:rsidP="006E0F0C">
    <w:pPr>
      <w:pStyle w:val="Header"/>
      <w:ind w:left="0"/>
    </w:pPr>
  </w:p>
  <w:p w14:paraId="18D894A0" w14:textId="58B64D4A" w:rsidR="000601A9" w:rsidRPr="006E0F0C" w:rsidRDefault="000601A9" w:rsidP="00A6066F">
    <w:pPr>
      <w:pStyle w:val="Header"/>
      <w:ind w:left="0"/>
      <w:jc w:val="right"/>
    </w:pPr>
    <w:r w:rsidRPr="00EB4841">
      <w:rPr>
        <w:noProof/>
      </w:rPr>
      <w:drawing>
        <wp:anchor distT="0" distB="0" distL="114300" distR="114300" simplePos="0" relativeHeight="251658240" behindDoc="1" locked="0" layoutInCell="1" allowOverlap="1" wp14:anchorId="217DFC13" wp14:editId="3E0EFF0E">
          <wp:simplePos x="0" y="0"/>
          <wp:positionH relativeFrom="column">
            <wp:posOffset>0</wp:posOffset>
          </wp:positionH>
          <wp:positionV relativeFrom="page">
            <wp:posOffset>453390</wp:posOffset>
          </wp:positionV>
          <wp:extent cx="2658110" cy="666750"/>
          <wp:effectExtent l="0" t="0" r="8890" b="0"/>
          <wp:wrapTight wrapText="bothSides">
            <wp:wrapPolygon edited="0">
              <wp:start x="0" y="0"/>
              <wp:lineTo x="0" y="20983"/>
              <wp:lineTo x="21517" y="20983"/>
              <wp:lineTo x="21517" y="0"/>
              <wp:lineTo x="0" y="0"/>
            </wp:wrapPolygon>
          </wp:wrapTight>
          <wp:docPr id="628390750" name="Picture 2">
            <a:extLst xmlns:a="http://schemas.openxmlformats.org/drawingml/2006/main">
              <a:ext uri="{FF2B5EF4-FFF2-40B4-BE49-F238E27FC236}">
                <a16:creationId xmlns:a16="http://schemas.microsoft.com/office/drawing/2014/main" id="{EDE7303C-E987-4931-9D1A-11D893503BC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9075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r w:rsidRPr="00EB4841">
      <w:t xml:space="preserve">Item </w:t>
    </w:r>
    <w:r w:rsidR="00AA3D0E" w:rsidRPr="00EB484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6923069"/>
    <w:multiLevelType w:val="multilevel"/>
    <w:tmpl w:val="AD841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D3F"/>
    <w:multiLevelType w:val="hybridMultilevel"/>
    <w:tmpl w:val="CE7859AA"/>
    <w:lvl w:ilvl="0" w:tplc="08090001">
      <w:start w:val="1"/>
      <w:numFmt w:val="bullet"/>
      <w:lvlText w:val=""/>
      <w:lvlJc w:val="left"/>
      <w:pPr>
        <w:ind w:left="786" w:hanging="360"/>
      </w:pPr>
      <w:rPr>
        <w:rFonts w:ascii="Symbol" w:hAnsi="Symbol" w:hint="default"/>
      </w:rPr>
    </w:lvl>
    <w:lvl w:ilvl="1" w:tplc="FFFFFFFF">
      <w:start w:val="1"/>
      <w:numFmt w:val="lowerLetter"/>
      <w:lvlText w:val="%2."/>
      <w:lvlJc w:val="left"/>
      <w:pPr>
        <w:ind w:left="1015" w:hanging="360"/>
      </w:pPr>
    </w:lvl>
    <w:lvl w:ilvl="2" w:tplc="FFFFFFFF">
      <w:numFmt w:val="bullet"/>
      <w:lvlText w:val="·"/>
      <w:lvlJc w:val="left"/>
      <w:pPr>
        <w:ind w:left="1915" w:hanging="360"/>
      </w:pPr>
      <w:rPr>
        <w:rFonts w:ascii="Arial" w:eastAsia="Times New Roman" w:hAnsi="Arial" w:cs="Arial" w:hint="default"/>
      </w:r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4EA22F74"/>
    <w:lvl w:ilvl="0" w:tplc="FEA6CBCA">
      <w:start w:val="1"/>
      <w:numFmt w:val="decimal"/>
      <w:pStyle w:val="Paragraph"/>
      <w:lvlText w:val="%1."/>
      <w:lvlJc w:val="left"/>
      <w:pPr>
        <w:ind w:left="360" w:hanging="360"/>
      </w:pPr>
      <w:rPr>
        <w:color w:val="auto"/>
      </w:rPr>
    </w:lvl>
    <w:lvl w:ilvl="1" w:tplc="C100D6AA">
      <w:start w:val="1"/>
      <w:numFmt w:val="lowerLetter"/>
      <w:lvlText w:val="%2."/>
      <w:lvlJc w:val="left"/>
      <w:pPr>
        <w:ind w:left="589" w:hanging="360"/>
      </w:pPr>
    </w:lvl>
    <w:lvl w:ilvl="2" w:tplc="C38078FC">
      <w:numFmt w:val="bullet"/>
      <w:lvlText w:val="·"/>
      <w:lvlJc w:val="left"/>
      <w:pPr>
        <w:ind w:left="1489" w:hanging="360"/>
      </w:pPr>
      <w:rPr>
        <w:rFonts w:ascii="Arial" w:hAnsi="Arial" w:hint="default"/>
      </w:rPr>
    </w:lvl>
    <w:lvl w:ilvl="3" w:tplc="D482259A" w:tentative="1">
      <w:start w:val="1"/>
      <w:numFmt w:val="decimal"/>
      <w:lvlText w:val="%4."/>
      <w:lvlJc w:val="left"/>
      <w:pPr>
        <w:ind w:left="2029" w:hanging="360"/>
      </w:pPr>
    </w:lvl>
    <w:lvl w:ilvl="4" w:tplc="12D4B3DE" w:tentative="1">
      <w:start w:val="1"/>
      <w:numFmt w:val="lowerLetter"/>
      <w:lvlText w:val="%5."/>
      <w:lvlJc w:val="left"/>
      <w:pPr>
        <w:ind w:left="2749" w:hanging="360"/>
      </w:pPr>
    </w:lvl>
    <w:lvl w:ilvl="5" w:tplc="DA2EAE0C" w:tentative="1">
      <w:start w:val="1"/>
      <w:numFmt w:val="lowerRoman"/>
      <w:lvlText w:val="%6."/>
      <w:lvlJc w:val="right"/>
      <w:pPr>
        <w:ind w:left="3469" w:hanging="180"/>
      </w:pPr>
    </w:lvl>
    <w:lvl w:ilvl="6" w:tplc="AC42E45C" w:tentative="1">
      <w:start w:val="1"/>
      <w:numFmt w:val="decimal"/>
      <w:lvlText w:val="%7."/>
      <w:lvlJc w:val="left"/>
      <w:pPr>
        <w:ind w:left="4189" w:hanging="360"/>
      </w:pPr>
    </w:lvl>
    <w:lvl w:ilvl="7" w:tplc="3EDE2EC8" w:tentative="1">
      <w:start w:val="1"/>
      <w:numFmt w:val="lowerLetter"/>
      <w:lvlText w:val="%8."/>
      <w:lvlJc w:val="left"/>
      <w:pPr>
        <w:ind w:left="4909" w:hanging="360"/>
      </w:pPr>
    </w:lvl>
    <w:lvl w:ilvl="8" w:tplc="039855E4" w:tentative="1">
      <w:start w:val="1"/>
      <w:numFmt w:val="lowerRoman"/>
      <w:lvlText w:val="%9."/>
      <w:lvlJc w:val="right"/>
      <w:pPr>
        <w:ind w:left="5629"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8A10EB"/>
    <w:multiLevelType w:val="hybridMultilevel"/>
    <w:tmpl w:val="768681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7297F"/>
    <w:multiLevelType w:val="multilevel"/>
    <w:tmpl w:val="05A83F18"/>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1052075"/>
    <w:multiLevelType w:val="hybridMultilevel"/>
    <w:tmpl w:val="9E384E22"/>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156" w:hanging="360"/>
      </w:pPr>
    </w:lvl>
    <w:lvl w:ilvl="2" w:tplc="FFFFFFFF">
      <w:numFmt w:val="bullet"/>
      <w:lvlText w:val="·"/>
      <w:lvlJc w:val="left"/>
      <w:pPr>
        <w:ind w:left="2056" w:hanging="360"/>
      </w:pPr>
      <w:rPr>
        <w:rFonts w:ascii="Arial" w:eastAsia="Times New Roman" w:hAnsi="Arial" w:cs="Arial" w:hint="default"/>
      </w:r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41517E2D"/>
    <w:multiLevelType w:val="hybridMultilevel"/>
    <w:tmpl w:val="9DC4F06A"/>
    <w:lvl w:ilvl="0" w:tplc="C5F4C78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4540FB5"/>
    <w:multiLevelType w:val="hybridMultilevel"/>
    <w:tmpl w:val="08423D0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516" w:hanging="360"/>
      </w:pPr>
    </w:lvl>
    <w:lvl w:ilvl="2" w:tplc="FFFFFFFF">
      <w:numFmt w:val="bullet"/>
      <w:lvlText w:val="·"/>
      <w:lvlJc w:val="left"/>
      <w:pPr>
        <w:ind w:left="2416" w:hanging="360"/>
      </w:pPr>
      <w:rPr>
        <w:rFonts w:ascii="Arial" w:eastAsia="Times New Roman" w:hAnsi="Arial" w:cs="Arial" w:hint="default"/>
      </w:r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2F15FB6"/>
    <w:multiLevelType w:val="hybridMultilevel"/>
    <w:tmpl w:val="FFFFFFFF"/>
    <w:lvl w:ilvl="0" w:tplc="741A814A">
      <w:start w:val="1"/>
      <w:numFmt w:val="bullet"/>
      <w:lvlText w:val=""/>
      <w:lvlJc w:val="left"/>
      <w:pPr>
        <w:ind w:left="720" w:hanging="360"/>
      </w:pPr>
      <w:rPr>
        <w:rFonts w:ascii="Symbol" w:hAnsi="Symbol" w:hint="default"/>
      </w:rPr>
    </w:lvl>
    <w:lvl w:ilvl="1" w:tplc="82CAF7CC">
      <w:start w:val="1"/>
      <w:numFmt w:val="bullet"/>
      <w:lvlText w:val="o"/>
      <w:lvlJc w:val="left"/>
      <w:pPr>
        <w:ind w:left="1440" w:hanging="360"/>
      </w:pPr>
      <w:rPr>
        <w:rFonts w:ascii="Courier New" w:hAnsi="Courier New" w:hint="default"/>
      </w:rPr>
    </w:lvl>
    <w:lvl w:ilvl="2" w:tplc="11B22F2A">
      <w:start w:val="1"/>
      <w:numFmt w:val="bullet"/>
      <w:lvlText w:val=""/>
      <w:lvlJc w:val="left"/>
      <w:pPr>
        <w:ind w:left="2160" w:hanging="360"/>
      </w:pPr>
      <w:rPr>
        <w:rFonts w:ascii="Wingdings" w:hAnsi="Wingdings" w:hint="default"/>
      </w:rPr>
    </w:lvl>
    <w:lvl w:ilvl="3" w:tplc="E7203796">
      <w:start w:val="1"/>
      <w:numFmt w:val="bullet"/>
      <w:lvlText w:val=""/>
      <w:lvlJc w:val="left"/>
      <w:pPr>
        <w:ind w:left="2880" w:hanging="360"/>
      </w:pPr>
      <w:rPr>
        <w:rFonts w:ascii="Symbol" w:hAnsi="Symbol" w:hint="default"/>
      </w:rPr>
    </w:lvl>
    <w:lvl w:ilvl="4" w:tplc="C72A2CB2">
      <w:start w:val="1"/>
      <w:numFmt w:val="bullet"/>
      <w:lvlText w:val="o"/>
      <w:lvlJc w:val="left"/>
      <w:pPr>
        <w:ind w:left="3600" w:hanging="360"/>
      </w:pPr>
      <w:rPr>
        <w:rFonts w:ascii="Courier New" w:hAnsi="Courier New" w:hint="default"/>
      </w:rPr>
    </w:lvl>
    <w:lvl w:ilvl="5" w:tplc="11449BBE">
      <w:start w:val="1"/>
      <w:numFmt w:val="bullet"/>
      <w:lvlText w:val=""/>
      <w:lvlJc w:val="left"/>
      <w:pPr>
        <w:ind w:left="4320" w:hanging="360"/>
      </w:pPr>
      <w:rPr>
        <w:rFonts w:ascii="Wingdings" w:hAnsi="Wingdings" w:hint="default"/>
      </w:rPr>
    </w:lvl>
    <w:lvl w:ilvl="6" w:tplc="78E8D4B4">
      <w:start w:val="1"/>
      <w:numFmt w:val="bullet"/>
      <w:lvlText w:val=""/>
      <w:lvlJc w:val="left"/>
      <w:pPr>
        <w:ind w:left="5040" w:hanging="360"/>
      </w:pPr>
      <w:rPr>
        <w:rFonts w:ascii="Symbol" w:hAnsi="Symbol" w:hint="default"/>
      </w:rPr>
    </w:lvl>
    <w:lvl w:ilvl="7" w:tplc="8A100FB4">
      <w:start w:val="1"/>
      <w:numFmt w:val="bullet"/>
      <w:lvlText w:val="o"/>
      <w:lvlJc w:val="left"/>
      <w:pPr>
        <w:ind w:left="5760" w:hanging="360"/>
      </w:pPr>
      <w:rPr>
        <w:rFonts w:ascii="Courier New" w:hAnsi="Courier New" w:hint="default"/>
      </w:rPr>
    </w:lvl>
    <w:lvl w:ilvl="8" w:tplc="CA4A1A34">
      <w:start w:val="1"/>
      <w:numFmt w:val="bullet"/>
      <w:lvlText w:val=""/>
      <w:lvlJc w:val="left"/>
      <w:pPr>
        <w:ind w:left="6480" w:hanging="360"/>
      </w:pPr>
      <w:rPr>
        <w:rFonts w:ascii="Wingdings" w:hAnsi="Wingdings" w:hint="default"/>
      </w:r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8760C"/>
    <w:multiLevelType w:val="hybridMultilevel"/>
    <w:tmpl w:val="EE9A4730"/>
    <w:lvl w:ilvl="0" w:tplc="08090001">
      <w:start w:val="1"/>
      <w:numFmt w:val="bullet"/>
      <w:lvlText w:val=""/>
      <w:lvlJc w:val="left"/>
      <w:pPr>
        <w:ind w:left="786" w:hanging="360"/>
      </w:pPr>
      <w:rPr>
        <w:rFonts w:ascii="Symbol" w:hAnsi="Symbol" w:hint="default"/>
      </w:rPr>
    </w:lvl>
    <w:lvl w:ilvl="1" w:tplc="FFFFFFFF">
      <w:start w:val="1"/>
      <w:numFmt w:val="lowerLetter"/>
      <w:lvlText w:val="%2."/>
      <w:lvlJc w:val="left"/>
      <w:pPr>
        <w:ind w:left="1015" w:hanging="360"/>
      </w:pPr>
    </w:lvl>
    <w:lvl w:ilvl="2" w:tplc="FFFFFFFF">
      <w:numFmt w:val="bullet"/>
      <w:lvlText w:val="·"/>
      <w:lvlJc w:val="left"/>
      <w:pPr>
        <w:ind w:left="1915" w:hanging="360"/>
      </w:pPr>
      <w:rPr>
        <w:rFonts w:ascii="Arial" w:hAnsi="Arial" w:hint="default"/>
      </w:r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6310F7"/>
    <w:multiLevelType w:val="hybridMultilevel"/>
    <w:tmpl w:val="FB06C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64F22A6"/>
    <w:multiLevelType w:val="hybridMultilevel"/>
    <w:tmpl w:val="33C217BC"/>
    <w:lvl w:ilvl="0" w:tplc="08090001">
      <w:start w:val="1"/>
      <w:numFmt w:val="bullet"/>
      <w:lvlText w:val=""/>
      <w:lvlJc w:val="left"/>
      <w:pPr>
        <w:ind w:left="786" w:hanging="360"/>
      </w:pPr>
      <w:rPr>
        <w:rFonts w:ascii="Symbol" w:hAnsi="Symbol" w:hint="default"/>
      </w:rPr>
    </w:lvl>
    <w:lvl w:ilvl="1" w:tplc="FFFFFFFF">
      <w:start w:val="1"/>
      <w:numFmt w:val="lowerLetter"/>
      <w:lvlText w:val="%2."/>
      <w:lvlJc w:val="left"/>
      <w:pPr>
        <w:ind w:left="1015" w:hanging="360"/>
      </w:pPr>
    </w:lvl>
    <w:lvl w:ilvl="2" w:tplc="FFFFFFFF">
      <w:numFmt w:val="bullet"/>
      <w:lvlText w:val="·"/>
      <w:lvlJc w:val="left"/>
      <w:pPr>
        <w:ind w:left="1915" w:hanging="360"/>
      </w:pPr>
      <w:rPr>
        <w:rFonts w:ascii="Arial" w:hAnsi="Arial" w:hint="default"/>
      </w:r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E2A3C"/>
    <w:multiLevelType w:val="multilevel"/>
    <w:tmpl w:val="DB0620A4"/>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8" w15:restartNumberingAfterBreak="0">
    <w:nsid w:val="7CED7408"/>
    <w:multiLevelType w:val="multilevel"/>
    <w:tmpl w:val="5F8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F18ADD4"/>
    <w:multiLevelType w:val="hybridMultilevel"/>
    <w:tmpl w:val="FFFFFFFF"/>
    <w:lvl w:ilvl="0" w:tplc="E9180296">
      <w:start w:val="1"/>
      <w:numFmt w:val="bullet"/>
      <w:lvlText w:val=""/>
      <w:lvlJc w:val="left"/>
      <w:pPr>
        <w:ind w:left="720" w:hanging="360"/>
      </w:pPr>
      <w:rPr>
        <w:rFonts w:ascii="Symbol" w:hAnsi="Symbol" w:hint="default"/>
      </w:rPr>
    </w:lvl>
    <w:lvl w:ilvl="1" w:tplc="89CCF2AE">
      <w:start w:val="1"/>
      <w:numFmt w:val="bullet"/>
      <w:lvlText w:val="o"/>
      <w:lvlJc w:val="left"/>
      <w:pPr>
        <w:ind w:left="1440" w:hanging="360"/>
      </w:pPr>
      <w:rPr>
        <w:rFonts w:ascii="Courier New" w:hAnsi="Courier New" w:hint="default"/>
      </w:rPr>
    </w:lvl>
    <w:lvl w:ilvl="2" w:tplc="A2ECD128">
      <w:start w:val="1"/>
      <w:numFmt w:val="bullet"/>
      <w:lvlText w:val=""/>
      <w:lvlJc w:val="left"/>
      <w:pPr>
        <w:ind w:left="2160" w:hanging="360"/>
      </w:pPr>
      <w:rPr>
        <w:rFonts w:ascii="Wingdings" w:hAnsi="Wingdings" w:hint="default"/>
      </w:rPr>
    </w:lvl>
    <w:lvl w:ilvl="3" w:tplc="7C809636">
      <w:start w:val="1"/>
      <w:numFmt w:val="bullet"/>
      <w:lvlText w:val=""/>
      <w:lvlJc w:val="left"/>
      <w:pPr>
        <w:ind w:left="2880" w:hanging="360"/>
      </w:pPr>
      <w:rPr>
        <w:rFonts w:ascii="Symbol" w:hAnsi="Symbol" w:hint="default"/>
      </w:rPr>
    </w:lvl>
    <w:lvl w:ilvl="4" w:tplc="0C2E9AF6">
      <w:start w:val="1"/>
      <w:numFmt w:val="bullet"/>
      <w:lvlText w:val="o"/>
      <w:lvlJc w:val="left"/>
      <w:pPr>
        <w:ind w:left="3600" w:hanging="360"/>
      </w:pPr>
      <w:rPr>
        <w:rFonts w:ascii="Courier New" w:hAnsi="Courier New" w:hint="default"/>
      </w:rPr>
    </w:lvl>
    <w:lvl w:ilvl="5" w:tplc="779047D8">
      <w:start w:val="1"/>
      <w:numFmt w:val="bullet"/>
      <w:lvlText w:val=""/>
      <w:lvlJc w:val="left"/>
      <w:pPr>
        <w:ind w:left="4320" w:hanging="360"/>
      </w:pPr>
      <w:rPr>
        <w:rFonts w:ascii="Wingdings" w:hAnsi="Wingdings" w:hint="default"/>
      </w:rPr>
    </w:lvl>
    <w:lvl w:ilvl="6" w:tplc="7730D7BA">
      <w:start w:val="1"/>
      <w:numFmt w:val="bullet"/>
      <w:lvlText w:val=""/>
      <w:lvlJc w:val="left"/>
      <w:pPr>
        <w:ind w:left="5040" w:hanging="360"/>
      </w:pPr>
      <w:rPr>
        <w:rFonts w:ascii="Symbol" w:hAnsi="Symbol" w:hint="default"/>
      </w:rPr>
    </w:lvl>
    <w:lvl w:ilvl="7" w:tplc="85A2FDEE">
      <w:start w:val="1"/>
      <w:numFmt w:val="bullet"/>
      <w:lvlText w:val="o"/>
      <w:lvlJc w:val="left"/>
      <w:pPr>
        <w:ind w:left="5760" w:hanging="360"/>
      </w:pPr>
      <w:rPr>
        <w:rFonts w:ascii="Courier New" w:hAnsi="Courier New" w:hint="default"/>
      </w:rPr>
    </w:lvl>
    <w:lvl w:ilvl="8" w:tplc="39920622">
      <w:start w:val="1"/>
      <w:numFmt w:val="bullet"/>
      <w:lvlText w:val=""/>
      <w:lvlJc w:val="left"/>
      <w:pPr>
        <w:ind w:left="6480" w:hanging="360"/>
      </w:pPr>
      <w:rPr>
        <w:rFonts w:ascii="Wingdings" w:hAnsi="Wingdings" w:hint="default"/>
      </w:rPr>
    </w:lvl>
  </w:abstractNum>
  <w:num w:numId="1" w16cid:durableId="872961682">
    <w:abstractNumId w:val="26"/>
  </w:num>
  <w:num w:numId="2" w16cid:durableId="2106224481">
    <w:abstractNumId w:val="40"/>
  </w:num>
  <w:num w:numId="3" w16cid:durableId="1008825018">
    <w:abstractNumId w:val="31"/>
  </w:num>
  <w:num w:numId="4" w16cid:durableId="102305755">
    <w:abstractNumId w:val="8"/>
  </w:num>
  <w:num w:numId="5" w16cid:durableId="1028289363">
    <w:abstractNumId w:val="25"/>
  </w:num>
  <w:num w:numId="6" w16cid:durableId="116532623">
    <w:abstractNumId w:val="4"/>
  </w:num>
  <w:num w:numId="7" w16cid:durableId="1216622483">
    <w:abstractNumId w:val="18"/>
  </w:num>
  <w:num w:numId="8" w16cid:durableId="1256014139">
    <w:abstractNumId w:val="15"/>
  </w:num>
  <w:num w:numId="9" w16cid:durableId="1279488302">
    <w:abstractNumId w:val="17"/>
  </w:num>
  <w:num w:numId="10" w16cid:durableId="128134450">
    <w:abstractNumId w:val="14"/>
  </w:num>
  <w:num w:numId="11" w16cid:durableId="1315833678">
    <w:abstractNumId w:val="37"/>
  </w:num>
  <w:num w:numId="12" w16cid:durableId="1440686053">
    <w:abstractNumId w:val="36"/>
  </w:num>
  <w:num w:numId="13" w16cid:durableId="1478373446">
    <w:abstractNumId w:val="16"/>
  </w:num>
  <w:num w:numId="14" w16cid:durableId="1748379919">
    <w:abstractNumId w:val="9"/>
  </w:num>
  <w:num w:numId="15" w16cid:durableId="1863712968">
    <w:abstractNumId w:val="33"/>
  </w:num>
  <w:num w:numId="16" w16cid:durableId="194315641">
    <w:abstractNumId w:val="12"/>
  </w:num>
  <w:num w:numId="17" w16cid:durableId="1967815002">
    <w:abstractNumId w:val="10"/>
  </w:num>
  <w:num w:numId="18" w16cid:durableId="1971012577">
    <w:abstractNumId w:val="28"/>
  </w:num>
  <w:num w:numId="19" w16cid:durableId="2039620118">
    <w:abstractNumId w:val="35"/>
  </w:num>
  <w:num w:numId="20" w16cid:durableId="2069259383">
    <w:abstractNumId w:val="5"/>
  </w:num>
  <w:num w:numId="21" w16cid:durableId="2116749296">
    <w:abstractNumId w:val="21"/>
  </w:num>
  <w:num w:numId="22" w16cid:durableId="230039927">
    <w:abstractNumId w:val="0"/>
  </w:num>
  <w:num w:numId="23" w16cid:durableId="377554922">
    <w:abstractNumId w:val="6"/>
  </w:num>
  <w:num w:numId="24" w16cid:durableId="426196748">
    <w:abstractNumId w:val="30"/>
  </w:num>
  <w:num w:numId="25" w16cid:durableId="503516617">
    <w:abstractNumId w:val="24"/>
  </w:num>
  <w:num w:numId="26" w16cid:durableId="611715962">
    <w:abstractNumId w:val="23"/>
  </w:num>
  <w:num w:numId="27" w16cid:durableId="87122838">
    <w:abstractNumId w:val="13"/>
  </w:num>
  <w:num w:numId="28" w16cid:durableId="882135492">
    <w:abstractNumId w:val="1"/>
  </w:num>
  <w:num w:numId="29" w16cid:durableId="470372047">
    <w:abstractNumId w:val="7"/>
  </w:num>
  <w:num w:numId="30" w16cid:durableId="895706367">
    <w:abstractNumId w:val="2"/>
  </w:num>
  <w:num w:numId="31" w16cid:durableId="468329205">
    <w:abstractNumId w:val="38"/>
  </w:num>
  <w:num w:numId="32" w16cid:durableId="606742851">
    <w:abstractNumId w:val="11"/>
  </w:num>
  <w:num w:numId="33" w16cid:durableId="859851460">
    <w:abstractNumId w:val="22"/>
  </w:num>
  <w:num w:numId="34" w16cid:durableId="563638588">
    <w:abstractNumId w:val="3"/>
  </w:num>
  <w:num w:numId="35" w16cid:durableId="1333294376">
    <w:abstractNumId w:val="19"/>
  </w:num>
  <w:num w:numId="36" w16cid:durableId="1950770255">
    <w:abstractNumId w:val="5"/>
  </w:num>
  <w:num w:numId="37" w16cid:durableId="1736204174">
    <w:abstractNumId w:val="5"/>
  </w:num>
  <w:num w:numId="38" w16cid:durableId="1369138747">
    <w:abstractNumId w:val="5"/>
  </w:num>
  <w:num w:numId="39" w16cid:durableId="1355810368">
    <w:abstractNumId w:val="32"/>
  </w:num>
  <w:num w:numId="40" w16cid:durableId="245379878">
    <w:abstractNumId w:val="29"/>
  </w:num>
  <w:num w:numId="41" w16cid:durableId="10381819">
    <w:abstractNumId w:val="34"/>
  </w:num>
  <w:num w:numId="42" w16cid:durableId="1291396276">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B"/>
    <w:rsid w:val="00003DA5"/>
    <w:rsid w:val="000077ED"/>
    <w:rsid w:val="000119FB"/>
    <w:rsid w:val="00012A6B"/>
    <w:rsid w:val="00015897"/>
    <w:rsid w:val="000173A5"/>
    <w:rsid w:val="00017EAB"/>
    <w:rsid w:val="00017EB8"/>
    <w:rsid w:val="00020E36"/>
    <w:rsid w:val="00022A8D"/>
    <w:rsid w:val="000236F4"/>
    <w:rsid w:val="00023AF5"/>
    <w:rsid w:val="000242AA"/>
    <w:rsid w:val="00027792"/>
    <w:rsid w:val="00031E16"/>
    <w:rsid w:val="000378F7"/>
    <w:rsid w:val="000405A5"/>
    <w:rsid w:val="00046398"/>
    <w:rsid w:val="00050C40"/>
    <w:rsid w:val="00050E25"/>
    <w:rsid w:val="0005584E"/>
    <w:rsid w:val="00055868"/>
    <w:rsid w:val="00056FD4"/>
    <w:rsid w:val="00057044"/>
    <w:rsid w:val="000601A9"/>
    <w:rsid w:val="0006297C"/>
    <w:rsid w:val="00065B46"/>
    <w:rsid w:val="00072040"/>
    <w:rsid w:val="0007305A"/>
    <w:rsid w:val="00076F03"/>
    <w:rsid w:val="000807CB"/>
    <w:rsid w:val="00084353"/>
    <w:rsid w:val="00084EC8"/>
    <w:rsid w:val="000853E7"/>
    <w:rsid w:val="00085B6D"/>
    <w:rsid w:val="00090082"/>
    <w:rsid w:val="0009152D"/>
    <w:rsid w:val="00091FD6"/>
    <w:rsid w:val="00093828"/>
    <w:rsid w:val="000938B5"/>
    <w:rsid w:val="000944BD"/>
    <w:rsid w:val="00094B5D"/>
    <w:rsid w:val="00094F97"/>
    <w:rsid w:val="0009593C"/>
    <w:rsid w:val="00096733"/>
    <w:rsid w:val="00096B73"/>
    <w:rsid w:val="00097F79"/>
    <w:rsid w:val="000A103F"/>
    <w:rsid w:val="000A1EC0"/>
    <w:rsid w:val="000A5BC2"/>
    <w:rsid w:val="000A7B9A"/>
    <w:rsid w:val="000B10B2"/>
    <w:rsid w:val="000B1423"/>
    <w:rsid w:val="000B3C94"/>
    <w:rsid w:val="000B4C2E"/>
    <w:rsid w:val="000B6936"/>
    <w:rsid w:val="000B7370"/>
    <w:rsid w:val="000C00D5"/>
    <w:rsid w:val="000C0AD9"/>
    <w:rsid w:val="000C1536"/>
    <w:rsid w:val="000C2B3B"/>
    <w:rsid w:val="000C2EC8"/>
    <w:rsid w:val="000C3F75"/>
    <w:rsid w:val="000C4168"/>
    <w:rsid w:val="000C797F"/>
    <w:rsid w:val="000D0D19"/>
    <w:rsid w:val="000D34D5"/>
    <w:rsid w:val="000D46C7"/>
    <w:rsid w:val="000D67D4"/>
    <w:rsid w:val="000D7285"/>
    <w:rsid w:val="000E0FFB"/>
    <w:rsid w:val="000E26FD"/>
    <w:rsid w:val="000E4987"/>
    <w:rsid w:val="000E6436"/>
    <w:rsid w:val="000E6C5F"/>
    <w:rsid w:val="000E7F3B"/>
    <w:rsid w:val="000F029C"/>
    <w:rsid w:val="000F657E"/>
    <w:rsid w:val="00100230"/>
    <w:rsid w:val="001016D6"/>
    <w:rsid w:val="00101F34"/>
    <w:rsid w:val="0010573F"/>
    <w:rsid w:val="00105867"/>
    <w:rsid w:val="00106A6B"/>
    <w:rsid w:val="001100C3"/>
    <w:rsid w:val="00110823"/>
    <w:rsid w:val="00111453"/>
    <w:rsid w:val="00112815"/>
    <w:rsid w:val="00116D35"/>
    <w:rsid w:val="001172E1"/>
    <w:rsid w:val="001219F1"/>
    <w:rsid w:val="00123D3F"/>
    <w:rsid w:val="00126C68"/>
    <w:rsid w:val="0013031B"/>
    <w:rsid w:val="00130D6D"/>
    <w:rsid w:val="001311E9"/>
    <w:rsid w:val="00131877"/>
    <w:rsid w:val="00131EB8"/>
    <w:rsid w:val="00132238"/>
    <w:rsid w:val="00132ED9"/>
    <w:rsid w:val="00136F68"/>
    <w:rsid w:val="0014368F"/>
    <w:rsid w:val="001445E8"/>
    <w:rsid w:val="00152351"/>
    <w:rsid w:val="00152EE4"/>
    <w:rsid w:val="00152F7E"/>
    <w:rsid w:val="001539C2"/>
    <w:rsid w:val="00153FB0"/>
    <w:rsid w:val="0015607D"/>
    <w:rsid w:val="00160A13"/>
    <w:rsid w:val="00160A4C"/>
    <w:rsid w:val="00161AA0"/>
    <w:rsid w:val="0016219C"/>
    <w:rsid w:val="0016391A"/>
    <w:rsid w:val="00163CC6"/>
    <w:rsid w:val="001677AC"/>
    <w:rsid w:val="00171B99"/>
    <w:rsid w:val="00171ED5"/>
    <w:rsid w:val="00172338"/>
    <w:rsid w:val="0017277D"/>
    <w:rsid w:val="00177460"/>
    <w:rsid w:val="001833DA"/>
    <w:rsid w:val="00191573"/>
    <w:rsid w:val="0019263C"/>
    <w:rsid w:val="001933C1"/>
    <w:rsid w:val="001A007A"/>
    <w:rsid w:val="001A2137"/>
    <w:rsid w:val="001A4848"/>
    <w:rsid w:val="001A6522"/>
    <w:rsid w:val="001A72FA"/>
    <w:rsid w:val="001B0506"/>
    <w:rsid w:val="001B0B6F"/>
    <w:rsid w:val="001B1A20"/>
    <w:rsid w:val="001B3879"/>
    <w:rsid w:val="001B4691"/>
    <w:rsid w:val="001B57F6"/>
    <w:rsid w:val="001B5A50"/>
    <w:rsid w:val="001B65BF"/>
    <w:rsid w:val="001C032E"/>
    <w:rsid w:val="001C4463"/>
    <w:rsid w:val="001C465A"/>
    <w:rsid w:val="001D1D1C"/>
    <w:rsid w:val="001D7CC8"/>
    <w:rsid w:val="001E05B2"/>
    <w:rsid w:val="001E3048"/>
    <w:rsid w:val="001E772C"/>
    <w:rsid w:val="001E7947"/>
    <w:rsid w:val="001F432B"/>
    <w:rsid w:val="001F667D"/>
    <w:rsid w:val="00200D09"/>
    <w:rsid w:val="00204958"/>
    <w:rsid w:val="002063F6"/>
    <w:rsid w:val="002064B6"/>
    <w:rsid w:val="002065A7"/>
    <w:rsid w:val="0021029D"/>
    <w:rsid w:val="00210F64"/>
    <w:rsid w:val="00210FD2"/>
    <w:rsid w:val="0021259D"/>
    <w:rsid w:val="00212646"/>
    <w:rsid w:val="00214C5C"/>
    <w:rsid w:val="002169E7"/>
    <w:rsid w:val="0022208A"/>
    <w:rsid w:val="002263F9"/>
    <w:rsid w:val="002279AD"/>
    <w:rsid w:val="00230CAE"/>
    <w:rsid w:val="00231EA0"/>
    <w:rsid w:val="00231EFF"/>
    <w:rsid w:val="00235CAB"/>
    <w:rsid w:val="002374AC"/>
    <w:rsid w:val="00237613"/>
    <w:rsid w:val="0024116C"/>
    <w:rsid w:val="002417FB"/>
    <w:rsid w:val="00247D72"/>
    <w:rsid w:val="00250BC6"/>
    <w:rsid w:val="00251D56"/>
    <w:rsid w:val="002526E6"/>
    <w:rsid w:val="002535B1"/>
    <w:rsid w:val="0025660E"/>
    <w:rsid w:val="002578E4"/>
    <w:rsid w:val="00262EEB"/>
    <w:rsid w:val="002669B4"/>
    <w:rsid w:val="00266B6E"/>
    <w:rsid w:val="00266C9F"/>
    <w:rsid w:val="00266D2E"/>
    <w:rsid w:val="00267238"/>
    <w:rsid w:val="00270DA1"/>
    <w:rsid w:val="00270E3C"/>
    <w:rsid w:val="00272723"/>
    <w:rsid w:val="00274B98"/>
    <w:rsid w:val="00275B16"/>
    <w:rsid w:val="002771D2"/>
    <w:rsid w:val="00284383"/>
    <w:rsid w:val="00291C8B"/>
    <w:rsid w:val="002920A8"/>
    <w:rsid w:val="00292A18"/>
    <w:rsid w:val="00293574"/>
    <w:rsid w:val="00293B77"/>
    <w:rsid w:val="002976D1"/>
    <w:rsid w:val="00297EC2"/>
    <w:rsid w:val="002A024B"/>
    <w:rsid w:val="002A3712"/>
    <w:rsid w:val="002A46D4"/>
    <w:rsid w:val="002A738C"/>
    <w:rsid w:val="002A7F44"/>
    <w:rsid w:val="002B0C30"/>
    <w:rsid w:val="002B2BDB"/>
    <w:rsid w:val="002B6D39"/>
    <w:rsid w:val="002C1833"/>
    <w:rsid w:val="002C3FAA"/>
    <w:rsid w:val="002C4350"/>
    <w:rsid w:val="002C5CFB"/>
    <w:rsid w:val="002C628F"/>
    <w:rsid w:val="002C6842"/>
    <w:rsid w:val="002D488F"/>
    <w:rsid w:val="002D503C"/>
    <w:rsid w:val="002D5143"/>
    <w:rsid w:val="002D69BC"/>
    <w:rsid w:val="002D7F4C"/>
    <w:rsid w:val="002F0365"/>
    <w:rsid w:val="002F0535"/>
    <w:rsid w:val="002F07EC"/>
    <w:rsid w:val="002F09D3"/>
    <w:rsid w:val="002F0BEA"/>
    <w:rsid w:val="002F0FA2"/>
    <w:rsid w:val="002F15CF"/>
    <w:rsid w:val="002F47B0"/>
    <w:rsid w:val="002F51A7"/>
    <w:rsid w:val="0030184A"/>
    <w:rsid w:val="003057D7"/>
    <w:rsid w:val="0031191E"/>
    <w:rsid w:val="00315698"/>
    <w:rsid w:val="003164C0"/>
    <w:rsid w:val="0031664C"/>
    <w:rsid w:val="00316D03"/>
    <w:rsid w:val="0032066F"/>
    <w:rsid w:val="0032202A"/>
    <w:rsid w:val="00326B7C"/>
    <w:rsid w:val="00331877"/>
    <w:rsid w:val="003330E6"/>
    <w:rsid w:val="0033368B"/>
    <w:rsid w:val="00335267"/>
    <w:rsid w:val="003356E8"/>
    <w:rsid w:val="003367A8"/>
    <w:rsid w:val="0033744B"/>
    <w:rsid w:val="00342772"/>
    <w:rsid w:val="00346534"/>
    <w:rsid w:val="00346596"/>
    <w:rsid w:val="0035130E"/>
    <w:rsid w:val="00353D3E"/>
    <w:rsid w:val="00353EF3"/>
    <w:rsid w:val="00355B7D"/>
    <w:rsid w:val="00357B3E"/>
    <w:rsid w:val="00362226"/>
    <w:rsid w:val="00362C95"/>
    <w:rsid w:val="003747CD"/>
    <w:rsid w:val="0037591F"/>
    <w:rsid w:val="00377A06"/>
    <w:rsid w:val="00377E36"/>
    <w:rsid w:val="00381C2F"/>
    <w:rsid w:val="00382F3A"/>
    <w:rsid w:val="003830CE"/>
    <w:rsid w:val="00383B40"/>
    <w:rsid w:val="00383B90"/>
    <w:rsid w:val="00384B11"/>
    <w:rsid w:val="0038524F"/>
    <w:rsid w:val="00392355"/>
    <w:rsid w:val="003939B5"/>
    <w:rsid w:val="003949A7"/>
    <w:rsid w:val="003A0EAD"/>
    <w:rsid w:val="003A73FF"/>
    <w:rsid w:val="003B1379"/>
    <w:rsid w:val="003B19FF"/>
    <w:rsid w:val="003B6545"/>
    <w:rsid w:val="003B7BCF"/>
    <w:rsid w:val="003C119E"/>
    <w:rsid w:val="003C2B1A"/>
    <w:rsid w:val="003C36AC"/>
    <w:rsid w:val="003C752B"/>
    <w:rsid w:val="003D3640"/>
    <w:rsid w:val="003D3B28"/>
    <w:rsid w:val="003D3F44"/>
    <w:rsid w:val="003D5D3A"/>
    <w:rsid w:val="003E17C9"/>
    <w:rsid w:val="003E424A"/>
    <w:rsid w:val="003E4925"/>
    <w:rsid w:val="003F6357"/>
    <w:rsid w:val="003F693C"/>
    <w:rsid w:val="00402BA4"/>
    <w:rsid w:val="0040638E"/>
    <w:rsid w:val="00406FCE"/>
    <w:rsid w:val="00407827"/>
    <w:rsid w:val="0040790B"/>
    <w:rsid w:val="00407B62"/>
    <w:rsid w:val="00412D4C"/>
    <w:rsid w:val="0041405B"/>
    <w:rsid w:val="00420D00"/>
    <w:rsid w:val="00420EDD"/>
    <w:rsid w:val="00423CDE"/>
    <w:rsid w:val="00424A3D"/>
    <w:rsid w:val="00426AFA"/>
    <w:rsid w:val="00427665"/>
    <w:rsid w:val="004279A5"/>
    <w:rsid w:val="00430CB9"/>
    <w:rsid w:val="00433027"/>
    <w:rsid w:val="0044116A"/>
    <w:rsid w:val="00443E87"/>
    <w:rsid w:val="004511A7"/>
    <w:rsid w:val="004519B2"/>
    <w:rsid w:val="0045386D"/>
    <w:rsid w:val="00461341"/>
    <w:rsid w:val="00461997"/>
    <w:rsid w:val="004707E8"/>
    <w:rsid w:val="004713AF"/>
    <w:rsid w:val="0047158F"/>
    <w:rsid w:val="00474D8C"/>
    <w:rsid w:val="00474E94"/>
    <w:rsid w:val="0047556C"/>
    <w:rsid w:val="00475A54"/>
    <w:rsid w:val="00475F49"/>
    <w:rsid w:val="00477C16"/>
    <w:rsid w:val="004820E9"/>
    <w:rsid w:val="0048361F"/>
    <w:rsid w:val="00484FE9"/>
    <w:rsid w:val="00485B88"/>
    <w:rsid w:val="00486FF8"/>
    <w:rsid w:val="004914C0"/>
    <w:rsid w:val="004A16F9"/>
    <w:rsid w:val="004A1B3A"/>
    <w:rsid w:val="004A4A78"/>
    <w:rsid w:val="004A503F"/>
    <w:rsid w:val="004A7266"/>
    <w:rsid w:val="004B4705"/>
    <w:rsid w:val="004B514C"/>
    <w:rsid w:val="004B5533"/>
    <w:rsid w:val="004B5743"/>
    <w:rsid w:val="004C0F75"/>
    <w:rsid w:val="004C13F9"/>
    <w:rsid w:val="004C3859"/>
    <w:rsid w:val="004D6A26"/>
    <w:rsid w:val="004E08A6"/>
    <w:rsid w:val="004E2B9F"/>
    <w:rsid w:val="004E3746"/>
    <w:rsid w:val="004F4350"/>
    <w:rsid w:val="00501519"/>
    <w:rsid w:val="00503454"/>
    <w:rsid w:val="005036DA"/>
    <w:rsid w:val="00503FA4"/>
    <w:rsid w:val="005056AB"/>
    <w:rsid w:val="0050624E"/>
    <w:rsid w:val="00506F87"/>
    <w:rsid w:val="00507FB6"/>
    <w:rsid w:val="00520134"/>
    <w:rsid w:val="00524FF2"/>
    <w:rsid w:val="0052572D"/>
    <w:rsid w:val="005259A8"/>
    <w:rsid w:val="00525FA6"/>
    <w:rsid w:val="00526C07"/>
    <w:rsid w:val="00526CF7"/>
    <w:rsid w:val="00530A7F"/>
    <w:rsid w:val="005332D3"/>
    <w:rsid w:val="0053384F"/>
    <w:rsid w:val="0053387C"/>
    <w:rsid w:val="00534C9F"/>
    <w:rsid w:val="00545BA3"/>
    <w:rsid w:val="00547E63"/>
    <w:rsid w:val="0055010B"/>
    <w:rsid w:val="005502CC"/>
    <w:rsid w:val="0055047B"/>
    <w:rsid w:val="00551786"/>
    <w:rsid w:val="00552D32"/>
    <w:rsid w:val="005553CE"/>
    <w:rsid w:val="00560A1B"/>
    <w:rsid w:val="005614AA"/>
    <w:rsid w:val="0056164D"/>
    <w:rsid w:val="00564B3D"/>
    <w:rsid w:val="00564CEF"/>
    <w:rsid w:val="00565681"/>
    <w:rsid w:val="0056772A"/>
    <w:rsid w:val="005709B5"/>
    <w:rsid w:val="00572C5E"/>
    <w:rsid w:val="0057424F"/>
    <w:rsid w:val="0057447E"/>
    <w:rsid w:val="0057474F"/>
    <w:rsid w:val="005759DA"/>
    <w:rsid w:val="00577228"/>
    <w:rsid w:val="005860F4"/>
    <w:rsid w:val="005866B1"/>
    <w:rsid w:val="00594439"/>
    <w:rsid w:val="00594777"/>
    <w:rsid w:val="00595029"/>
    <w:rsid w:val="00597995"/>
    <w:rsid w:val="005A5E10"/>
    <w:rsid w:val="005B458D"/>
    <w:rsid w:val="005C051F"/>
    <w:rsid w:val="005C0A99"/>
    <w:rsid w:val="005C18FD"/>
    <w:rsid w:val="005C2E2D"/>
    <w:rsid w:val="005C495E"/>
    <w:rsid w:val="005C6267"/>
    <w:rsid w:val="005C762E"/>
    <w:rsid w:val="005D098C"/>
    <w:rsid w:val="005D4902"/>
    <w:rsid w:val="005D4936"/>
    <w:rsid w:val="005D6B00"/>
    <w:rsid w:val="005E0A9B"/>
    <w:rsid w:val="005E4D76"/>
    <w:rsid w:val="005E7767"/>
    <w:rsid w:val="005F0352"/>
    <w:rsid w:val="005F2261"/>
    <w:rsid w:val="005F318F"/>
    <w:rsid w:val="005F373F"/>
    <w:rsid w:val="005F5EA5"/>
    <w:rsid w:val="005F5F37"/>
    <w:rsid w:val="005F7FC1"/>
    <w:rsid w:val="0060114E"/>
    <w:rsid w:val="006011C7"/>
    <w:rsid w:val="00603E56"/>
    <w:rsid w:val="0060662A"/>
    <w:rsid w:val="00614620"/>
    <w:rsid w:val="00614BDA"/>
    <w:rsid w:val="00617519"/>
    <w:rsid w:val="00621ECC"/>
    <w:rsid w:val="00624162"/>
    <w:rsid w:val="00626052"/>
    <w:rsid w:val="00626D4D"/>
    <w:rsid w:val="00626FE0"/>
    <w:rsid w:val="006306FB"/>
    <w:rsid w:val="00630848"/>
    <w:rsid w:val="006331B4"/>
    <w:rsid w:val="006343F3"/>
    <w:rsid w:val="00636EEB"/>
    <w:rsid w:val="006376AD"/>
    <w:rsid w:val="00640E9E"/>
    <w:rsid w:val="00642906"/>
    <w:rsid w:val="00642AC8"/>
    <w:rsid w:val="00644285"/>
    <w:rsid w:val="0064454F"/>
    <w:rsid w:val="00650904"/>
    <w:rsid w:val="0065149C"/>
    <w:rsid w:val="00652396"/>
    <w:rsid w:val="00654DBE"/>
    <w:rsid w:val="00655369"/>
    <w:rsid w:val="006571D4"/>
    <w:rsid w:val="0066289E"/>
    <w:rsid w:val="006635AE"/>
    <w:rsid w:val="0066413E"/>
    <w:rsid w:val="00665109"/>
    <w:rsid w:val="006653B6"/>
    <w:rsid w:val="00665586"/>
    <w:rsid w:val="00670A6C"/>
    <w:rsid w:val="0067140F"/>
    <w:rsid w:val="00675105"/>
    <w:rsid w:val="0067600B"/>
    <w:rsid w:val="00680B94"/>
    <w:rsid w:val="0068493C"/>
    <w:rsid w:val="006859D8"/>
    <w:rsid w:val="006915E3"/>
    <w:rsid w:val="00693F97"/>
    <w:rsid w:val="006958CF"/>
    <w:rsid w:val="00695B40"/>
    <w:rsid w:val="0069665B"/>
    <w:rsid w:val="006A05A3"/>
    <w:rsid w:val="006A721F"/>
    <w:rsid w:val="006B0509"/>
    <w:rsid w:val="006B16AD"/>
    <w:rsid w:val="006B1D41"/>
    <w:rsid w:val="006B2FF6"/>
    <w:rsid w:val="006B45FB"/>
    <w:rsid w:val="006B729A"/>
    <w:rsid w:val="006B7A14"/>
    <w:rsid w:val="006C3127"/>
    <w:rsid w:val="006C36A6"/>
    <w:rsid w:val="006C4A93"/>
    <w:rsid w:val="006C530F"/>
    <w:rsid w:val="006C76F3"/>
    <w:rsid w:val="006D0A66"/>
    <w:rsid w:val="006D1627"/>
    <w:rsid w:val="006D1814"/>
    <w:rsid w:val="006D1CAA"/>
    <w:rsid w:val="006D29E9"/>
    <w:rsid w:val="006D4079"/>
    <w:rsid w:val="006D60A4"/>
    <w:rsid w:val="006D685F"/>
    <w:rsid w:val="006D68D5"/>
    <w:rsid w:val="006D728F"/>
    <w:rsid w:val="006D73F1"/>
    <w:rsid w:val="006E00CD"/>
    <w:rsid w:val="006E0F0C"/>
    <w:rsid w:val="006E3264"/>
    <w:rsid w:val="006E35CE"/>
    <w:rsid w:val="006E528E"/>
    <w:rsid w:val="006E6428"/>
    <w:rsid w:val="006F1CFE"/>
    <w:rsid w:val="006F4FF7"/>
    <w:rsid w:val="006F6BEF"/>
    <w:rsid w:val="006F795E"/>
    <w:rsid w:val="00703119"/>
    <w:rsid w:val="00706F7C"/>
    <w:rsid w:val="007110E4"/>
    <w:rsid w:val="00711D93"/>
    <w:rsid w:val="00713308"/>
    <w:rsid w:val="00716C5A"/>
    <w:rsid w:val="007216AB"/>
    <w:rsid w:val="0072347E"/>
    <w:rsid w:val="007246ED"/>
    <w:rsid w:val="007277C3"/>
    <w:rsid w:val="00730778"/>
    <w:rsid w:val="00731811"/>
    <w:rsid w:val="00732235"/>
    <w:rsid w:val="00732519"/>
    <w:rsid w:val="007331B1"/>
    <w:rsid w:val="00734E86"/>
    <w:rsid w:val="00735277"/>
    <w:rsid w:val="0073601D"/>
    <w:rsid w:val="00737ACC"/>
    <w:rsid w:val="00737F9C"/>
    <w:rsid w:val="007450BA"/>
    <w:rsid w:val="00745C29"/>
    <w:rsid w:val="007471CA"/>
    <w:rsid w:val="007475C1"/>
    <w:rsid w:val="00753B40"/>
    <w:rsid w:val="00753F87"/>
    <w:rsid w:val="00756A99"/>
    <w:rsid w:val="00764194"/>
    <w:rsid w:val="00770A9D"/>
    <w:rsid w:val="00771A5D"/>
    <w:rsid w:val="007747AF"/>
    <w:rsid w:val="00774B1E"/>
    <w:rsid w:val="0078026E"/>
    <w:rsid w:val="007820C0"/>
    <w:rsid w:val="00784983"/>
    <w:rsid w:val="0078634E"/>
    <w:rsid w:val="00794F4F"/>
    <w:rsid w:val="007A0602"/>
    <w:rsid w:val="007A174B"/>
    <w:rsid w:val="007A45BB"/>
    <w:rsid w:val="007A46CE"/>
    <w:rsid w:val="007A4EEE"/>
    <w:rsid w:val="007A4F74"/>
    <w:rsid w:val="007B165F"/>
    <w:rsid w:val="007B2579"/>
    <w:rsid w:val="007B4DA5"/>
    <w:rsid w:val="007B5BCA"/>
    <w:rsid w:val="007B722B"/>
    <w:rsid w:val="007B7BF0"/>
    <w:rsid w:val="007C06DC"/>
    <w:rsid w:val="007C1F4E"/>
    <w:rsid w:val="007C21D2"/>
    <w:rsid w:val="007C4311"/>
    <w:rsid w:val="007C5E25"/>
    <w:rsid w:val="007C6BAC"/>
    <w:rsid w:val="007C76E2"/>
    <w:rsid w:val="007D0767"/>
    <w:rsid w:val="007D0E4D"/>
    <w:rsid w:val="007D2C05"/>
    <w:rsid w:val="007D3032"/>
    <w:rsid w:val="007E156B"/>
    <w:rsid w:val="007E2498"/>
    <w:rsid w:val="007E2C53"/>
    <w:rsid w:val="007E43EB"/>
    <w:rsid w:val="007F3255"/>
    <w:rsid w:val="007F4E3E"/>
    <w:rsid w:val="007F525C"/>
    <w:rsid w:val="007F546C"/>
    <w:rsid w:val="007F76CA"/>
    <w:rsid w:val="00804438"/>
    <w:rsid w:val="00805198"/>
    <w:rsid w:val="00805C17"/>
    <w:rsid w:val="008066FD"/>
    <w:rsid w:val="00812F96"/>
    <w:rsid w:val="0081404B"/>
    <w:rsid w:val="00815BBC"/>
    <w:rsid w:val="00821884"/>
    <w:rsid w:val="008242B3"/>
    <w:rsid w:val="0082757C"/>
    <w:rsid w:val="008276C4"/>
    <w:rsid w:val="0082778F"/>
    <w:rsid w:val="00832E36"/>
    <w:rsid w:val="00836AB8"/>
    <w:rsid w:val="00843A81"/>
    <w:rsid w:val="00845583"/>
    <w:rsid w:val="00845B02"/>
    <w:rsid w:val="008505C3"/>
    <w:rsid w:val="00856882"/>
    <w:rsid w:val="00860B5E"/>
    <w:rsid w:val="00861CF9"/>
    <w:rsid w:val="00862482"/>
    <w:rsid w:val="00862C0C"/>
    <w:rsid w:val="00862D5A"/>
    <w:rsid w:val="0086485F"/>
    <w:rsid w:val="00865DD9"/>
    <w:rsid w:val="00866E64"/>
    <w:rsid w:val="00872431"/>
    <w:rsid w:val="00873870"/>
    <w:rsid w:val="00874B19"/>
    <w:rsid w:val="008751BA"/>
    <w:rsid w:val="008818F2"/>
    <w:rsid w:val="00882E4F"/>
    <w:rsid w:val="00883AA9"/>
    <w:rsid w:val="0088538B"/>
    <w:rsid w:val="008853CB"/>
    <w:rsid w:val="00885ADC"/>
    <w:rsid w:val="0088646C"/>
    <w:rsid w:val="00887177"/>
    <w:rsid w:val="00887297"/>
    <w:rsid w:val="00887FC4"/>
    <w:rsid w:val="008903D1"/>
    <w:rsid w:val="0089260A"/>
    <w:rsid w:val="0089400D"/>
    <w:rsid w:val="00894218"/>
    <w:rsid w:val="008943B5"/>
    <w:rsid w:val="00895B71"/>
    <w:rsid w:val="00895EBE"/>
    <w:rsid w:val="008A0BE0"/>
    <w:rsid w:val="008A1697"/>
    <w:rsid w:val="008A1D41"/>
    <w:rsid w:val="008A2159"/>
    <w:rsid w:val="008A24DE"/>
    <w:rsid w:val="008A3690"/>
    <w:rsid w:val="008A36A7"/>
    <w:rsid w:val="008A3CB5"/>
    <w:rsid w:val="008A3F38"/>
    <w:rsid w:val="008A6557"/>
    <w:rsid w:val="008B280F"/>
    <w:rsid w:val="008B4959"/>
    <w:rsid w:val="008C782E"/>
    <w:rsid w:val="008D111E"/>
    <w:rsid w:val="008D1A75"/>
    <w:rsid w:val="008D379D"/>
    <w:rsid w:val="008D53AD"/>
    <w:rsid w:val="008D5429"/>
    <w:rsid w:val="008D6069"/>
    <w:rsid w:val="008D724E"/>
    <w:rsid w:val="008E08E1"/>
    <w:rsid w:val="008E0989"/>
    <w:rsid w:val="008E4232"/>
    <w:rsid w:val="008E7585"/>
    <w:rsid w:val="008F025C"/>
    <w:rsid w:val="008F1493"/>
    <w:rsid w:val="008F4F74"/>
    <w:rsid w:val="008F587B"/>
    <w:rsid w:val="00905896"/>
    <w:rsid w:val="009150FD"/>
    <w:rsid w:val="00915CF0"/>
    <w:rsid w:val="00921354"/>
    <w:rsid w:val="0092560B"/>
    <w:rsid w:val="009263CE"/>
    <w:rsid w:val="009310F7"/>
    <w:rsid w:val="009343C2"/>
    <w:rsid w:val="00936033"/>
    <w:rsid w:val="0094366C"/>
    <w:rsid w:val="009465C9"/>
    <w:rsid w:val="00951D62"/>
    <w:rsid w:val="00953ADF"/>
    <w:rsid w:val="009554B3"/>
    <w:rsid w:val="00963231"/>
    <w:rsid w:val="00966262"/>
    <w:rsid w:val="009677B7"/>
    <w:rsid w:val="00971131"/>
    <w:rsid w:val="00974DFF"/>
    <w:rsid w:val="0098026C"/>
    <w:rsid w:val="009829BA"/>
    <w:rsid w:val="009838A9"/>
    <w:rsid w:val="009846B5"/>
    <w:rsid w:val="009871F3"/>
    <w:rsid w:val="0099057F"/>
    <w:rsid w:val="00991EE3"/>
    <w:rsid w:val="00992591"/>
    <w:rsid w:val="00993EAB"/>
    <w:rsid w:val="00995BDE"/>
    <w:rsid w:val="009966A3"/>
    <w:rsid w:val="009A0289"/>
    <w:rsid w:val="009A2C83"/>
    <w:rsid w:val="009A372F"/>
    <w:rsid w:val="009B0013"/>
    <w:rsid w:val="009B00AD"/>
    <w:rsid w:val="009B1125"/>
    <w:rsid w:val="009B1D56"/>
    <w:rsid w:val="009B214E"/>
    <w:rsid w:val="009B621A"/>
    <w:rsid w:val="009C0E82"/>
    <w:rsid w:val="009C45D9"/>
    <w:rsid w:val="009C4F8F"/>
    <w:rsid w:val="009C6E2D"/>
    <w:rsid w:val="009C78EC"/>
    <w:rsid w:val="009C79CF"/>
    <w:rsid w:val="009D22A4"/>
    <w:rsid w:val="009D28A0"/>
    <w:rsid w:val="009D51B4"/>
    <w:rsid w:val="009D591E"/>
    <w:rsid w:val="009D7075"/>
    <w:rsid w:val="009D7B5C"/>
    <w:rsid w:val="009E2D5C"/>
    <w:rsid w:val="009E4DD0"/>
    <w:rsid w:val="009F3617"/>
    <w:rsid w:val="00A01472"/>
    <w:rsid w:val="00A04489"/>
    <w:rsid w:val="00A048FA"/>
    <w:rsid w:val="00A06657"/>
    <w:rsid w:val="00A100B7"/>
    <w:rsid w:val="00A13B1E"/>
    <w:rsid w:val="00A13D5B"/>
    <w:rsid w:val="00A151F5"/>
    <w:rsid w:val="00A17926"/>
    <w:rsid w:val="00A20988"/>
    <w:rsid w:val="00A213C0"/>
    <w:rsid w:val="00A2352C"/>
    <w:rsid w:val="00A24C1C"/>
    <w:rsid w:val="00A261B2"/>
    <w:rsid w:val="00A267FC"/>
    <w:rsid w:val="00A27855"/>
    <w:rsid w:val="00A311CA"/>
    <w:rsid w:val="00A31491"/>
    <w:rsid w:val="00A31E7E"/>
    <w:rsid w:val="00A324FF"/>
    <w:rsid w:val="00A36575"/>
    <w:rsid w:val="00A40AF3"/>
    <w:rsid w:val="00A41B30"/>
    <w:rsid w:val="00A42348"/>
    <w:rsid w:val="00A42B48"/>
    <w:rsid w:val="00A47E65"/>
    <w:rsid w:val="00A51B1C"/>
    <w:rsid w:val="00A53802"/>
    <w:rsid w:val="00A56335"/>
    <w:rsid w:val="00A56DFA"/>
    <w:rsid w:val="00A6066F"/>
    <w:rsid w:val="00A60B4C"/>
    <w:rsid w:val="00A61A7E"/>
    <w:rsid w:val="00A63C64"/>
    <w:rsid w:val="00A66434"/>
    <w:rsid w:val="00A72781"/>
    <w:rsid w:val="00A748C5"/>
    <w:rsid w:val="00A76CDC"/>
    <w:rsid w:val="00A80540"/>
    <w:rsid w:val="00A80714"/>
    <w:rsid w:val="00A820E1"/>
    <w:rsid w:val="00A857DF"/>
    <w:rsid w:val="00A86288"/>
    <w:rsid w:val="00A86D3D"/>
    <w:rsid w:val="00A870BA"/>
    <w:rsid w:val="00A93CEB"/>
    <w:rsid w:val="00A956DE"/>
    <w:rsid w:val="00A96D5E"/>
    <w:rsid w:val="00A976B7"/>
    <w:rsid w:val="00AA0CDB"/>
    <w:rsid w:val="00AA26C9"/>
    <w:rsid w:val="00AA31B4"/>
    <w:rsid w:val="00AA3D0E"/>
    <w:rsid w:val="00AB2948"/>
    <w:rsid w:val="00AB39FA"/>
    <w:rsid w:val="00AB49C2"/>
    <w:rsid w:val="00AC1468"/>
    <w:rsid w:val="00AC57EF"/>
    <w:rsid w:val="00AC634F"/>
    <w:rsid w:val="00AD2B35"/>
    <w:rsid w:val="00AD5A37"/>
    <w:rsid w:val="00AD5CB1"/>
    <w:rsid w:val="00AD5CB7"/>
    <w:rsid w:val="00AD5E0B"/>
    <w:rsid w:val="00AD6933"/>
    <w:rsid w:val="00AD6B7B"/>
    <w:rsid w:val="00AD73AF"/>
    <w:rsid w:val="00AD744A"/>
    <w:rsid w:val="00AE3233"/>
    <w:rsid w:val="00AE62AC"/>
    <w:rsid w:val="00AF4391"/>
    <w:rsid w:val="00AF57AE"/>
    <w:rsid w:val="00AF6493"/>
    <w:rsid w:val="00AF69C0"/>
    <w:rsid w:val="00B00A4E"/>
    <w:rsid w:val="00B01657"/>
    <w:rsid w:val="00B0463B"/>
    <w:rsid w:val="00B1070D"/>
    <w:rsid w:val="00B11404"/>
    <w:rsid w:val="00B11BE5"/>
    <w:rsid w:val="00B1299D"/>
    <w:rsid w:val="00B15262"/>
    <w:rsid w:val="00B158AE"/>
    <w:rsid w:val="00B27FAB"/>
    <w:rsid w:val="00B31F91"/>
    <w:rsid w:val="00B34801"/>
    <w:rsid w:val="00B3498A"/>
    <w:rsid w:val="00B364C0"/>
    <w:rsid w:val="00B367B9"/>
    <w:rsid w:val="00B41226"/>
    <w:rsid w:val="00B43379"/>
    <w:rsid w:val="00B43705"/>
    <w:rsid w:val="00B45842"/>
    <w:rsid w:val="00B47E0E"/>
    <w:rsid w:val="00B527FF"/>
    <w:rsid w:val="00B55DF2"/>
    <w:rsid w:val="00B56B7C"/>
    <w:rsid w:val="00B57380"/>
    <w:rsid w:val="00B6025C"/>
    <w:rsid w:val="00B60D70"/>
    <w:rsid w:val="00B6447B"/>
    <w:rsid w:val="00B65531"/>
    <w:rsid w:val="00B65F09"/>
    <w:rsid w:val="00B67305"/>
    <w:rsid w:val="00B677DB"/>
    <w:rsid w:val="00B71110"/>
    <w:rsid w:val="00B721CC"/>
    <w:rsid w:val="00B72EBE"/>
    <w:rsid w:val="00B7461C"/>
    <w:rsid w:val="00B75640"/>
    <w:rsid w:val="00B75C05"/>
    <w:rsid w:val="00B81434"/>
    <w:rsid w:val="00B8258E"/>
    <w:rsid w:val="00B83841"/>
    <w:rsid w:val="00B84BB9"/>
    <w:rsid w:val="00B84BC1"/>
    <w:rsid w:val="00B85E8A"/>
    <w:rsid w:val="00B918B0"/>
    <w:rsid w:val="00B91DE6"/>
    <w:rsid w:val="00B950AE"/>
    <w:rsid w:val="00B95B4A"/>
    <w:rsid w:val="00B96B67"/>
    <w:rsid w:val="00BA0179"/>
    <w:rsid w:val="00BA2E89"/>
    <w:rsid w:val="00BA35EC"/>
    <w:rsid w:val="00BA366A"/>
    <w:rsid w:val="00BA51EA"/>
    <w:rsid w:val="00BA589F"/>
    <w:rsid w:val="00BA7033"/>
    <w:rsid w:val="00BA71D0"/>
    <w:rsid w:val="00BB047B"/>
    <w:rsid w:val="00BB26FF"/>
    <w:rsid w:val="00BB6398"/>
    <w:rsid w:val="00BC0E86"/>
    <w:rsid w:val="00BC13D3"/>
    <w:rsid w:val="00BC7567"/>
    <w:rsid w:val="00BD0372"/>
    <w:rsid w:val="00BD0606"/>
    <w:rsid w:val="00BD0C9C"/>
    <w:rsid w:val="00BD246E"/>
    <w:rsid w:val="00BD27E7"/>
    <w:rsid w:val="00BD4CD5"/>
    <w:rsid w:val="00BD6507"/>
    <w:rsid w:val="00BD7CFF"/>
    <w:rsid w:val="00BE3F8D"/>
    <w:rsid w:val="00BF2366"/>
    <w:rsid w:val="00BF3E81"/>
    <w:rsid w:val="00BF3E85"/>
    <w:rsid w:val="00BF4768"/>
    <w:rsid w:val="00BF49C8"/>
    <w:rsid w:val="00BF5484"/>
    <w:rsid w:val="00BF6573"/>
    <w:rsid w:val="00BF6D5D"/>
    <w:rsid w:val="00C00F22"/>
    <w:rsid w:val="00C01E9E"/>
    <w:rsid w:val="00C037D0"/>
    <w:rsid w:val="00C112E2"/>
    <w:rsid w:val="00C139CA"/>
    <w:rsid w:val="00C14855"/>
    <w:rsid w:val="00C14EDF"/>
    <w:rsid w:val="00C2492F"/>
    <w:rsid w:val="00C3102F"/>
    <w:rsid w:val="00C3588B"/>
    <w:rsid w:val="00C35AAF"/>
    <w:rsid w:val="00C36FC2"/>
    <w:rsid w:val="00C42B0C"/>
    <w:rsid w:val="00C430F2"/>
    <w:rsid w:val="00C433C5"/>
    <w:rsid w:val="00C440AD"/>
    <w:rsid w:val="00C51429"/>
    <w:rsid w:val="00C5249B"/>
    <w:rsid w:val="00C52E20"/>
    <w:rsid w:val="00C53C0A"/>
    <w:rsid w:val="00C544AB"/>
    <w:rsid w:val="00C72858"/>
    <w:rsid w:val="00C7674F"/>
    <w:rsid w:val="00C7777C"/>
    <w:rsid w:val="00C77DBE"/>
    <w:rsid w:val="00C80B94"/>
    <w:rsid w:val="00C80EAB"/>
    <w:rsid w:val="00C81F06"/>
    <w:rsid w:val="00C827DF"/>
    <w:rsid w:val="00C90BDE"/>
    <w:rsid w:val="00C93918"/>
    <w:rsid w:val="00C94113"/>
    <w:rsid w:val="00C95A40"/>
    <w:rsid w:val="00C97731"/>
    <w:rsid w:val="00CA3397"/>
    <w:rsid w:val="00CA33E1"/>
    <w:rsid w:val="00CA35E0"/>
    <w:rsid w:val="00CA4956"/>
    <w:rsid w:val="00CA4CAB"/>
    <w:rsid w:val="00CB11F1"/>
    <w:rsid w:val="00CB1E3C"/>
    <w:rsid w:val="00CB2C64"/>
    <w:rsid w:val="00CB5DA7"/>
    <w:rsid w:val="00CB6BEB"/>
    <w:rsid w:val="00CB7103"/>
    <w:rsid w:val="00CC02E2"/>
    <w:rsid w:val="00CC2D37"/>
    <w:rsid w:val="00CD04A7"/>
    <w:rsid w:val="00CD077E"/>
    <w:rsid w:val="00CD16C7"/>
    <w:rsid w:val="00CD5260"/>
    <w:rsid w:val="00CD6457"/>
    <w:rsid w:val="00CD654C"/>
    <w:rsid w:val="00CE38F4"/>
    <w:rsid w:val="00CE3ECF"/>
    <w:rsid w:val="00CE5829"/>
    <w:rsid w:val="00CE7855"/>
    <w:rsid w:val="00CF1BE0"/>
    <w:rsid w:val="00CF1E50"/>
    <w:rsid w:val="00CF2F54"/>
    <w:rsid w:val="00CF35E7"/>
    <w:rsid w:val="00CF3974"/>
    <w:rsid w:val="00CF3DA0"/>
    <w:rsid w:val="00D0450A"/>
    <w:rsid w:val="00D07403"/>
    <w:rsid w:val="00D13084"/>
    <w:rsid w:val="00D227BE"/>
    <w:rsid w:val="00D24052"/>
    <w:rsid w:val="00D24084"/>
    <w:rsid w:val="00D25457"/>
    <w:rsid w:val="00D27FAB"/>
    <w:rsid w:val="00D310AD"/>
    <w:rsid w:val="00D327B9"/>
    <w:rsid w:val="00D3612A"/>
    <w:rsid w:val="00D37703"/>
    <w:rsid w:val="00D37F25"/>
    <w:rsid w:val="00D4081D"/>
    <w:rsid w:val="00D411DC"/>
    <w:rsid w:val="00D41926"/>
    <w:rsid w:val="00D452E5"/>
    <w:rsid w:val="00D453F6"/>
    <w:rsid w:val="00D45518"/>
    <w:rsid w:val="00D509DA"/>
    <w:rsid w:val="00D515F2"/>
    <w:rsid w:val="00D5597E"/>
    <w:rsid w:val="00D57E86"/>
    <w:rsid w:val="00D60D8D"/>
    <w:rsid w:val="00D64C0B"/>
    <w:rsid w:val="00D726B7"/>
    <w:rsid w:val="00D73C98"/>
    <w:rsid w:val="00D778B0"/>
    <w:rsid w:val="00D80305"/>
    <w:rsid w:val="00D854ED"/>
    <w:rsid w:val="00D87401"/>
    <w:rsid w:val="00D93D55"/>
    <w:rsid w:val="00D945D1"/>
    <w:rsid w:val="00D949FE"/>
    <w:rsid w:val="00D97141"/>
    <w:rsid w:val="00D97B72"/>
    <w:rsid w:val="00DA11DD"/>
    <w:rsid w:val="00DA2EDE"/>
    <w:rsid w:val="00DA627B"/>
    <w:rsid w:val="00DB7017"/>
    <w:rsid w:val="00DB7C3D"/>
    <w:rsid w:val="00DC0120"/>
    <w:rsid w:val="00DC0407"/>
    <w:rsid w:val="00DC5224"/>
    <w:rsid w:val="00DC5357"/>
    <w:rsid w:val="00DC5FCA"/>
    <w:rsid w:val="00DC760A"/>
    <w:rsid w:val="00DD49E9"/>
    <w:rsid w:val="00DD5378"/>
    <w:rsid w:val="00DD5975"/>
    <w:rsid w:val="00DE2868"/>
    <w:rsid w:val="00DE4E55"/>
    <w:rsid w:val="00DE643F"/>
    <w:rsid w:val="00DE6A6E"/>
    <w:rsid w:val="00DF2265"/>
    <w:rsid w:val="00DF5507"/>
    <w:rsid w:val="00DF757C"/>
    <w:rsid w:val="00E0088D"/>
    <w:rsid w:val="00E00C7E"/>
    <w:rsid w:val="00E013AC"/>
    <w:rsid w:val="00E01B9C"/>
    <w:rsid w:val="00E048E9"/>
    <w:rsid w:val="00E07958"/>
    <w:rsid w:val="00E12327"/>
    <w:rsid w:val="00E24056"/>
    <w:rsid w:val="00E2509B"/>
    <w:rsid w:val="00E253D8"/>
    <w:rsid w:val="00E25ABA"/>
    <w:rsid w:val="00E327CB"/>
    <w:rsid w:val="00E32F26"/>
    <w:rsid w:val="00E3331F"/>
    <w:rsid w:val="00E36FCF"/>
    <w:rsid w:val="00E4162E"/>
    <w:rsid w:val="00E4182B"/>
    <w:rsid w:val="00E41916"/>
    <w:rsid w:val="00E42D4B"/>
    <w:rsid w:val="00E45432"/>
    <w:rsid w:val="00E4548F"/>
    <w:rsid w:val="00E4622C"/>
    <w:rsid w:val="00E46571"/>
    <w:rsid w:val="00E5078A"/>
    <w:rsid w:val="00E51FFB"/>
    <w:rsid w:val="00E52813"/>
    <w:rsid w:val="00E543B0"/>
    <w:rsid w:val="00E60AF7"/>
    <w:rsid w:val="00E61987"/>
    <w:rsid w:val="00E63855"/>
    <w:rsid w:val="00E64C81"/>
    <w:rsid w:val="00E67BDA"/>
    <w:rsid w:val="00E70A87"/>
    <w:rsid w:val="00E75C2A"/>
    <w:rsid w:val="00E8247B"/>
    <w:rsid w:val="00E827C2"/>
    <w:rsid w:val="00E845D1"/>
    <w:rsid w:val="00E8564A"/>
    <w:rsid w:val="00E85C88"/>
    <w:rsid w:val="00E87BD8"/>
    <w:rsid w:val="00E906B5"/>
    <w:rsid w:val="00E90EBD"/>
    <w:rsid w:val="00E91C54"/>
    <w:rsid w:val="00E93003"/>
    <w:rsid w:val="00E93360"/>
    <w:rsid w:val="00E93C06"/>
    <w:rsid w:val="00E93EC4"/>
    <w:rsid w:val="00E9596A"/>
    <w:rsid w:val="00E95993"/>
    <w:rsid w:val="00EA0993"/>
    <w:rsid w:val="00EA3D78"/>
    <w:rsid w:val="00EA49A0"/>
    <w:rsid w:val="00EB03BB"/>
    <w:rsid w:val="00EB1612"/>
    <w:rsid w:val="00EB1C36"/>
    <w:rsid w:val="00EB468F"/>
    <w:rsid w:val="00EB4841"/>
    <w:rsid w:val="00EB756B"/>
    <w:rsid w:val="00EC2339"/>
    <w:rsid w:val="00EC2A95"/>
    <w:rsid w:val="00EC3354"/>
    <w:rsid w:val="00EC3FC0"/>
    <w:rsid w:val="00EC4051"/>
    <w:rsid w:val="00ED34F4"/>
    <w:rsid w:val="00ED4EEB"/>
    <w:rsid w:val="00ED5354"/>
    <w:rsid w:val="00EE14B8"/>
    <w:rsid w:val="00EE1DEE"/>
    <w:rsid w:val="00EE2EB2"/>
    <w:rsid w:val="00EE3FC3"/>
    <w:rsid w:val="00EE406C"/>
    <w:rsid w:val="00EE5002"/>
    <w:rsid w:val="00EF1F8D"/>
    <w:rsid w:val="00EF2A08"/>
    <w:rsid w:val="00EF44FB"/>
    <w:rsid w:val="00EF616C"/>
    <w:rsid w:val="00F01F5E"/>
    <w:rsid w:val="00F039C3"/>
    <w:rsid w:val="00F05BB0"/>
    <w:rsid w:val="00F07534"/>
    <w:rsid w:val="00F10589"/>
    <w:rsid w:val="00F147B0"/>
    <w:rsid w:val="00F15647"/>
    <w:rsid w:val="00F16A86"/>
    <w:rsid w:val="00F225BF"/>
    <w:rsid w:val="00F25979"/>
    <w:rsid w:val="00F26A9F"/>
    <w:rsid w:val="00F26E68"/>
    <w:rsid w:val="00F27BED"/>
    <w:rsid w:val="00F3091F"/>
    <w:rsid w:val="00F32D50"/>
    <w:rsid w:val="00F33119"/>
    <w:rsid w:val="00F34EFA"/>
    <w:rsid w:val="00F37ED0"/>
    <w:rsid w:val="00F436A3"/>
    <w:rsid w:val="00F4630A"/>
    <w:rsid w:val="00F46FC0"/>
    <w:rsid w:val="00F5431B"/>
    <w:rsid w:val="00F55C91"/>
    <w:rsid w:val="00F6036E"/>
    <w:rsid w:val="00F678FA"/>
    <w:rsid w:val="00F70148"/>
    <w:rsid w:val="00F702AE"/>
    <w:rsid w:val="00F705A4"/>
    <w:rsid w:val="00F709A3"/>
    <w:rsid w:val="00F73C47"/>
    <w:rsid w:val="00F775E1"/>
    <w:rsid w:val="00F81F2C"/>
    <w:rsid w:val="00F83D74"/>
    <w:rsid w:val="00F86719"/>
    <w:rsid w:val="00F868F1"/>
    <w:rsid w:val="00F90296"/>
    <w:rsid w:val="00F90E63"/>
    <w:rsid w:val="00F924B7"/>
    <w:rsid w:val="00F94EBC"/>
    <w:rsid w:val="00F97BA2"/>
    <w:rsid w:val="00FA1DF3"/>
    <w:rsid w:val="00FA1F82"/>
    <w:rsid w:val="00FA5F83"/>
    <w:rsid w:val="00FA66A6"/>
    <w:rsid w:val="00FA6EE7"/>
    <w:rsid w:val="00FB37EB"/>
    <w:rsid w:val="00FB3EA6"/>
    <w:rsid w:val="00FB4444"/>
    <w:rsid w:val="00FB47DD"/>
    <w:rsid w:val="00FB4908"/>
    <w:rsid w:val="00FB6B6D"/>
    <w:rsid w:val="00FB73D3"/>
    <w:rsid w:val="00FC2109"/>
    <w:rsid w:val="00FC3CC0"/>
    <w:rsid w:val="00FC4801"/>
    <w:rsid w:val="00FD1901"/>
    <w:rsid w:val="00FD29BE"/>
    <w:rsid w:val="00FD3244"/>
    <w:rsid w:val="00FD43EA"/>
    <w:rsid w:val="00FD4756"/>
    <w:rsid w:val="00FD7577"/>
    <w:rsid w:val="00FD7EE2"/>
    <w:rsid w:val="00FE462D"/>
    <w:rsid w:val="00FE5CD8"/>
    <w:rsid w:val="00FE77AA"/>
    <w:rsid w:val="00FF201E"/>
    <w:rsid w:val="00FF265E"/>
    <w:rsid w:val="00FF27FD"/>
    <w:rsid w:val="00FF3516"/>
    <w:rsid w:val="00FF59B3"/>
    <w:rsid w:val="00FF7904"/>
    <w:rsid w:val="04818ACE"/>
    <w:rsid w:val="066401C8"/>
    <w:rsid w:val="06ADBC81"/>
    <w:rsid w:val="07562062"/>
    <w:rsid w:val="0C67C3B6"/>
    <w:rsid w:val="0D0A05F9"/>
    <w:rsid w:val="228B01FC"/>
    <w:rsid w:val="282A1301"/>
    <w:rsid w:val="3995D63C"/>
    <w:rsid w:val="3FB982C6"/>
    <w:rsid w:val="41937B4E"/>
    <w:rsid w:val="41EC7D3D"/>
    <w:rsid w:val="5498B426"/>
    <w:rsid w:val="59B5FD50"/>
    <w:rsid w:val="5E1F79B1"/>
    <w:rsid w:val="6AE4E4A5"/>
    <w:rsid w:val="6C6878F0"/>
    <w:rsid w:val="6D5FFB45"/>
    <w:rsid w:val="7219BD51"/>
    <w:rsid w:val="782ECD8D"/>
    <w:rsid w:val="7EE2C0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40FE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8"/>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8"/>
      </w:numPr>
    </w:pPr>
  </w:style>
  <w:style w:type="paragraph" w:customStyle="1" w:styleId="Numberedlevel4text">
    <w:name w:val="Numbered level 4 text"/>
    <w:basedOn w:val="NICEnormal"/>
    <w:next w:val="NICEnormal"/>
    <w:locked/>
    <w:rsid w:val="00F26E68"/>
    <w:pPr>
      <w:numPr>
        <w:ilvl w:val="3"/>
        <w:numId w:val="8"/>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21"/>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23"/>
      </w:numPr>
      <w:spacing w:after="0"/>
    </w:pPr>
  </w:style>
  <w:style w:type="paragraph" w:customStyle="1" w:styleId="Bulletleft2">
    <w:name w:val="Bullet left 2"/>
    <w:basedOn w:val="NICEnormal"/>
    <w:rsid w:val="008505C3"/>
    <w:pPr>
      <w:numPr>
        <w:ilvl w:val="1"/>
        <w:numId w:val="6"/>
      </w:numPr>
      <w:spacing w:after="0"/>
      <w:ind w:left="568" w:hanging="284"/>
    </w:pPr>
  </w:style>
  <w:style w:type="paragraph" w:customStyle="1" w:styleId="Bulletleft3">
    <w:name w:val="Bullet left 3"/>
    <w:basedOn w:val="NICEnormal"/>
    <w:rsid w:val="008505C3"/>
    <w:pPr>
      <w:numPr>
        <w:ilvl w:val="2"/>
        <w:numId w:val="19"/>
      </w:numPr>
      <w:spacing w:after="0"/>
    </w:pPr>
  </w:style>
  <w:style w:type="paragraph" w:customStyle="1" w:styleId="Bulletindent1">
    <w:name w:val="Bullet indent 1"/>
    <w:basedOn w:val="NICEnormal"/>
    <w:rsid w:val="00F26E68"/>
    <w:pPr>
      <w:numPr>
        <w:numId w:val="28"/>
      </w:numPr>
      <w:spacing w:after="0"/>
    </w:pPr>
  </w:style>
  <w:style w:type="paragraph" w:customStyle="1" w:styleId="Bulletindent3">
    <w:name w:val="Bullet indent 3"/>
    <w:basedOn w:val="NICEnormal"/>
    <w:rsid w:val="00D3612A"/>
    <w:pPr>
      <w:numPr>
        <w:ilvl w:val="2"/>
        <w:numId w:val="26"/>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1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6"/>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9"/>
      </w:numPr>
    </w:pPr>
  </w:style>
  <w:style w:type="paragraph" w:customStyle="1" w:styleId="Section3paragraphs">
    <w:name w:val="Section 3 paragraphs"/>
    <w:basedOn w:val="NICEnormal"/>
    <w:locked/>
    <w:rsid w:val="00D37703"/>
    <w:pPr>
      <w:numPr>
        <w:numId w:val="13"/>
      </w:numPr>
    </w:pPr>
  </w:style>
  <w:style w:type="paragraph" w:customStyle="1" w:styleId="Section411paragraphs">
    <w:name w:val="Section 4.1.1 paragraphs"/>
    <w:basedOn w:val="NICEnormal"/>
    <w:locked/>
    <w:rsid w:val="00D37703"/>
    <w:pPr>
      <w:numPr>
        <w:numId w:val="7"/>
      </w:numPr>
    </w:pPr>
  </w:style>
  <w:style w:type="paragraph" w:customStyle="1" w:styleId="Section412paragraphs">
    <w:name w:val="Section 4.1.2 paragraphs"/>
    <w:basedOn w:val="NICEnormal"/>
    <w:locked/>
    <w:rsid w:val="00D37703"/>
    <w:pPr>
      <w:numPr>
        <w:numId w:val="5"/>
      </w:numPr>
    </w:pPr>
  </w:style>
  <w:style w:type="paragraph" w:customStyle="1" w:styleId="Section42paragraphs">
    <w:name w:val="Section 4.2 paragraphs"/>
    <w:basedOn w:val="NICEnormal"/>
    <w:locked/>
    <w:rsid w:val="00D37703"/>
    <w:pPr>
      <w:numPr>
        <w:numId w:val="14"/>
      </w:numPr>
    </w:pPr>
  </w:style>
  <w:style w:type="paragraph" w:customStyle="1" w:styleId="Section43paragraphs">
    <w:name w:val="Section 4.3 paragraphs"/>
    <w:basedOn w:val="NICEnormal"/>
    <w:locked/>
    <w:rsid w:val="00AB39FA"/>
    <w:pPr>
      <w:numPr>
        <w:numId w:val="3"/>
      </w:numPr>
    </w:pPr>
  </w:style>
  <w:style w:type="paragraph" w:customStyle="1" w:styleId="Appendixlevel1">
    <w:name w:val="Appendix level 1"/>
    <w:basedOn w:val="NICEnormal"/>
    <w:autoRedefine/>
    <w:locked/>
    <w:rsid w:val="004B514C"/>
    <w:pPr>
      <w:numPr>
        <w:numId w:val="10"/>
      </w:numPr>
      <w:spacing w:before="240"/>
    </w:pPr>
  </w:style>
  <w:style w:type="paragraph" w:customStyle="1" w:styleId="Appendixlevel2">
    <w:name w:val="Appendix level 2"/>
    <w:basedOn w:val="NICEnormal"/>
    <w:locked/>
    <w:rsid w:val="004B514C"/>
    <w:pPr>
      <w:numPr>
        <w:numId w:val="25"/>
      </w:numPr>
      <w:spacing w:before="240"/>
    </w:pPr>
  </w:style>
  <w:style w:type="paragraph" w:customStyle="1" w:styleId="Appendixbullet">
    <w:name w:val="Appendix bullet"/>
    <w:basedOn w:val="NICEnormal"/>
    <w:locked/>
    <w:rsid w:val="004B514C"/>
    <w:pPr>
      <w:numPr>
        <w:numId w:val="18"/>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22"/>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4"/>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15"/>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4"/>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qFormat/>
    <w:locked/>
    <w:rsid w:val="009B1D56"/>
    <w:pPr>
      <w:numPr>
        <w:numId w:val="20"/>
      </w:numPr>
      <w:tabs>
        <w:tab w:val="left" w:pos="426"/>
      </w:tabs>
    </w:pPr>
    <w:rPr>
      <w:noProof/>
    </w:rPr>
  </w:style>
  <w:style w:type="paragraph" w:customStyle="1" w:styleId="Bullets">
    <w:name w:val="Bullets"/>
    <w:basedOn w:val="Normal"/>
    <w:uiPriority w:val="5"/>
    <w:qFormat/>
    <w:locked/>
    <w:rsid w:val="009C6E2D"/>
    <w:pPr>
      <w:numPr>
        <w:numId w:val="12"/>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7"/>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0601A9"/>
    <w:rPr>
      <w:b/>
      <w:bCs/>
      <w:lang w:eastAsia="en-US"/>
    </w:rPr>
  </w:style>
  <w:style w:type="character" w:customStyle="1" w:styleId="CommentSubjectChar">
    <w:name w:val="Comment Subject Char"/>
    <w:basedOn w:val="CommentTextChar"/>
    <w:link w:val="CommentSubject"/>
    <w:rsid w:val="000601A9"/>
    <w:rPr>
      <w:b/>
      <w:bCs/>
      <w:lang w:eastAsia="en-US"/>
    </w:rPr>
  </w:style>
  <w:style w:type="character" w:styleId="Mention">
    <w:name w:val="Mention"/>
    <w:basedOn w:val="DefaultParagraphFont"/>
    <w:uiPriority w:val="99"/>
    <w:unhideWhenUsed/>
    <w:locked/>
    <w:rsid w:val="000601A9"/>
    <w:rPr>
      <w:color w:val="2B579A"/>
      <w:shd w:val="clear" w:color="auto" w:fill="E1DFDD"/>
    </w:rPr>
  </w:style>
  <w:style w:type="character" w:styleId="FollowedHyperlink">
    <w:name w:val="FollowedHyperlink"/>
    <w:basedOn w:val="DefaultParagraphFont"/>
    <w:rsid w:val="003C119E"/>
    <w:rPr>
      <w:color w:val="954F72" w:themeColor="followedHyperlink"/>
      <w:u w:val="single"/>
    </w:rPr>
  </w:style>
  <w:style w:type="paragraph" w:customStyle="1" w:styleId="ccc16d0">
    <w:name w:val="___ccc16d0"/>
    <w:basedOn w:val="Normal"/>
    <w:rsid w:val="00474D8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73937">
      <w:bodyDiv w:val="1"/>
      <w:marLeft w:val="0"/>
      <w:marRight w:val="0"/>
      <w:marTop w:val="0"/>
      <w:marBottom w:val="0"/>
      <w:divBdr>
        <w:top w:val="none" w:sz="0" w:space="0" w:color="auto"/>
        <w:left w:val="none" w:sz="0" w:space="0" w:color="auto"/>
        <w:bottom w:val="none" w:sz="0" w:space="0" w:color="auto"/>
        <w:right w:val="none" w:sz="0" w:space="0" w:color="auto"/>
      </w:divBdr>
    </w:div>
    <w:div w:id="13319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toryblok.com/f/243782/x/e7b710e528/may-25-pbm-knowledge-platform-business-cas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A114227E-2BFA-4D82-A0CF-7CE9CACD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55710-55BD-4024-9062-D07422CC3E1C}">
  <ds:schemaRefs>
    <ds:schemaRef ds:uri="http://schemas.microsoft.com/sharepoint/v3/contenttype/forms"/>
  </ds:schemaRefs>
</ds:datastoreItem>
</file>

<file path=customXml/itemProps3.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4.xml><?xml version="1.0" encoding="utf-8"?>
<ds:datastoreItem xmlns:ds="http://schemas.openxmlformats.org/officeDocument/2006/customXml" ds:itemID="{E836A77F-71FA-4CDF-89B6-C0A19B032033}">
  <ds:schemaRefs>
    <ds:schemaRef ds:uri="http://schemas.microsoft.com/office/2006/metadata/properties"/>
    <ds:schemaRef ds:uri="http://schemas.microsoft.com/office/infopath/2007/PartnerControls"/>
    <ds:schemaRef ds:uri="289b8fc0-128f-4d7b-b8ee-34c94b7018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1845</Words>
  <Characters>10761</Characters>
  <Application>Microsoft Office Word</Application>
  <DocSecurity>0</DocSecurity>
  <Lines>290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Links>
    <vt:vector size="24" baseType="variant">
      <vt:variant>
        <vt:i4>4194324</vt:i4>
      </vt:variant>
      <vt:variant>
        <vt:i4>3</vt:i4>
      </vt:variant>
      <vt:variant>
        <vt:i4>0</vt:i4>
      </vt:variant>
      <vt:variant>
        <vt:i4>5</vt:i4>
      </vt:variant>
      <vt:variant>
        <vt:lpwstr>https://www.nice.org.uk/terms-and-conditions</vt:lpwstr>
      </vt:variant>
      <vt:variant>
        <vt:lpwstr>notice-of-rights</vt:lpwstr>
      </vt:variant>
      <vt:variant>
        <vt:i4>7602277</vt:i4>
      </vt:variant>
      <vt:variant>
        <vt:i4>0</vt:i4>
      </vt:variant>
      <vt:variant>
        <vt:i4>0</vt:i4>
      </vt:variant>
      <vt:variant>
        <vt:i4>5</vt:i4>
      </vt:variant>
      <vt:variant>
        <vt:lpwstr>https://a.storyblok.com/f/243782/x/e7b710e528/may-25-pbm-knowledge-platform-business-case.docx</vt:lpwstr>
      </vt:variant>
      <vt:variant>
        <vt:lpwstr/>
      </vt:variant>
      <vt:variant>
        <vt:i4>4849763</vt:i4>
      </vt:variant>
      <vt:variant>
        <vt:i4>3</vt:i4>
      </vt:variant>
      <vt:variant>
        <vt:i4>0</vt:i4>
      </vt:variant>
      <vt:variant>
        <vt:i4>5</vt:i4>
      </vt:variant>
      <vt:variant>
        <vt:lpwstr>mailto:Clare.Morgan@nice.org.uk</vt:lpwstr>
      </vt:variant>
      <vt:variant>
        <vt:lpwstr/>
      </vt:variant>
      <vt:variant>
        <vt:i4>7471173</vt:i4>
      </vt:variant>
      <vt:variant>
        <vt:i4>0</vt:i4>
      </vt:variant>
      <vt:variant>
        <vt:i4>0</vt:i4>
      </vt:variant>
      <vt:variant>
        <vt:i4>5</vt:i4>
      </vt:variant>
      <vt:variant>
        <vt:lpwstr>mailto:Hayley.Garnett@nice.org.uk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2026-07-08T08:03:00Z</dcterms:created>
  <dcterms:modified xsi:type="dcterms:W3CDTF">2026-07-09T08:53:00Z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