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82EB4" w14:textId="03EF16F7" w:rsidR="00594C3A" w:rsidRDefault="00BE5EB4" w:rsidP="00136206">
      <w:pPr>
        <w:pStyle w:val="Title"/>
        <w:rPr>
          <w:sz w:val="36"/>
          <w:szCs w:val="36"/>
        </w:rPr>
      </w:pPr>
      <w:r w:rsidRPr="00ED0F28">
        <w:rPr>
          <w:sz w:val="36"/>
          <w:szCs w:val="36"/>
        </w:rPr>
        <w:t xml:space="preserve">Questions from </w:t>
      </w:r>
      <w:r w:rsidR="00061FBD" w:rsidRPr="00ED0F28">
        <w:rPr>
          <w:sz w:val="36"/>
          <w:szCs w:val="36"/>
        </w:rPr>
        <w:t xml:space="preserve">the public: </w:t>
      </w:r>
      <w:r w:rsidR="00CF669C" w:rsidRPr="00ED0F28">
        <w:rPr>
          <w:sz w:val="36"/>
          <w:szCs w:val="36"/>
        </w:rPr>
        <w:br/>
      </w:r>
      <w:r w:rsidR="006B1F10">
        <w:rPr>
          <w:sz w:val="36"/>
          <w:szCs w:val="36"/>
        </w:rPr>
        <w:t xml:space="preserve">July </w:t>
      </w:r>
      <w:r w:rsidR="008C16F5" w:rsidRPr="00ED0F28">
        <w:rPr>
          <w:sz w:val="36"/>
          <w:szCs w:val="36"/>
        </w:rPr>
        <w:t>2025</w:t>
      </w:r>
      <w:r w:rsidR="00061FBD" w:rsidRPr="00ED0F28">
        <w:rPr>
          <w:sz w:val="36"/>
          <w:szCs w:val="36"/>
        </w:rPr>
        <w:t xml:space="preserve"> </w:t>
      </w:r>
      <w:r w:rsidRPr="00ED0F28">
        <w:rPr>
          <w:sz w:val="36"/>
          <w:szCs w:val="36"/>
        </w:rPr>
        <w:t xml:space="preserve">public </w:t>
      </w:r>
      <w:r w:rsidR="00CF669C" w:rsidRPr="00ED0F28">
        <w:rPr>
          <w:sz w:val="36"/>
          <w:szCs w:val="36"/>
        </w:rPr>
        <w:t>B</w:t>
      </w:r>
      <w:r w:rsidRPr="00ED0F28">
        <w:rPr>
          <w:sz w:val="36"/>
          <w:szCs w:val="36"/>
        </w:rPr>
        <w:t>oard</w:t>
      </w:r>
      <w:r w:rsidR="00061FBD" w:rsidRPr="00ED0F28">
        <w:rPr>
          <w:sz w:val="36"/>
          <w:szCs w:val="36"/>
        </w:rPr>
        <w:t xml:space="preserve"> meeting</w:t>
      </w:r>
    </w:p>
    <w:p w14:paraId="203CF783" w14:textId="274CF244" w:rsidR="00F42E0D" w:rsidRPr="00F42E0D" w:rsidRDefault="00F42E0D" w:rsidP="00F42E0D">
      <w:pPr>
        <w:pStyle w:val="Paragraph"/>
        <w:numPr>
          <w:ilvl w:val="0"/>
          <w:numId w:val="28"/>
        </w:numPr>
        <w:rPr>
          <w:b/>
          <w:bCs/>
          <w:lang w:eastAsia="en-GB"/>
        </w:rPr>
      </w:pPr>
      <w:r w:rsidRPr="00F42E0D">
        <w:rPr>
          <w:b/>
          <w:bCs/>
          <w:lang w:eastAsia="en-GB"/>
        </w:rPr>
        <w:t>With the learning from failure, what learning and reflection will the team at NICE take on board on repeated failure on the same area that people at NICE failed on before. Failure will mean different things to different people and how does the Department of Health and Social Care feel about a failure/continued failure approach at NICE?</w:t>
      </w:r>
    </w:p>
    <w:p w14:paraId="6B0ABE02" w14:textId="1E77191F" w:rsidR="00F42E0D" w:rsidRPr="00B5378D" w:rsidRDefault="00B5378D" w:rsidP="00F42E0D">
      <w:pPr>
        <w:pStyle w:val="Paragraph"/>
        <w:ind w:left="360"/>
        <w:rPr>
          <w:lang w:eastAsia="en-GB"/>
        </w:rPr>
      </w:pPr>
      <w:r w:rsidRPr="00B5378D">
        <w:rPr>
          <w:lang w:eastAsia="en-GB"/>
        </w:rPr>
        <w:t xml:space="preserve">There is a </w:t>
      </w:r>
      <w:r>
        <w:rPr>
          <w:lang w:eastAsia="en-GB"/>
        </w:rPr>
        <w:t xml:space="preserve">balance between doing everything right and continuing to grow. The approach is to undertake small experiments in a limited area with mitigating </w:t>
      </w:r>
      <w:r w:rsidR="007C30B0">
        <w:rPr>
          <w:lang w:eastAsia="en-GB"/>
        </w:rPr>
        <w:t xml:space="preserve">actions in place. The testing </w:t>
      </w:r>
      <w:r w:rsidR="00DB52DC">
        <w:rPr>
          <w:lang w:eastAsia="en-GB"/>
        </w:rPr>
        <w:t xml:space="preserve">is then </w:t>
      </w:r>
      <w:proofErr w:type="gramStart"/>
      <w:r w:rsidR="007C30B0">
        <w:rPr>
          <w:lang w:eastAsia="en-GB"/>
        </w:rPr>
        <w:t>repeated</w:t>
      </w:r>
      <w:proofErr w:type="gramEnd"/>
      <w:r w:rsidR="007C30B0">
        <w:rPr>
          <w:lang w:eastAsia="en-GB"/>
        </w:rPr>
        <w:t xml:space="preserve"> and the changes refined</w:t>
      </w:r>
      <w:r w:rsidR="004D1F35">
        <w:rPr>
          <w:lang w:eastAsia="en-GB"/>
        </w:rPr>
        <w:t xml:space="preserve"> each time</w:t>
      </w:r>
      <w:r w:rsidR="00DB52DC">
        <w:rPr>
          <w:lang w:eastAsia="en-GB"/>
        </w:rPr>
        <w:t>. Once ready, the changes can then be</w:t>
      </w:r>
      <w:r w:rsidR="007C30B0">
        <w:rPr>
          <w:lang w:eastAsia="en-GB"/>
        </w:rPr>
        <w:t xml:space="preserve"> rolled out more widely</w:t>
      </w:r>
      <w:r w:rsidR="004D1F35">
        <w:rPr>
          <w:lang w:eastAsia="en-GB"/>
        </w:rPr>
        <w:t xml:space="preserve">. </w:t>
      </w:r>
      <w:r w:rsidR="003E67DD">
        <w:rPr>
          <w:lang w:eastAsia="en-GB"/>
        </w:rPr>
        <w:t xml:space="preserve">This is the </w:t>
      </w:r>
      <w:r w:rsidR="00EE0E25">
        <w:rPr>
          <w:lang w:eastAsia="en-GB"/>
        </w:rPr>
        <w:t xml:space="preserve">same </w:t>
      </w:r>
      <w:r w:rsidR="003E67DD">
        <w:rPr>
          <w:lang w:eastAsia="en-GB"/>
        </w:rPr>
        <w:t xml:space="preserve">approach </w:t>
      </w:r>
      <w:r w:rsidR="00D11683">
        <w:rPr>
          <w:lang w:eastAsia="en-GB"/>
        </w:rPr>
        <w:t xml:space="preserve">to </w:t>
      </w:r>
      <w:r w:rsidR="00EE0E25">
        <w:rPr>
          <w:lang w:eastAsia="en-GB"/>
        </w:rPr>
        <w:t xml:space="preserve">continuous quality improvement that is being applied across the </w:t>
      </w:r>
      <w:r w:rsidR="00BD01B6">
        <w:rPr>
          <w:lang w:eastAsia="en-GB"/>
        </w:rPr>
        <w:t xml:space="preserve">NHS in </w:t>
      </w:r>
      <w:r w:rsidR="00EF2BD3">
        <w:rPr>
          <w:lang w:eastAsia="en-GB"/>
        </w:rPr>
        <w:t xml:space="preserve">England </w:t>
      </w:r>
      <w:r w:rsidR="0042393B">
        <w:rPr>
          <w:lang w:eastAsia="en-GB"/>
        </w:rPr>
        <w:t xml:space="preserve">as described by NHS </w:t>
      </w:r>
      <w:r w:rsidR="00393985">
        <w:rPr>
          <w:lang w:eastAsia="en-GB"/>
        </w:rPr>
        <w:t>IMPACT</w:t>
      </w:r>
      <w:r w:rsidR="0042393B">
        <w:rPr>
          <w:lang w:eastAsia="en-GB"/>
        </w:rPr>
        <w:t xml:space="preserve">. </w:t>
      </w:r>
      <w:r w:rsidR="004D1F35">
        <w:rPr>
          <w:lang w:eastAsia="en-GB"/>
        </w:rPr>
        <w:t>This continuous quality improvement approach has been discussed with the Department of Health and Social Care.</w:t>
      </w:r>
    </w:p>
    <w:p w14:paraId="5AD9FE97" w14:textId="1628454B" w:rsidR="00141E57" w:rsidRPr="004D1F35" w:rsidRDefault="00CC508C" w:rsidP="004D1F35">
      <w:pPr>
        <w:pStyle w:val="Paragraph"/>
        <w:numPr>
          <w:ilvl w:val="0"/>
          <w:numId w:val="28"/>
        </w:numPr>
        <w:rPr>
          <w:b/>
          <w:bCs/>
          <w:lang w:eastAsia="en-GB"/>
        </w:rPr>
      </w:pPr>
      <w:r w:rsidRPr="004D1F35">
        <w:rPr>
          <w:b/>
          <w:bCs/>
          <w:lang w:eastAsia="en-GB"/>
        </w:rPr>
        <w:t xml:space="preserve">Under Action 26 of the newly published Life Sciences Sector Plan, the plan outlined that this action would be carried out with the following clause: </w:t>
      </w:r>
      <w:r w:rsidRPr="00DB52DC">
        <w:rPr>
          <w:b/>
          <w:bCs/>
          <w:i/>
          <w:iCs/>
          <w:lang w:eastAsia="en-GB"/>
        </w:rPr>
        <w:t>"Ensuring any future changes through NICE’s modular updates can be considered where they are evidence based, financially sustainable, and represent value to the taxpayer."</w:t>
      </w:r>
      <w:r w:rsidRPr="004D1F35">
        <w:rPr>
          <w:b/>
          <w:bCs/>
          <w:lang w:eastAsia="en-GB"/>
        </w:rPr>
        <w:t xml:space="preserve"> Does this imply that cost neutrality no longer needs to be applied as a uniform principle in future assessments which may influence NICE modular updates, if they demonstrate sustainable value to the taxpayer?</w:t>
      </w:r>
    </w:p>
    <w:p w14:paraId="0B0B4D72" w14:textId="77777777" w:rsidR="004A7826" w:rsidRPr="00110B50" w:rsidRDefault="004A7826" w:rsidP="004A7826">
      <w:pPr>
        <w:pStyle w:val="Paragraph"/>
        <w:ind w:left="360"/>
        <w:rPr>
          <w:color w:val="000000" w:themeColor="text1"/>
          <w:lang w:eastAsia="en-GB"/>
        </w:rPr>
      </w:pPr>
      <w:r w:rsidRPr="00110B50">
        <w:rPr>
          <w:color w:val="000000" w:themeColor="text1"/>
          <w:lang w:eastAsia="en-GB"/>
        </w:rPr>
        <w:t>Any future changes to NICE’s methods and processes will be considered through the established modular updates process and will need to be aligned with the principles set out in HM Treasury's handbook Managing Public Money (MPM), which stipulates that approval is required from HM Treasury for any expenditure that is novel, contentious or repercussive.</w:t>
      </w:r>
    </w:p>
    <w:p w14:paraId="04F04A78" w14:textId="0AE45EE7" w:rsidR="0010172B" w:rsidRPr="005D480E" w:rsidRDefault="0010172B" w:rsidP="004A7826">
      <w:pPr>
        <w:pStyle w:val="Paragraph"/>
        <w:numPr>
          <w:ilvl w:val="0"/>
          <w:numId w:val="28"/>
        </w:numPr>
        <w:rPr>
          <w:b/>
          <w:bCs/>
          <w:lang w:eastAsia="en-GB"/>
        </w:rPr>
      </w:pPr>
      <w:r w:rsidRPr="005D480E">
        <w:rPr>
          <w:b/>
          <w:bCs/>
          <w:lang w:eastAsia="en-GB"/>
        </w:rPr>
        <w:lastRenderedPageBreak/>
        <w:t>Is NICE planning to respond to the US most favoured nation policy published in May 2025? Can stakeholders expect any process or methods updates, or any changes to the way NICE and NHS</w:t>
      </w:r>
      <w:r w:rsidR="00DB52DC">
        <w:rPr>
          <w:b/>
          <w:bCs/>
          <w:lang w:eastAsia="en-GB"/>
        </w:rPr>
        <w:t xml:space="preserve"> </w:t>
      </w:r>
      <w:r w:rsidRPr="005D480E">
        <w:rPr>
          <w:b/>
          <w:bCs/>
          <w:lang w:eastAsia="en-GB"/>
        </w:rPr>
        <w:t>E</w:t>
      </w:r>
      <w:r w:rsidR="00DB52DC">
        <w:rPr>
          <w:b/>
          <w:bCs/>
          <w:lang w:eastAsia="en-GB"/>
        </w:rPr>
        <w:t>ngland</w:t>
      </w:r>
      <w:r w:rsidRPr="005D480E">
        <w:rPr>
          <w:b/>
          <w:bCs/>
          <w:lang w:eastAsia="en-GB"/>
        </w:rPr>
        <w:t xml:space="preserve"> work together on commercial pricing negotiations?</w:t>
      </w:r>
    </w:p>
    <w:p w14:paraId="29299F2D" w14:textId="5FFCBBFB" w:rsidR="00467FAD" w:rsidRPr="007D61DF" w:rsidRDefault="007D61DF" w:rsidP="005D480E">
      <w:pPr>
        <w:pStyle w:val="Paragraph"/>
        <w:ind w:left="360"/>
        <w:rPr>
          <w:lang w:eastAsia="en-GB"/>
        </w:rPr>
      </w:pPr>
      <w:r>
        <w:rPr>
          <w:lang w:eastAsia="en-GB"/>
        </w:rPr>
        <w:t xml:space="preserve">The impact of the policy announcement </w:t>
      </w:r>
      <w:r w:rsidR="00010443">
        <w:rPr>
          <w:lang w:eastAsia="en-GB"/>
        </w:rPr>
        <w:t xml:space="preserve">is currently </w:t>
      </w:r>
      <w:proofErr w:type="gramStart"/>
      <w:r w:rsidR="00010443">
        <w:rPr>
          <w:lang w:eastAsia="en-GB"/>
        </w:rPr>
        <w:t>unclear</w:t>
      </w:r>
      <w:proofErr w:type="gramEnd"/>
      <w:r w:rsidR="00010443">
        <w:rPr>
          <w:lang w:eastAsia="en-GB"/>
        </w:rPr>
        <w:t xml:space="preserve"> </w:t>
      </w:r>
      <w:r w:rsidR="00DB52DC">
        <w:rPr>
          <w:lang w:eastAsia="en-GB"/>
        </w:rPr>
        <w:t>but</w:t>
      </w:r>
      <w:r w:rsidR="00010443">
        <w:rPr>
          <w:lang w:eastAsia="en-GB"/>
        </w:rPr>
        <w:t xml:space="preserve"> this could affect</w:t>
      </w:r>
      <w:r w:rsidR="00DB52DC">
        <w:rPr>
          <w:lang w:eastAsia="en-GB"/>
        </w:rPr>
        <w:t xml:space="preserve"> </w:t>
      </w:r>
      <w:r w:rsidR="00010443">
        <w:rPr>
          <w:lang w:eastAsia="en-GB"/>
        </w:rPr>
        <w:t xml:space="preserve">confidential pricing in the NHS. NICE </w:t>
      </w:r>
      <w:r w:rsidR="00512109">
        <w:rPr>
          <w:lang w:eastAsia="en-GB"/>
        </w:rPr>
        <w:t xml:space="preserve">is waiting </w:t>
      </w:r>
      <w:r w:rsidR="00010443">
        <w:rPr>
          <w:lang w:eastAsia="en-GB"/>
        </w:rPr>
        <w:t xml:space="preserve">to see the impact </w:t>
      </w:r>
      <w:r w:rsidR="005E0534">
        <w:rPr>
          <w:lang w:eastAsia="en-GB"/>
        </w:rPr>
        <w:t xml:space="preserve">of </w:t>
      </w:r>
      <w:proofErr w:type="gramStart"/>
      <w:r w:rsidR="005E0534">
        <w:rPr>
          <w:lang w:eastAsia="en-GB"/>
        </w:rPr>
        <w:t>this</w:t>
      </w:r>
      <w:proofErr w:type="gramEnd"/>
      <w:r w:rsidR="005E0534">
        <w:rPr>
          <w:lang w:eastAsia="en-GB"/>
        </w:rPr>
        <w:t xml:space="preserve"> </w:t>
      </w:r>
      <w:r w:rsidR="00010443">
        <w:rPr>
          <w:lang w:eastAsia="en-GB"/>
        </w:rPr>
        <w:t xml:space="preserve">and </w:t>
      </w:r>
      <w:r w:rsidR="005E0534">
        <w:rPr>
          <w:lang w:eastAsia="en-GB"/>
        </w:rPr>
        <w:t>it</w:t>
      </w:r>
      <w:r w:rsidR="00010443">
        <w:rPr>
          <w:lang w:eastAsia="en-GB"/>
        </w:rPr>
        <w:t xml:space="preserve"> </w:t>
      </w:r>
      <w:r w:rsidR="00512109">
        <w:rPr>
          <w:lang w:eastAsia="en-GB"/>
        </w:rPr>
        <w:t>is a matter to be considered as part of the NHS England commercial framework.</w:t>
      </w:r>
    </w:p>
    <w:p w14:paraId="037D5886" w14:textId="11EEF5A4" w:rsidR="00467FAD" w:rsidRPr="00512109" w:rsidRDefault="00467FAD" w:rsidP="00512109">
      <w:pPr>
        <w:pStyle w:val="Paragraph"/>
        <w:numPr>
          <w:ilvl w:val="0"/>
          <w:numId w:val="28"/>
        </w:numPr>
        <w:rPr>
          <w:b/>
          <w:bCs/>
          <w:lang w:eastAsia="en-GB"/>
        </w:rPr>
      </w:pPr>
      <w:r w:rsidRPr="00512109">
        <w:rPr>
          <w:b/>
          <w:bCs/>
          <w:lang w:eastAsia="en-GB"/>
        </w:rPr>
        <w:t xml:space="preserve">In the 10-year NHS Health Plan, under Chapter 9, it is mentioned that NICE will have the power to “withdraw treatments no longer deemed cost effective”. Can you please explain how NICE intends </w:t>
      </w:r>
      <w:r w:rsidR="00DB52DC">
        <w:rPr>
          <w:b/>
          <w:bCs/>
          <w:lang w:eastAsia="en-GB"/>
        </w:rPr>
        <w:t>t</w:t>
      </w:r>
      <w:r w:rsidRPr="00512109">
        <w:rPr>
          <w:b/>
          <w:bCs/>
          <w:lang w:eastAsia="en-GB"/>
        </w:rPr>
        <w:t>o deliver this, and what timelines can we expect?</w:t>
      </w:r>
    </w:p>
    <w:p w14:paraId="1CF42A63" w14:textId="3280D679" w:rsidR="00467FAD" w:rsidRPr="00512109" w:rsidRDefault="00DB00F5" w:rsidP="00512109">
      <w:pPr>
        <w:pStyle w:val="Paragraph"/>
        <w:ind w:left="360"/>
        <w:rPr>
          <w:lang w:eastAsia="en-GB"/>
        </w:rPr>
      </w:pPr>
      <w:r>
        <w:rPr>
          <w:lang w:eastAsia="en-GB"/>
        </w:rPr>
        <w:t xml:space="preserve">This would be undertaken through NICE’s existing methods and processes which provide the ability to </w:t>
      </w:r>
      <w:r w:rsidR="002F19CA">
        <w:rPr>
          <w:lang w:eastAsia="en-GB"/>
        </w:rPr>
        <w:t xml:space="preserve">withdraw guidance. The first step would be a surveillance review, and if </w:t>
      </w:r>
      <w:r w:rsidR="00E542A8">
        <w:rPr>
          <w:lang w:eastAsia="en-GB"/>
        </w:rPr>
        <w:t xml:space="preserve">evidence suggests the guidance is not </w:t>
      </w:r>
      <w:r w:rsidR="002B07EA">
        <w:rPr>
          <w:lang w:eastAsia="en-GB"/>
        </w:rPr>
        <w:t xml:space="preserve">current then it could be reviewed. </w:t>
      </w:r>
    </w:p>
    <w:p w14:paraId="618164D2" w14:textId="752B7A8C" w:rsidR="00467FAD" w:rsidRPr="00512109" w:rsidRDefault="0002347D" w:rsidP="00512109">
      <w:pPr>
        <w:pStyle w:val="Paragraph"/>
        <w:numPr>
          <w:ilvl w:val="0"/>
          <w:numId w:val="28"/>
        </w:numPr>
        <w:rPr>
          <w:b/>
          <w:bCs/>
          <w:lang w:eastAsia="en-GB"/>
        </w:rPr>
      </w:pPr>
      <w:r w:rsidRPr="00512109">
        <w:rPr>
          <w:b/>
          <w:bCs/>
          <w:lang w:eastAsia="en-GB"/>
        </w:rPr>
        <w:t xml:space="preserve">Why is it that the ambition </w:t>
      </w:r>
      <w:r w:rsidR="002B07EA">
        <w:rPr>
          <w:b/>
          <w:bCs/>
          <w:lang w:eastAsia="en-GB"/>
        </w:rPr>
        <w:t>for patient access to medicines</w:t>
      </w:r>
      <w:r w:rsidR="00DB52DC">
        <w:rPr>
          <w:b/>
          <w:bCs/>
          <w:lang w:eastAsia="en-GB"/>
        </w:rPr>
        <w:t xml:space="preserve"> is</w:t>
      </w:r>
      <w:r w:rsidR="002B07EA">
        <w:rPr>
          <w:b/>
          <w:bCs/>
          <w:lang w:eastAsia="en-GB"/>
        </w:rPr>
        <w:t xml:space="preserve"> </w:t>
      </w:r>
      <w:r w:rsidRPr="00512109">
        <w:rPr>
          <w:b/>
          <w:bCs/>
          <w:lang w:eastAsia="en-GB"/>
        </w:rPr>
        <w:t xml:space="preserve">set as 3rd </w:t>
      </w:r>
      <w:r w:rsidR="002B07EA">
        <w:rPr>
          <w:b/>
          <w:bCs/>
          <w:lang w:eastAsia="en-GB"/>
        </w:rPr>
        <w:t>f</w:t>
      </w:r>
      <w:r w:rsidRPr="00512109">
        <w:rPr>
          <w:b/>
          <w:bCs/>
          <w:lang w:eastAsia="en-GB"/>
        </w:rPr>
        <w:t xml:space="preserve">astest </w:t>
      </w:r>
      <w:r w:rsidR="002B07EA">
        <w:rPr>
          <w:b/>
          <w:bCs/>
          <w:lang w:eastAsia="en-GB"/>
        </w:rPr>
        <w:t>i</w:t>
      </w:r>
      <w:r w:rsidRPr="00512109">
        <w:rPr>
          <w:b/>
          <w:bCs/>
          <w:lang w:eastAsia="en-GB"/>
        </w:rPr>
        <w:t>n Europe</w:t>
      </w:r>
      <w:r w:rsidR="002B07EA">
        <w:rPr>
          <w:b/>
          <w:bCs/>
          <w:lang w:eastAsia="en-GB"/>
        </w:rPr>
        <w:t xml:space="preserve"> n</w:t>
      </w:r>
      <w:r w:rsidR="005575AC" w:rsidRPr="00512109">
        <w:rPr>
          <w:b/>
          <w:bCs/>
          <w:lang w:eastAsia="en-GB"/>
        </w:rPr>
        <w:t>ot the world</w:t>
      </w:r>
      <w:r w:rsidR="002B07EA">
        <w:rPr>
          <w:b/>
          <w:bCs/>
          <w:lang w:eastAsia="en-GB"/>
        </w:rPr>
        <w:t xml:space="preserve">? </w:t>
      </w:r>
    </w:p>
    <w:p w14:paraId="0BEF3616" w14:textId="1F179F21" w:rsidR="00A87614" w:rsidRDefault="002B07EA" w:rsidP="002B07EA">
      <w:pPr>
        <w:pStyle w:val="Paragraph"/>
        <w:ind w:left="360"/>
        <w:rPr>
          <w:lang w:eastAsia="en-GB"/>
        </w:rPr>
      </w:pPr>
      <w:r>
        <w:rPr>
          <w:lang w:eastAsia="en-GB"/>
        </w:rPr>
        <w:t xml:space="preserve">This target has been set </w:t>
      </w:r>
      <w:proofErr w:type="gramStart"/>
      <w:r>
        <w:rPr>
          <w:lang w:eastAsia="en-GB"/>
        </w:rPr>
        <w:t>on the basis of</w:t>
      </w:r>
      <w:proofErr w:type="gramEnd"/>
      <w:r>
        <w:rPr>
          <w:lang w:eastAsia="en-GB"/>
        </w:rPr>
        <w:t xml:space="preserve"> the available data</w:t>
      </w:r>
      <w:r w:rsidR="00975271">
        <w:rPr>
          <w:lang w:eastAsia="en-GB"/>
        </w:rPr>
        <w:t xml:space="preserve">. It has been agreed with the pharmaceutical industry to use the </w:t>
      </w:r>
      <w:r w:rsidR="00E851C0">
        <w:rPr>
          <w:lang w:eastAsia="en-GB"/>
        </w:rPr>
        <w:t xml:space="preserve">EFPIA </w:t>
      </w:r>
      <w:r w:rsidR="00975271">
        <w:rPr>
          <w:lang w:eastAsia="en-GB"/>
        </w:rPr>
        <w:t xml:space="preserve">WAIT data </w:t>
      </w:r>
      <w:r w:rsidR="00F9143F">
        <w:rPr>
          <w:lang w:eastAsia="en-GB"/>
        </w:rPr>
        <w:t xml:space="preserve">given its agreed robustness. There is not a similar standard of data </w:t>
      </w:r>
      <w:r w:rsidR="00AB6257">
        <w:rPr>
          <w:lang w:eastAsia="en-GB"/>
        </w:rPr>
        <w:t xml:space="preserve">to provide a wider </w:t>
      </w:r>
      <w:r w:rsidR="00DB52DC">
        <w:rPr>
          <w:lang w:eastAsia="en-GB"/>
        </w:rPr>
        <w:t xml:space="preserve">international </w:t>
      </w:r>
      <w:r w:rsidR="00AB6257">
        <w:rPr>
          <w:lang w:eastAsia="en-GB"/>
        </w:rPr>
        <w:t xml:space="preserve">perspective. </w:t>
      </w:r>
    </w:p>
    <w:p w14:paraId="2D88B7F5" w14:textId="77777777" w:rsidR="00AB6257" w:rsidRDefault="00AB6257" w:rsidP="002B07EA">
      <w:pPr>
        <w:pStyle w:val="Paragraph"/>
        <w:ind w:left="360"/>
        <w:rPr>
          <w:lang w:eastAsia="en-GB"/>
        </w:rPr>
      </w:pPr>
      <w:r>
        <w:rPr>
          <w:lang w:eastAsia="en-GB"/>
        </w:rPr>
        <w:t xml:space="preserve">EFPIA = </w:t>
      </w:r>
      <w:r w:rsidRPr="00AB6257">
        <w:rPr>
          <w:lang w:eastAsia="en-GB"/>
        </w:rPr>
        <w:t xml:space="preserve">European Federation of Pharmaceutical Industries and Associations </w:t>
      </w:r>
    </w:p>
    <w:p w14:paraId="653F2A90" w14:textId="37ED5179" w:rsidR="00AB6257" w:rsidRPr="002B07EA" w:rsidRDefault="00AB6257" w:rsidP="002B07EA">
      <w:pPr>
        <w:pStyle w:val="Paragraph"/>
        <w:ind w:left="360"/>
        <w:rPr>
          <w:lang w:eastAsia="en-GB"/>
        </w:rPr>
      </w:pPr>
      <w:r w:rsidRPr="00AB6257">
        <w:rPr>
          <w:lang w:eastAsia="en-GB"/>
        </w:rPr>
        <w:t>WAIT</w:t>
      </w:r>
      <w:r>
        <w:rPr>
          <w:lang w:eastAsia="en-GB"/>
        </w:rPr>
        <w:t xml:space="preserve"> = </w:t>
      </w:r>
      <w:r w:rsidRPr="00AB6257">
        <w:rPr>
          <w:lang w:eastAsia="en-GB"/>
        </w:rPr>
        <w:t>Waiting to Access Innovative Therapies</w:t>
      </w:r>
    </w:p>
    <w:p w14:paraId="1585DE9A" w14:textId="1EFA012F" w:rsidR="00A87614" w:rsidRPr="00512109" w:rsidRDefault="00A87614" w:rsidP="00512109">
      <w:pPr>
        <w:pStyle w:val="Paragraph"/>
        <w:numPr>
          <w:ilvl w:val="0"/>
          <w:numId w:val="28"/>
        </w:numPr>
        <w:rPr>
          <w:b/>
          <w:bCs/>
          <w:lang w:eastAsia="en-GB"/>
        </w:rPr>
      </w:pPr>
      <w:r w:rsidRPr="00512109">
        <w:rPr>
          <w:b/>
          <w:bCs/>
          <w:lang w:eastAsia="en-GB"/>
        </w:rPr>
        <w:t>Will parallel advice apply only to scientific advice or for reimbursement decisions as well, something like JCA for clinical effectiveness?</w:t>
      </w:r>
    </w:p>
    <w:p w14:paraId="322DD94A" w14:textId="0F1926A2" w:rsidR="00922EDB" w:rsidRPr="00AB6257" w:rsidRDefault="006B3F71" w:rsidP="00AB6257">
      <w:pPr>
        <w:pStyle w:val="Paragraph"/>
        <w:ind w:left="360"/>
        <w:rPr>
          <w:lang w:eastAsia="en-GB"/>
        </w:rPr>
      </w:pPr>
      <w:r>
        <w:rPr>
          <w:lang w:eastAsia="en-GB"/>
        </w:rPr>
        <w:lastRenderedPageBreak/>
        <w:t>Both NICE and the MHRA will continue to have their own role</w:t>
      </w:r>
      <w:r w:rsidR="00F60997">
        <w:rPr>
          <w:lang w:eastAsia="en-GB"/>
        </w:rPr>
        <w:t>, with MHRA granting the marketing authorisation and NICE producing technology appraisal guidance on the clinical and cost effectiveness. Under the proposals, both organisations would aim to publish their outputs simultaneously.</w:t>
      </w:r>
    </w:p>
    <w:p w14:paraId="26B7BB7E" w14:textId="174349D0" w:rsidR="00922EDB" w:rsidRPr="00512109" w:rsidRDefault="00922EDB" w:rsidP="00512109">
      <w:pPr>
        <w:pStyle w:val="Paragraph"/>
        <w:numPr>
          <w:ilvl w:val="0"/>
          <w:numId w:val="28"/>
        </w:numPr>
        <w:rPr>
          <w:b/>
          <w:bCs/>
          <w:lang w:eastAsia="en-GB"/>
        </w:rPr>
      </w:pPr>
      <w:r w:rsidRPr="00512109">
        <w:rPr>
          <w:b/>
          <w:bCs/>
          <w:lang w:eastAsia="en-GB"/>
        </w:rPr>
        <w:t xml:space="preserve">The </w:t>
      </w:r>
      <w:r w:rsidR="00F60997" w:rsidRPr="00512109">
        <w:rPr>
          <w:b/>
          <w:bCs/>
          <w:lang w:eastAsia="en-GB"/>
        </w:rPr>
        <w:t>slides</w:t>
      </w:r>
      <w:r w:rsidRPr="00512109">
        <w:rPr>
          <w:b/>
          <w:bCs/>
          <w:lang w:eastAsia="en-GB"/>
        </w:rPr>
        <w:t xml:space="preserve"> </w:t>
      </w:r>
      <w:r w:rsidR="00DB52DC">
        <w:rPr>
          <w:b/>
          <w:bCs/>
          <w:lang w:eastAsia="en-GB"/>
        </w:rPr>
        <w:t xml:space="preserve">[on the 10 Year Health Plan and Life Sciences Sector Plan] </w:t>
      </w:r>
      <w:r w:rsidRPr="00512109">
        <w:rPr>
          <w:b/>
          <w:bCs/>
          <w:lang w:eastAsia="en-GB"/>
        </w:rPr>
        <w:t xml:space="preserve">are </w:t>
      </w:r>
      <w:proofErr w:type="gramStart"/>
      <w:r w:rsidRPr="00512109">
        <w:rPr>
          <w:b/>
          <w:bCs/>
          <w:lang w:eastAsia="en-GB"/>
        </w:rPr>
        <w:t>really good</w:t>
      </w:r>
      <w:proofErr w:type="gramEnd"/>
      <w:r w:rsidRPr="00512109">
        <w:rPr>
          <w:b/>
          <w:bCs/>
          <w:lang w:eastAsia="en-GB"/>
        </w:rPr>
        <w:t xml:space="preserve"> and I looked at them before this board meeting started. </w:t>
      </w:r>
      <w:r w:rsidR="00F60997">
        <w:rPr>
          <w:b/>
          <w:bCs/>
          <w:lang w:eastAsia="en-GB"/>
        </w:rPr>
        <w:t>C</w:t>
      </w:r>
      <w:r w:rsidRPr="00512109">
        <w:rPr>
          <w:b/>
          <w:bCs/>
          <w:lang w:eastAsia="en-GB"/>
        </w:rPr>
        <w:t xml:space="preserve">an we look at sharing NICE improved working with </w:t>
      </w:r>
      <w:r w:rsidR="00F60997" w:rsidRPr="00512109">
        <w:rPr>
          <w:b/>
          <w:bCs/>
          <w:lang w:eastAsia="en-GB"/>
        </w:rPr>
        <w:t>patients</w:t>
      </w:r>
      <w:r w:rsidRPr="00512109">
        <w:rPr>
          <w:b/>
          <w:bCs/>
          <w:lang w:eastAsia="en-GB"/>
        </w:rPr>
        <w:t xml:space="preserve"> and the public further </w:t>
      </w:r>
      <w:r w:rsidR="00F60997">
        <w:rPr>
          <w:b/>
          <w:bCs/>
          <w:lang w:eastAsia="en-GB"/>
        </w:rPr>
        <w:t>and</w:t>
      </w:r>
      <w:r w:rsidRPr="00512109">
        <w:rPr>
          <w:b/>
          <w:bCs/>
          <w:lang w:eastAsia="en-GB"/>
        </w:rPr>
        <w:t xml:space="preserve"> better. The slides, rightly so, look at delivering to patients, but NICE need to further st</w:t>
      </w:r>
      <w:r w:rsidR="00397E00">
        <w:rPr>
          <w:b/>
          <w:bCs/>
          <w:lang w:eastAsia="en-GB"/>
        </w:rPr>
        <w:t>r</w:t>
      </w:r>
      <w:r w:rsidRPr="00512109">
        <w:rPr>
          <w:b/>
          <w:bCs/>
          <w:lang w:eastAsia="en-GB"/>
        </w:rPr>
        <w:t xml:space="preserve">etch </w:t>
      </w:r>
      <w:r w:rsidR="00F60997" w:rsidRPr="00512109">
        <w:rPr>
          <w:b/>
          <w:bCs/>
          <w:lang w:eastAsia="en-GB"/>
        </w:rPr>
        <w:t>itself</w:t>
      </w:r>
      <w:r w:rsidRPr="00512109">
        <w:rPr>
          <w:b/>
          <w:bCs/>
          <w:lang w:eastAsia="en-GB"/>
        </w:rPr>
        <w:t xml:space="preserve"> with patient engagement and involvement and be more </w:t>
      </w:r>
      <w:r w:rsidR="00F60997" w:rsidRPr="00512109">
        <w:rPr>
          <w:b/>
          <w:bCs/>
          <w:lang w:eastAsia="en-GB"/>
        </w:rPr>
        <w:t>explicit</w:t>
      </w:r>
      <w:r w:rsidRPr="00512109">
        <w:rPr>
          <w:b/>
          <w:bCs/>
          <w:lang w:eastAsia="en-GB"/>
        </w:rPr>
        <w:t xml:space="preserve"> on </w:t>
      </w:r>
      <w:r w:rsidR="00F60997" w:rsidRPr="00512109">
        <w:rPr>
          <w:b/>
          <w:bCs/>
          <w:lang w:eastAsia="en-GB"/>
        </w:rPr>
        <w:t>inequities</w:t>
      </w:r>
      <w:r w:rsidRPr="00512109">
        <w:rPr>
          <w:b/>
          <w:bCs/>
          <w:lang w:eastAsia="en-GB"/>
        </w:rPr>
        <w:t xml:space="preserve"> measures of impact. </w:t>
      </w:r>
    </w:p>
    <w:p w14:paraId="571D177F" w14:textId="6F2D6D07" w:rsidR="00C318B8" w:rsidRPr="00F60997" w:rsidRDefault="00F60997" w:rsidP="00F60997">
      <w:pPr>
        <w:pStyle w:val="Paragraph"/>
        <w:ind w:left="360"/>
        <w:rPr>
          <w:lang w:eastAsia="en-GB"/>
        </w:rPr>
      </w:pPr>
      <w:r>
        <w:rPr>
          <w:lang w:eastAsia="en-GB"/>
        </w:rPr>
        <w:t xml:space="preserve">NICE has </w:t>
      </w:r>
      <w:r w:rsidR="0041015A">
        <w:rPr>
          <w:lang w:eastAsia="en-GB"/>
        </w:rPr>
        <w:t xml:space="preserve">patient and public engagement in each topic. We are also looking at how we can select the right topics: the prioritisation board includes lay members and </w:t>
      </w:r>
      <w:r w:rsidR="0060383B">
        <w:rPr>
          <w:lang w:eastAsia="en-GB"/>
        </w:rPr>
        <w:t>considers unmet patient need when selecting topics for NICE guidance.</w:t>
      </w:r>
    </w:p>
    <w:p w14:paraId="16D21EEE" w14:textId="219D054D" w:rsidR="00C354B4" w:rsidRPr="00512109" w:rsidRDefault="00C354B4" w:rsidP="00512109">
      <w:pPr>
        <w:pStyle w:val="Paragraph"/>
        <w:numPr>
          <w:ilvl w:val="0"/>
          <w:numId w:val="28"/>
        </w:numPr>
        <w:rPr>
          <w:b/>
          <w:bCs/>
          <w:lang w:eastAsia="en-GB"/>
        </w:rPr>
      </w:pPr>
      <w:r w:rsidRPr="00512109">
        <w:rPr>
          <w:b/>
          <w:bCs/>
          <w:lang w:eastAsia="en-GB"/>
        </w:rPr>
        <w:t xml:space="preserve">You mention that you're not responsible for 'adoption'; however, I note the work NICE is doing to incorporate technology appraisals into guidelines. Can I suggest that part of the intention behind this is to support the adoption of </w:t>
      </w:r>
      <w:r w:rsidR="002F6071" w:rsidRPr="00512109">
        <w:rPr>
          <w:b/>
          <w:bCs/>
          <w:lang w:eastAsia="en-GB"/>
        </w:rPr>
        <w:t>appraised</w:t>
      </w:r>
      <w:r w:rsidRPr="00512109">
        <w:rPr>
          <w:b/>
          <w:bCs/>
          <w:lang w:eastAsia="en-GB"/>
        </w:rPr>
        <w:t xml:space="preserve"> technologies and therefore reduce variation in uptake across the country?</w:t>
      </w:r>
    </w:p>
    <w:p w14:paraId="7EA95E3E" w14:textId="575AFF00" w:rsidR="00AF2632" w:rsidRPr="00FB77F3" w:rsidRDefault="00FB77F3" w:rsidP="002F6071">
      <w:pPr>
        <w:pStyle w:val="Paragraph"/>
        <w:ind w:left="360"/>
        <w:rPr>
          <w:lang w:eastAsia="en-GB"/>
        </w:rPr>
      </w:pPr>
      <w:r>
        <w:rPr>
          <w:lang w:eastAsia="en-GB"/>
        </w:rPr>
        <w:t xml:space="preserve">NICE is not formally responsible for the adoption of its guidance, but we look to support those who </w:t>
      </w:r>
      <w:r w:rsidR="00783DBD">
        <w:rPr>
          <w:lang w:eastAsia="en-GB"/>
        </w:rPr>
        <w:t>do have this responsibility.</w:t>
      </w:r>
    </w:p>
    <w:p w14:paraId="5E8D791D" w14:textId="4EABA5A0" w:rsidR="00AF2632" w:rsidRPr="00512109" w:rsidRDefault="00AF2632" w:rsidP="00512109">
      <w:pPr>
        <w:pStyle w:val="Paragraph"/>
        <w:numPr>
          <w:ilvl w:val="0"/>
          <w:numId w:val="28"/>
        </w:numPr>
        <w:rPr>
          <w:b/>
          <w:bCs/>
          <w:lang w:eastAsia="en-GB"/>
        </w:rPr>
      </w:pPr>
      <w:r w:rsidRPr="00512109">
        <w:rPr>
          <w:b/>
          <w:bCs/>
          <w:lang w:eastAsia="en-GB"/>
        </w:rPr>
        <w:t xml:space="preserve">To ensure that NHS patients receive innovative drugs at the earliest, </w:t>
      </w:r>
      <w:r w:rsidR="00DF3F25">
        <w:rPr>
          <w:b/>
          <w:bCs/>
          <w:lang w:eastAsia="en-GB"/>
        </w:rPr>
        <w:t>i</w:t>
      </w:r>
      <w:r w:rsidRPr="00512109">
        <w:rPr>
          <w:b/>
          <w:bCs/>
          <w:lang w:eastAsia="en-GB"/>
        </w:rPr>
        <w:t>t is important to create an environment for pharma companies to prioritise MHRA to be the first regulatory body they consider for approval. How does NICE and MHRA plan to achieve this?</w:t>
      </w:r>
    </w:p>
    <w:p w14:paraId="34A6BEEA" w14:textId="24E8CCFE" w:rsidR="009728A9" w:rsidRPr="00783DBD" w:rsidRDefault="00783DBD" w:rsidP="00783DBD">
      <w:pPr>
        <w:pStyle w:val="Paragraph"/>
        <w:ind w:left="360"/>
        <w:rPr>
          <w:lang w:eastAsia="en-GB"/>
        </w:rPr>
      </w:pPr>
      <w:r>
        <w:rPr>
          <w:lang w:eastAsia="en-GB"/>
        </w:rPr>
        <w:t>This is primarily a question for the MHRA, but we can confirm that NICE is committed to working closely with the MHRA</w:t>
      </w:r>
      <w:r w:rsidR="00DF3F25">
        <w:rPr>
          <w:lang w:eastAsia="en-GB"/>
        </w:rPr>
        <w:t xml:space="preserve"> to improve patient access to medicines</w:t>
      </w:r>
      <w:r>
        <w:rPr>
          <w:lang w:eastAsia="en-GB"/>
        </w:rPr>
        <w:t>.</w:t>
      </w:r>
    </w:p>
    <w:p w14:paraId="48CAE5CD" w14:textId="3E8F89B8" w:rsidR="009728A9" w:rsidRPr="00512109" w:rsidRDefault="009728A9" w:rsidP="00512109">
      <w:pPr>
        <w:pStyle w:val="Paragraph"/>
        <w:numPr>
          <w:ilvl w:val="0"/>
          <w:numId w:val="28"/>
        </w:numPr>
        <w:rPr>
          <w:b/>
          <w:bCs/>
          <w:lang w:eastAsia="en-GB"/>
        </w:rPr>
      </w:pPr>
      <w:r w:rsidRPr="00512109">
        <w:rPr>
          <w:b/>
          <w:bCs/>
          <w:lang w:eastAsia="en-GB"/>
        </w:rPr>
        <w:lastRenderedPageBreak/>
        <w:t xml:space="preserve">The Life Sciences Sector Plan mentions a new and proportionate approach to medicines with multiple indications. Has a medicine been chosen for a pilot? Have the processes and methods for this been confirmed? </w:t>
      </w:r>
    </w:p>
    <w:p w14:paraId="6CEBC803" w14:textId="78BC9004" w:rsidR="001B3B6E" w:rsidRPr="00783DBD" w:rsidRDefault="007E71BD" w:rsidP="00783DBD">
      <w:pPr>
        <w:pStyle w:val="Paragraph"/>
        <w:ind w:left="360"/>
        <w:rPr>
          <w:lang w:eastAsia="en-GB"/>
        </w:rPr>
      </w:pPr>
      <w:r>
        <w:rPr>
          <w:lang w:eastAsia="en-GB"/>
        </w:rPr>
        <w:t>A pilot has not yet been identified, and the methods and processes will need to</w:t>
      </w:r>
      <w:r w:rsidR="00C32E8C">
        <w:rPr>
          <w:lang w:eastAsia="en-GB"/>
        </w:rPr>
        <w:t xml:space="preserve"> </w:t>
      </w:r>
      <w:r>
        <w:rPr>
          <w:lang w:eastAsia="en-GB"/>
        </w:rPr>
        <w:t xml:space="preserve">be developed with NHS England. It is </w:t>
      </w:r>
      <w:r w:rsidR="00C32E8C">
        <w:rPr>
          <w:lang w:eastAsia="en-GB"/>
        </w:rPr>
        <w:t xml:space="preserve">anticipated to begin this work after April 2026. </w:t>
      </w:r>
    </w:p>
    <w:p w14:paraId="3E701702" w14:textId="1C4D55E9" w:rsidR="001B3B6E" w:rsidRPr="00512109" w:rsidRDefault="001B3B6E" w:rsidP="00512109">
      <w:pPr>
        <w:pStyle w:val="Paragraph"/>
        <w:numPr>
          <w:ilvl w:val="0"/>
          <w:numId w:val="28"/>
        </w:numPr>
        <w:rPr>
          <w:b/>
          <w:bCs/>
          <w:lang w:eastAsia="en-GB"/>
        </w:rPr>
      </w:pPr>
      <w:r w:rsidRPr="00512109">
        <w:rPr>
          <w:b/>
          <w:bCs/>
          <w:lang w:eastAsia="en-GB"/>
        </w:rPr>
        <w:t xml:space="preserve">How will NICE work with its present and </w:t>
      </w:r>
      <w:proofErr w:type="gramStart"/>
      <w:r w:rsidRPr="00512109">
        <w:rPr>
          <w:b/>
          <w:bCs/>
          <w:lang w:eastAsia="en-GB"/>
        </w:rPr>
        <w:t>future plans</w:t>
      </w:r>
      <w:proofErr w:type="gramEnd"/>
      <w:r w:rsidRPr="00512109">
        <w:rPr>
          <w:b/>
          <w:bCs/>
          <w:lang w:eastAsia="en-GB"/>
        </w:rPr>
        <w:t xml:space="preserve"> at the developing and forming of the Neighbourhood </w:t>
      </w:r>
      <w:r w:rsidR="00C32E8C" w:rsidRPr="00512109">
        <w:rPr>
          <w:b/>
          <w:bCs/>
          <w:lang w:eastAsia="en-GB"/>
        </w:rPr>
        <w:t>Health</w:t>
      </w:r>
      <w:r w:rsidRPr="00512109">
        <w:rPr>
          <w:b/>
          <w:bCs/>
          <w:lang w:eastAsia="en-GB"/>
        </w:rPr>
        <w:t xml:space="preserve"> space?  </w:t>
      </w:r>
    </w:p>
    <w:p w14:paraId="6C2C02CF" w14:textId="1C656C42" w:rsidR="324ED015" w:rsidRDefault="324ED015" w:rsidP="5E887F3E">
      <w:pPr>
        <w:pStyle w:val="Paragraph"/>
        <w:ind w:left="360"/>
        <w:rPr>
          <w:lang w:eastAsia="en-GB"/>
        </w:rPr>
      </w:pPr>
      <w:r w:rsidRPr="5E887F3E">
        <w:rPr>
          <w:lang w:eastAsia="en-GB"/>
        </w:rPr>
        <w:t xml:space="preserve">Through our system implementation team, who work with practitioners and commissioners in the NHS to support uptake of NICE guidance, we are mapping our current guidance to neighbourhood working and will highlight the relevance of this guidance as neighbourhood teams develop across England. In addition, our working alongside people and </w:t>
      </w:r>
      <w:proofErr w:type="gramStart"/>
      <w:r w:rsidRPr="5E887F3E">
        <w:rPr>
          <w:lang w:eastAsia="en-GB"/>
        </w:rPr>
        <w:t>communities</w:t>
      </w:r>
      <w:proofErr w:type="gramEnd"/>
      <w:r w:rsidRPr="5E887F3E">
        <w:rPr>
          <w:lang w:eastAsia="en-GB"/>
        </w:rPr>
        <w:t xml:space="preserve"> strategy has five aims which align to the neighbourhood health space around involving people and communities, working in partnership, learning from testing, tailoring approaches and encouraging curiosity from staff within NICE about our involvement and engagement. We will work with the emergent neighbourhood pilots to help them understand the role of the NICE, the opportunities for involvement in our specific disease/condition related work and the potential for engagement in the work around health inequalities, shared decision making, person and family centred care as well as health inclusion groups. Working with our voluntary and community sector network we will bring people, communities, voluntary sector organisations together to support our involvement, engagement, implementation and health inequalities work.</w:t>
      </w:r>
    </w:p>
    <w:p w14:paraId="2A8EC5CC" w14:textId="67354F01" w:rsidR="00A6628C" w:rsidRPr="00512109" w:rsidRDefault="00A6628C" w:rsidP="00512109">
      <w:pPr>
        <w:pStyle w:val="Paragraph"/>
        <w:numPr>
          <w:ilvl w:val="0"/>
          <w:numId w:val="28"/>
        </w:numPr>
        <w:rPr>
          <w:b/>
          <w:bCs/>
          <w:lang w:eastAsia="en-GB"/>
        </w:rPr>
      </w:pPr>
      <w:r w:rsidRPr="00512109">
        <w:rPr>
          <w:b/>
          <w:bCs/>
          <w:lang w:eastAsia="en-GB"/>
        </w:rPr>
        <w:t xml:space="preserve">With NICE's work on investigating and </w:t>
      </w:r>
      <w:proofErr w:type="gramStart"/>
      <w:r w:rsidRPr="00512109">
        <w:rPr>
          <w:b/>
          <w:bCs/>
          <w:lang w:eastAsia="en-GB"/>
        </w:rPr>
        <w:t>taking action</w:t>
      </w:r>
      <w:proofErr w:type="gramEnd"/>
      <w:r w:rsidRPr="00512109">
        <w:rPr>
          <w:b/>
          <w:bCs/>
          <w:lang w:eastAsia="en-GB"/>
        </w:rPr>
        <w:t xml:space="preserve"> around the ethnicity pay gap</w:t>
      </w:r>
      <w:r w:rsidR="00D115C4">
        <w:rPr>
          <w:b/>
          <w:bCs/>
          <w:lang w:eastAsia="en-GB"/>
        </w:rPr>
        <w:t>, h</w:t>
      </w:r>
      <w:r w:rsidRPr="00512109">
        <w:rPr>
          <w:b/>
          <w:bCs/>
          <w:lang w:eastAsia="en-GB"/>
        </w:rPr>
        <w:t xml:space="preserve">ow is NICE using and focusing on </w:t>
      </w:r>
      <w:r w:rsidR="00C32E8C" w:rsidRPr="00512109">
        <w:rPr>
          <w:b/>
          <w:bCs/>
          <w:lang w:eastAsia="en-GB"/>
        </w:rPr>
        <w:t>disaggregated</w:t>
      </w:r>
      <w:r w:rsidRPr="00512109">
        <w:rPr>
          <w:b/>
          <w:bCs/>
          <w:lang w:eastAsia="en-GB"/>
        </w:rPr>
        <w:t xml:space="preserve"> data evidence to also </w:t>
      </w:r>
      <w:r w:rsidR="00C32E8C" w:rsidRPr="00512109">
        <w:rPr>
          <w:b/>
          <w:bCs/>
          <w:lang w:eastAsia="en-GB"/>
        </w:rPr>
        <w:t>triangulate</w:t>
      </w:r>
      <w:r w:rsidRPr="00512109">
        <w:rPr>
          <w:b/>
          <w:bCs/>
          <w:lang w:eastAsia="en-GB"/>
        </w:rPr>
        <w:t xml:space="preserve"> this with career progression for Black Asian and Minority Ethnic staff</w:t>
      </w:r>
      <w:r w:rsidR="00C32E8C">
        <w:rPr>
          <w:b/>
          <w:bCs/>
          <w:lang w:eastAsia="en-GB"/>
        </w:rPr>
        <w:t xml:space="preserve">? </w:t>
      </w:r>
    </w:p>
    <w:p w14:paraId="7264E087" w14:textId="48C74AF8" w:rsidR="003C4EC9" w:rsidRPr="00C32E8C" w:rsidRDefault="005829FA" w:rsidP="00C32E8C">
      <w:pPr>
        <w:pStyle w:val="Paragraph"/>
        <w:ind w:left="360"/>
        <w:rPr>
          <w:lang w:eastAsia="en-GB"/>
        </w:rPr>
      </w:pPr>
      <w:r>
        <w:rPr>
          <w:lang w:eastAsia="en-GB"/>
        </w:rPr>
        <w:lastRenderedPageBreak/>
        <w:t xml:space="preserve">This will be discussed further at the September public Board meeting </w:t>
      </w:r>
      <w:r w:rsidR="000966C5">
        <w:rPr>
          <w:lang w:eastAsia="en-GB"/>
        </w:rPr>
        <w:t xml:space="preserve">which will discuss the </w:t>
      </w:r>
      <w:r w:rsidR="00C32E8C">
        <w:rPr>
          <w:lang w:eastAsia="en-GB"/>
        </w:rPr>
        <w:t>annual equality report</w:t>
      </w:r>
      <w:r w:rsidR="000966C5">
        <w:rPr>
          <w:lang w:eastAsia="en-GB"/>
        </w:rPr>
        <w:t xml:space="preserve">. </w:t>
      </w:r>
      <w:r w:rsidR="00D57C1E">
        <w:rPr>
          <w:lang w:eastAsia="en-GB"/>
        </w:rPr>
        <w:t xml:space="preserve">There is not a single answer to the pay gap and the staff </w:t>
      </w:r>
      <w:proofErr w:type="gramStart"/>
      <w:r w:rsidR="00D57C1E">
        <w:rPr>
          <w:lang w:eastAsia="en-GB"/>
        </w:rPr>
        <w:t>networks</w:t>
      </w:r>
      <w:proofErr w:type="gramEnd"/>
      <w:r w:rsidR="00D57C1E">
        <w:rPr>
          <w:lang w:eastAsia="en-GB"/>
        </w:rPr>
        <w:t xml:space="preserve"> and the people team are committed to ensuring fairness in career progression.</w:t>
      </w:r>
    </w:p>
    <w:p w14:paraId="4536B641" w14:textId="6502B255" w:rsidR="003F6C46" w:rsidRDefault="003C4EC9" w:rsidP="00512109">
      <w:pPr>
        <w:pStyle w:val="Paragraph"/>
        <w:numPr>
          <w:ilvl w:val="0"/>
          <w:numId w:val="28"/>
        </w:numPr>
        <w:rPr>
          <w:b/>
          <w:bCs/>
          <w:lang w:eastAsia="en-GB"/>
        </w:rPr>
      </w:pPr>
      <w:r w:rsidRPr="00512109">
        <w:rPr>
          <w:b/>
          <w:bCs/>
          <w:lang w:eastAsia="en-GB"/>
        </w:rPr>
        <w:t xml:space="preserve">How do the staff Networks report on bullying, </w:t>
      </w:r>
      <w:r w:rsidR="00D57C1E" w:rsidRPr="00512109">
        <w:rPr>
          <w:b/>
          <w:bCs/>
          <w:lang w:eastAsia="en-GB"/>
        </w:rPr>
        <w:t>harassment</w:t>
      </w:r>
      <w:r w:rsidRPr="00512109">
        <w:rPr>
          <w:b/>
          <w:bCs/>
          <w:lang w:eastAsia="en-GB"/>
        </w:rPr>
        <w:t xml:space="preserve"> and abuse</w:t>
      </w:r>
      <w:r w:rsidR="000966C5">
        <w:rPr>
          <w:b/>
          <w:bCs/>
          <w:lang w:eastAsia="en-GB"/>
        </w:rPr>
        <w:t>?</w:t>
      </w:r>
      <w:r w:rsidRPr="00512109">
        <w:rPr>
          <w:b/>
          <w:bCs/>
          <w:lang w:eastAsia="en-GB"/>
        </w:rPr>
        <w:t xml:space="preserve"> Why does NICE not have a rolling </w:t>
      </w:r>
      <w:r w:rsidR="00D57C1E" w:rsidRPr="00512109">
        <w:rPr>
          <w:b/>
          <w:bCs/>
          <w:lang w:eastAsia="en-GB"/>
        </w:rPr>
        <w:t>programme</w:t>
      </w:r>
      <w:r w:rsidR="00D57C1E">
        <w:rPr>
          <w:b/>
          <w:bCs/>
          <w:lang w:eastAsia="en-GB"/>
        </w:rPr>
        <w:t xml:space="preserve"> </w:t>
      </w:r>
      <w:r w:rsidR="00EB1ED7">
        <w:rPr>
          <w:b/>
          <w:bCs/>
          <w:lang w:eastAsia="en-GB"/>
        </w:rPr>
        <w:t xml:space="preserve">of networks attending Board meetings? </w:t>
      </w:r>
    </w:p>
    <w:p w14:paraId="55E1745A" w14:textId="49E5F2CB" w:rsidR="003F6C46" w:rsidRPr="00512109" w:rsidRDefault="00EB1ED7" w:rsidP="001D4F50">
      <w:pPr>
        <w:pStyle w:val="Paragraph"/>
        <w:ind w:left="360"/>
        <w:rPr>
          <w:b/>
          <w:bCs/>
          <w:lang w:eastAsia="en-GB"/>
        </w:rPr>
      </w:pPr>
      <w:r>
        <w:rPr>
          <w:lang w:eastAsia="en-GB"/>
        </w:rPr>
        <w:t xml:space="preserve">The staff networks attend the Board each year when the </w:t>
      </w:r>
      <w:r w:rsidR="00BD69C9">
        <w:rPr>
          <w:lang w:eastAsia="en-GB"/>
        </w:rPr>
        <w:t xml:space="preserve">annual equality report is discussed. The networks each attend the executive team twice a year to discuss their work, as do the Freedom to Speak Up Guardians and Unison, which provides the opportunity to </w:t>
      </w:r>
      <w:r w:rsidR="001D4F50">
        <w:rPr>
          <w:lang w:eastAsia="en-GB"/>
        </w:rPr>
        <w:t>discuss bullying and harassment. This will also be discussed at the September Board meeting.</w:t>
      </w:r>
    </w:p>
    <w:p w14:paraId="4D5C6A34" w14:textId="09F9159E" w:rsidR="003C4EC9" w:rsidRDefault="003F6C46" w:rsidP="00512109">
      <w:pPr>
        <w:pStyle w:val="Paragraph"/>
        <w:numPr>
          <w:ilvl w:val="0"/>
          <w:numId w:val="28"/>
        </w:numPr>
        <w:rPr>
          <w:b/>
          <w:bCs/>
          <w:lang w:eastAsia="en-GB"/>
        </w:rPr>
      </w:pPr>
      <w:r w:rsidRPr="00512109">
        <w:rPr>
          <w:b/>
          <w:bCs/>
          <w:lang w:eastAsia="en-GB"/>
        </w:rPr>
        <w:t>I was at a meeting recently in which we talked about the Board not being visible</w:t>
      </w:r>
      <w:r w:rsidR="001D4F50">
        <w:rPr>
          <w:b/>
          <w:bCs/>
          <w:lang w:eastAsia="en-GB"/>
        </w:rPr>
        <w:t xml:space="preserve">. </w:t>
      </w:r>
      <w:r w:rsidR="00386A80">
        <w:rPr>
          <w:b/>
          <w:bCs/>
          <w:lang w:eastAsia="en-GB"/>
        </w:rPr>
        <w:t>I</w:t>
      </w:r>
      <w:r w:rsidRPr="00512109">
        <w:rPr>
          <w:b/>
          <w:bCs/>
          <w:lang w:eastAsia="en-GB"/>
        </w:rPr>
        <w:t xml:space="preserve">n the past NICE used to have 'meet the board' sessions but these stopped. Great question and I hope that something is offered in the future or another option </w:t>
      </w:r>
      <w:r w:rsidR="00386A80" w:rsidRPr="00512109">
        <w:rPr>
          <w:b/>
          <w:bCs/>
          <w:lang w:eastAsia="en-GB"/>
        </w:rPr>
        <w:t>presented</w:t>
      </w:r>
      <w:r w:rsidR="003C4EC9" w:rsidRPr="00512109">
        <w:rPr>
          <w:b/>
          <w:bCs/>
          <w:lang w:eastAsia="en-GB"/>
        </w:rPr>
        <w:t xml:space="preserve"> for the Network Chairs to come to the </w:t>
      </w:r>
      <w:r w:rsidR="00386A80" w:rsidRPr="00512109">
        <w:rPr>
          <w:b/>
          <w:bCs/>
          <w:lang w:eastAsia="en-GB"/>
        </w:rPr>
        <w:t>board</w:t>
      </w:r>
      <w:r w:rsidR="003C4EC9" w:rsidRPr="00512109">
        <w:rPr>
          <w:b/>
          <w:bCs/>
          <w:lang w:eastAsia="en-GB"/>
        </w:rPr>
        <w:t xml:space="preserve"> themselves? </w:t>
      </w:r>
    </w:p>
    <w:p w14:paraId="433BCE97" w14:textId="241DDE59" w:rsidR="00386A80" w:rsidRPr="00386A80" w:rsidRDefault="00386A80" w:rsidP="00386A80">
      <w:pPr>
        <w:pStyle w:val="Paragraph"/>
        <w:ind w:left="360"/>
        <w:rPr>
          <w:lang w:eastAsia="en-GB"/>
        </w:rPr>
      </w:pPr>
      <w:r>
        <w:rPr>
          <w:lang w:eastAsia="en-GB"/>
        </w:rPr>
        <w:t xml:space="preserve">As noted above, the networks will be coming to the September Board meeting. </w:t>
      </w:r>
      <w:r w:rsidR="00945BDF">
        <w:rPr>
          <w:lang w:eastAsia="en-GB"/>
        </w:rPr>
        <w:t xml:space="preserve">The Board has also previously met with staff members prior to the public Board meetings and </w:t>
      </w:r>
      <w:r w:rsidR="00AD561A">
        <w:rPr>
          <w:lang w:eastAsia="en-GB"/>
        </w:rPr>
        <w:t>is open to considering options for further engagement.</w:t>
      </w:r>
    </w:p>
    <w:sectPr w:rsidR="00386A80" w:rsidRPr="00386A80" w:rsidSect="008F6FB7">
      <w:footerReference w:type="default" r:id="rId11"/>
      <w:headerReference w:type="first" r:id="rId12"/>
      <w:footerReference w:type="first" r:id="rId13"/>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7A4BC7" w14:textId="77777777" w:rsidR="00D4073F" w:rsidRDefault="00D4073F" w:rsidP="00446BEE">
      <w:r>
        <w:separator/>
      </w:r>
    </w:p>
  </w:endnote>
  <w:endnote w:type="continuationSeparator" w:id="0">
    <w:p w14:paraId="407EF710" w14:textId="77777777" w:rsidR="00D4073F" w:rsidRDefault="00D4073F" w:rsidP="00446BEE">
      <w:r>
        <w:continuationSeparator/>
      </w:r>
    </w:p>
  </w:endnote>
  <w:endnote w:type="continuationNotice" w:id="1">
    <w:p w14:paraId="5D67DB14" w14:textId="77777777" w:rsidR="00D4073F" w:rsidRDefault="00D407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
    <w:altName w:val="Calibri"/>
    <w:panose1 w:val="02000503000000020004"/>
    <w:charset w:val="00"/>
    <w:family w:val="auto"/>
    <w:pitch w:val="variable"/>
    <w:sig w:usb0="E00002FF" w:usb1="1200A1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ora SemiBold">
    <w:altName w:val="Cambria"/>
    <w:panose1 w:val="00000000000000000000"/>
    <w:charset w:val="00"/>
    <w:family w:val="auto"/>
    <w:pitch w:val="variable"/>
    <w:sig w:usb0="A00002FF" w:usb1="5000204B" w:usb2="00000000" w:usb3="00000000" w:csb0="0000009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D8FC1" w14:textId="2AB203DD" w:rsidR="00446BEE" w:rsidRDefault="00446BEE" w:rsidP="00D80219">
    <w:pPr>
      <w:pStyle w:val="Footer"/>
      <w:jc w:val="right"/>
    </w:pPr>
    <w:r>
      <w:fldChar w:fldCharType="begin"/>
    </w:r>
    <w:r>
      <w:instrText xml:space="preserve"> PAGE </w:instrText>
    </w:r>
    <w:r>
      <w:fldChar w:fldCharType="separate"/>
    </w:r>
    <w:r w:rsidR="00FA2C5A">
      <w:rPr>
        <w:noProof/>
      </w:rPr>
      <w:t>1</w:t>
    </w:r>
    <w:r>
      <w:fldChar w:fldCharType="end"/>
    </w:r>
    <w:r>
      <w:t xml:space="preserve"> of </w:t>
    </w:r>
    <w:r w:rsidR="00C43D8C">
      <w:fldChar w:fldCharType="begin"/>
    </w:r>
    <w:r w:rsidR="00C43D8C">
      <w:instrText xml:space="preserve"> NUMPAGES  </w:instrText>
    </w:r>
    <w:r w:rsidR="00C43D8C">
      <w:fldChar w:fldCharType="separate"/>
    </w:r>
    <w:r w:rsidR="00FA2C5A">
      <w:rPr>
        <w:noProof/>
      </w:rPr>
      <w:t>1</w:t>
    </w:r>
    <w:r w:rsidR="00C43D8C">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2950927"/>
      <w:docPartObj>
        <w:docPartGallery w:val="Page Numbers (Bottom of Page)"/>
        <w:docPartUnique/>
      </w:docPartObj>
    </w:sdtPr>
    <w:sdtContent>
      <w:sdt>
        <w:sdtPr>
          <w:id w:val="-1769616900"/>
          <w:docPartObj>
            <w:docPartGallery w:val="Page Numbers (Top of Page)"/>
            <w:docPartUnique/>
          </w:docPartObj>
        </w:sdtPr>
        <w:sdtContent>
          <w:p w14:paraId="483097D5" w14:textId="2AA38C56" w:rsidR="008E7826" w:rsidRDefault="008E7826" w:rsidP="008E7826">
            <w:pPr>
              <w:pStyle w:val="Footer"/>
            </w:pPr>
            <w:r>
              <w:tab/>
            </w:r>
            <w:r>
              <w:tab/>
            </w:r>
            <w:r w:rsidRPr="008E7826">
              <w:t xml:space="preserve">Page </w:t>
            </w:r>
            <w:r w:rsidRPr="008E7826">
              <w:rPr>
                <w:sz w:val="24"/>
              </w:rPr>
              <w:fldChar w:fldCharType="begin"/>
            </w:r>
            <w:r w:rsidRPr="008E7826">
              <w:instrText xml:space="preserve"> PAGE </w:instrText>
            </w:r>
            <w:r w:rsidRPr="008E7826">
              <w:rPr>
                <w:sz w:val="24"/>
              </w:rPr>
              <w:fldChar w:fldCharType="separate"/>
            </w:r>
            <w:r w:rsidRPr="008E7826">
              <w:rPr>
                <w:noProof/>
              </w:rPr>
              <w:t>2</w:t>
            </w:r>
            <w:r w:rsidRPr="008E7826">
              <w:rPr>
                <w:sz w:val="24"/>
              </w:rPr>
              <w:fldChar w:fldCharType="end"/>
            </w:r>
            <w:r w:rsidRPr="008E7826">
              <w:t xml:space="preserve"> of </w:t>
            </w:r>
            <w:r w:rsidR="00C43D8C">
              <w:fldChar w:fldCharType="begin"/>
            </w:r>
            <w:r w:rsidR="00C43D8C">
              <w:instrText xml:space="preserve"> NUMPAGES  </w:instrText>
            </w:r>
            <w:r w:rsidR="00C43D8C">
              <w:fldChar w:fldCharType="separate"/>
            </w:r>
            <w:r w:rsidRPr="008E7826">
              <w:rPr>
                <w:noProof/>
              </w:rPr>
              <w:t>2</w:t>
            </w:r>
            <w:r w:rsidR="00C43D8C">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BBC6C1" w14:textId="77777777" w:rsidR="00D4073F" w:rsidRDefault="00D4073F" w:rsidP="00446BEE">
      <w:r>
        <w:separator/>
      </w:r>
    </w:p>
  </w:footnote>
  <w:footnote w:type="continuationSeparator" w:id="0">
    <w:p w14:paraId="13BD25E6" w14:textId="77777777" w:rsidR="00D4073F" w:rsidRDefault="00D4073F" w:rsidP="00446BEE">
      <w:r>
        <w:continuationSeparator/>
      </w:r>
    </w:p>
  </w:footnote>
  <w:footnote w:type="continuationNotice" w:id="1">
    <w:p w14:paraId="38D9026D" w14:textId="77777777" w:rsidR="00D4073F" w:rsidRDefault="00D407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42368" w14:textId="77777777" w:rsidR="008F6FB7" w:rsidRDefault="008F6FB7">
    <w:pPr>
      <w:pStyle w:val="Header"/>
    </w:pPr>
    <w:r>
      <w:rPr>
        <w:noProof/>
      </w:rPr>
      <w:drawing>
        <wp:anchor distT="0" distB="0" distL="114300" distR="114300" simplePos="0" relativeHeight="251658240" behindDoc="0" locked="0" layoutInCell="1" allowOverlap="1" wp14:anchorId="59DD28AC" wp14:editId="146E3F8E">
          <wp:simplePos x="0" y="0"/>
          <wp:positionH relativeFrom="column">
            <wp:posOffset>0</wp:posOffset>
          </wp:positionH>
          <wp:positionV relativeFrom="page">
            <wp:posOffset>447675</wp:posOffset>
          </wp:positionV>
          <wp:extent cx="2444400" cy="252000"/>
          <wp:effectExtent l="0" t="0" r="0" b="0"/>
          <wp:wrapNone/>
          <wp:docPr id="1" name="Picture 1" descr="Logo: National Institute for Health and Care Excellen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National Institute for Health and Care Excellence&#10;"/>
                  <pic:cNvPicPr/>
                </pic:nvPicPr>
                <pic:blipFill>
                  <a:blip r:embed="rId1">
                    <a:extLst>
                      <a:ext uri="{28A0092B-C50C-407E-A947-70E740481C1C}">
                        <a14:useLocalDpi xmlns:a14="http://schemas.microsoft.com/office/drawing/2010/main" val="0"/>
                      </a:ext>
                    </a:extLst>
                  </a:blip>
                  <a:stretch>
                    <a:fillRect/>
                  </a:stretch>
                </pic:blipFill>
                <pic:spPr>
                  <a:xfrm>
                    <a:off x="0" y="0"/>
                    <a:ext cx="2444400" cy="25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CE4AFF"/>
    <w:multiLevelType w:val="hybridMultilevel"/>
    <w:tmpl w:val="BE0689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5A768EE"/>
    <w:multiLevelType w:val="hybridMultilevel"/>
    <w:tmpl w:val="B7AA70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2E853F9"/>
    <w:multiLevelType w:val="hybridMultilevel"/>
    <w:tmpl w:val="B504DC6A"/>
    <w:lvl w:ilvl="0" w:tplc="8618D5D8">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B115D6"/>
    <w:multiLevelType w:val="hybridMultilevel"/>
    <w:tmpl w:val="D96CB5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9C93D14"/>
    <w:multiLevelType w:val="hybridMultilevel"/>
    <w:tmpl w:val="554CD630"/>
    <w:lvl w:ilvl="0" w:tplc="99140A64">
      <w:start w:val="1"/>
      <w:numFmt w:val="decimal"/>
      <w:pStyle w:val="ParagraphNumbered"/>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5D90110"/>
    <w:multiLevelType w:val="hybridMultilevel"/>
    <w:tmpl w:val="E3141BBA"/>
    <w:lvl w:ilvl="0" w:tplc="0DA2811C">
      <w:start w:val="1"/>
      <w:numFmt w:val="bullet"/>
      <w:pStyle w:val="Table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6" w15:restartNumberingAfterBreak="0">
    <w:nsid w:val="696F2189"/>
    <w:multiLevelType w:val="hybridMultilevel"/>
    <w:tmpl w:val="7DD6DEFA"/>
    <w:lvl w:ilvl="0" w:tplc="B20870AC">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5B619A"/>
    <w:multiLevelType w:val="hybridMultilevel"/>
    <w:tmpl w:val="8B665714"/>
    <w:lvl w:ilvl="0" w:tplc="19621C94">
      <w:start w:val="1"/>
      <w:numFmt w:val="decimal"/>
      <w:pStyle w:val="Numberedlist"/>
      <w:lvlText w:val="%1"/>
      <w:lvlJc w:val="left"/>
      <w:pPr>
        <w:ind w:left="1400" w:hanging="360"/>
      </w:pPr>
      <w:rPr>
        <w:rFonts w:hint="default"/>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18" w15:restartNumberingAfterBreak="0">
    <w:nsid w:val="7CB613F5"/>
    <w:multiLevelType w:val="hybridMultilevel"/>
    <w:tmpl w:val="9EE8BE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3384370">
    <w:abstractNumId w:val="14"/>
  </w:num>
  <w:num w:numId="2" w16cid:durableId="1271931310">
    <w:abstractNumId w:val="16"/>
  </w:num>
  <w:num w:numId="3" w16cid:durableId="987441700">
    <w:abstractNumId w:val="16"/>
    <w:lvlOverride w:ilvl="0">
      <w:startOverride w:val="1"/>
    </w:lvlOverride>
  </w:num>
  <w:num w:numId="4" w16cid:durableId="1499422565">
    <w:abstractNumId w:val="16"/>
    <w:lvlOverride w:ilvl="0">
      <w:startOverride w:val="1"/>
    </w:lvlOverride>
  </w:num>
  <w:num w:numId="5" w16cid:durableId="2069916214">
    <w:abstractNumId w:val="16"/>
    <w:lvlOverride w:ilvl="0">
      <w:startOverride w:val="1"/>
    </w:lvlOverride>
  </w:num>
  <w:num w:numId="6" w16cid:durableId="1714303981">
    <w:abstractNumId w:val="16"/>
    <w:lvlOverride w:ilvl="0">
      <w:startOverride w:val="1"/>
    </w:lvlOverride>
  </w:num>
  <w:num w:numId="7" w16cid:durableId="1383334273">
    <w:abstractNumId w:val="16"/>
    <w:lvlOverride w:ilvl="0">
      <w:startOverride w:val="1"/>
    </w:lvlOverride>
  </w:num>
  <w:num w:numId="8" w16cid:durableId="1773280767">
    <w:abstractNumId w:val="9"/>
  </w:num>
  <w:num w:numId="9" w16cid:durableId="25370262">
    <w:abstractNumId w:val="7"/>
  </w:num>
  <w:num w:numId="10" w16cid:durableId="631717178">
    <w:abstractNumId w:val="6"/>
  </w:num>
  <w:num w:numId="11" w16cid:durableId="229852498">
    <w:abstractNumId w:val="5"/>
  </w:num>
  <w:num w:numId="12" w16cid:durableId="619150223">
    <w:abstractNumId w:val="4"/>
  </w:num>
  <w:num w:numId="13" w16cid:durableId="1727877967">
    <w:abstractNumId w:val="8"/>
  </w:num>
  <w:num w:numId="14" w16cid:durableId="1039671961">
    <w:abstractNumId w:val="3"/>
  </w:num>
  <w:num w:numId="15" w16cid:durableId="1876431772">
    <w:abstractNumId w:val="2"/>
  </w:num>
  <w:num w:numId="16" w16cid:durableId="1799951448">
    <w:abstractNumId w:val="1"/>
  </w:num>
  <w:num w:numId="17" w16cid:durableId="960921361">
    <w:abstractNumId w:val="0"/>
  </w:num>
  <w:num w:numId="18" w16cid:durableId="250091122">
    <w:abstractNumId w:val="12"/>
  </w:num>
  <w:num w:numId="19" w16cid:durableId="1373924523">
    <w:abstractNumId w:val="12"/>
    <w:lvlOverride w:ilvl="0">
      <w:startOverride w:val="1"/>
    </w:lvlOverride>
  </w:num>
  <w:num w:numId="20" w16cid:durableId="399716702">
    <w:abstractNumId w:val="14"/>
  </w:num>
  <w:num w:numId="21" w16cid:durableId="1595244151">
    <w:abstractNumId w:val="16"/>
  </w:num>
  <w:num w:numId="22" w16cid:durableId="368646558">
    <w:abstractNumId w:val="12"/>
  </w:num>
  <w:num w:numId="23" w16cid:durableId="534393170">
    <w:abstractNumId w:val="15"/>
  </w:num>
  <w:num w:numId="24" w16cid:durableId="609512517">
    <w:abstractNumId w:val="17"/>
  </w:num>
  <w:num w:numId="25" w16cid:durableId="811292819">
    <w:abstractNumId w:val="13"/>
  </w:num>
  <w:num w:numId="26" w16cid:durableId="944727327">
    <w:abstractNumId w:val="10"/>
  </w:num>
  <w:num w:numId="27" w16cid:durableId="742022606">
    <w:abstractNumId w:val="18"/>
  </w:num>
  <w:num w:numId="28" w16cid:durableId="20164160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EB4"/>
    <w:rsid w:val="000053F8"/>
    <w:rsid w:val="000064AA"/>
    <w:rsid w:val="00010443"/>
    <w:rsid w:val="0001548D"/>
    <w:rsid w:val="0002347D"/>
    <w:rsid w:val="00024D0A"/>
    <w:rsid w:val="000424A4"/>
    <w:rsid w:val="00054B8C"/>
    <w:rsid w:val="00056DB6"/>
    <w:rsid w:val="00061FBD"/>
    <w:rsid w:val="00064260"/>
    <w:rsid w:val="00070065"/>
    <w:rsid w:val="0007203D"/>
    <w:rsid w:val="00074E0A"/>
    <w:rsid w:val="00076E91"/>
    <w:rsid w:val="000855AA"/>
    <w:rsid w:val="0008570F"/>
    <w:rsid w:val="000936DE"/>
    <w:rsid w:val="00096329"/>
    <w:rsid w:val="000966C5"/>
    <w:rsid w:val="000A2A16"/>
    <w:rsid w:val="000A2AA2"/>
    <w:rsid w:val="000A4FEE"/>
    <w:rsid w:val="000B5939"/>
    <w:rsid w:val="000D17B9"/>
    <w:rsid w:val="000D7DBD"/>
    <w:rsid w:val="000E114A"/>
    <w:rsid w:val="000F4090"/>
    <w:rsid w:val="000F51E5"/>
    <w:rsid w:val="0010172B"/>
    <w:rsid w:val="00103948"/>
    <w:rsid w:val="00110B50"/>
    <w:rsid w:val="001134E7"/>
    <w:rsid w:val="001134F8"/>
    <w:rsid w:val="001336FF"/>
    <w:rsid w:val="00136206"/>
    <w:rsid w:val="00141E57"/>
    <w:rsid w:val="00142229"/>
    <w:rsid w:val="0014266B"/>
    <w:rsid w:val="001457F6"/>
    <w:rsid w:val="00147B85"/>
    <w:rsid w:val="00151F38"/>
    <w:rsid w:val="001558F0"/>
    <w:rsid w:val="00155D2F"/>
    <w:rsid w:val="00157BBE"/>
    <w:rsid w:val="001675AE"/>
    <w:rsid w:val="0017169E"/>
    <w:rsid w:val="001739DA"/>
    <w:rsid w:val="00177950"/>
    <w:rsid w:val="001837EE"/>
    <w:rsid w:val="0019472C"/>
    <w:rsid w:val="001A6635"/>
    <w:rsid w:val="001B0EE9"/>
    <w:rsid w:val="001B2415"/>
    <w:rsid w:val="001B3B6E"/>
    <w:rsid w:val="001B65B3"/>
    <w:rsid w:val="001D4F50"/>
    <w:rsid w:val="001E60D6"/>
    <w:rsid w:val="001E64B9"/>
    <w:rsid w:val="001E6D11"/>
    <w:rsid w:val="001F2F59"/>
    <w:rsid w:val="001F64D9"/>
    <w:rsid w:val="001F7461"/>
    <w:rsid w:val="002064EA"/>
    <w:rsid w:val="002122CB"/>
    <w:rsid w:val="002124D5"/>
    <w:rsid w:val="00222199"/>
    <w:rsid w:val="00225E4A"/>
    <w:rsid w:val="002379F3"/>
    <w:rsid w:val="0024076B"/>
    <w:rsid w:val="002408EA"/>
    <w:rsid w:val="00241476"/>
    <w:rsid w:val="00246BAC"/>
    <w:rsid w:val="002527D2"/>
    <w:rsid w:val="00254456"/>
    <w:rsid w:val="00254636"/>
    <w:rsid w:val="00255005"/>
    <w:rsid w:val="0025603E"/>
    <w:rsid w:val="002729D2"/>
    <w:rsid w:val="002760A4"/>
    <w:rsid w:val="002806E4"/>
    <w:rsid w:val="002819D7"/>
    <w:rsid w:val="00284310"/>
    <w:rsid w:val="0028715B"/>
    <w:rsid w:val="00294700"/>
    <w:rsid w:val="0029731B"/>
    <w:rsid w:val="00297945"/>
    <w:rsid w:val="002A13D0"/>
    <w:rsid w:val="002A4AAE"/>
    <w:rsid w:val="002B07EA"/>
    <w:rsid w:val="002B0D46"/>
    <w:rsid w:val="002B100F"/>
    <w:rsid w:val="002C1A7E"/>
    <w:rsid w:val="002C529D"/>
    <w:rsid w:val="002D3376"/>
    <w:rsid w:val="002D3D07"/>
    <w:rsid w:val="002D4BA1"/>
    <w:rsid w:val="002E125D"/>
    <w:rsid w:val="002E1472"/>
    <w:rsid w:val="002F19CA"/>
    <w:rsid w:val="002F2CD6"/>
    <w:rsid w:val="002F6071"/>
    <w:rsid w:val="00303715"/>
    <w:rsid w:val="00304312"/>
    <w:rsid w:val="00304FC7"/>
    <w:rsid w:val="00306CAF"/>
    <w:rsid w:val="00310816"/>
    <w:rsid w:val="00311ED0"/>
    <w:rsid w:val="00317E1A"/>
    <w:rsid w:val="00322669"/>
    <w:rsid w:val="00324749"/>
    <w:rsid w:val="00324FFF"/>
    <w:rsid w:val="00332828"/>
    <w:rsid w:val="0033434D"/>
    <w:rsid w:val="003522D4"/>
    <w:rsid w:val="003648C5"/>
    <w:rsid w:val="003664EB"/>
    <w:rsid w:val="003667D6"/>
    <w:rsid w:val="00367054"/>
    <w:rsid w:val="003722FA"/>
    <w:rsid w:val="003723DA"/>
    <w:rsid w:val="0037264E"/>
    <w:rsid w:val="00376EC2"/>
    <w:rsid w:val="00380289"/>
    <w:rsid w:val="003869E2"/>
    <w:rsid w:val="00386A80"/>
    <w:rsid w:val="00393985"/>
    <w:rsid w:val="00397E00"/>
    <w:rsid w:val="003A5469"/>
    <w:rsid w:val="003B22A1"/>
    <w:rsid w:val="003B24EF"/>
    <w:rsid w:val="003B2864"/>
    <w:rsid w:val="003B39F9"/>
    <w:rsid w:val="003B69FE"/>
    <w:rsid w:val="003C27D8"/>
    <w:rsid w:val="003C2947"/>
    <w:rsid w:val="003C3D52"/>
    <w:rsid w:val="003C4EC9"/>
    <w:rsid w:val="003C5D7A"/>
    <w:rsid w:val="003C7AAF"/>
    <w:rsid w:val="003D21E8"/>
    <w:rsid w:val="003E00C0"/>
    <w:rsid w:val="003E5A21"/>
    <w:rsid w:val="003E67DD"/>
    <w:rsid w:val="003F0A04"/>
    <w:rsid w:val="003F1C1C"/>
    <w:rsid w:val="003F52FF"/>
    <w:rsid w:val="003F6C46"/>
    <w:rsid w:val="00401932"/>
    <w:rsid w:val="004075B6"/>
    <w:rsid w:val="0041015A"/>
    <w:rsid w:val="00410580"/>
    <w:rsid w:val="004128D9"/>
    <w:rsid w:val="004167D2"/>
    <w:rsid w:val="00417C8E"/>
    <w:rsid w:val="00420952"/>
    <w:rsid w:val="00422A4E"/>
    <w:rsid w:val="0042393B"/>
    <w:rsid w:val="0042514C"/>
    <w:rsid w:val="004327EA"/>
    <w:rsid w:val="004352E8"/>
    <w:rsid w:val="00444060"/>
    <w:rsid w:val="00446BEE"/>
    <w:rsid w:val="004606BD"/>
    <w:rsid w:val="00467FAD"/>
    <w:rsid w:val="004739B4"/>
    <w:rsid w:val="00477D7C"/>
    <w:rsid w:val="004845BE"/>
    <w:rsid w:val="004A7826"/>
    <w:rsid w:val="004B22D4"/>
    <w:rsid w:val="004C05B2"/>
    <w:rsid w:val="004C4189"/>
    <w:rsid w:val="004C7694"/>
    <w:rsid w:val="004D0810"/>
    <w:rsid w:val="004D1F35"/>
    <w:rsid w:val="004D30E6"/>
    <w:rsid w:val="004E37CD"/>
    <w:rsid w:val="004E762C"/>
    <w:rsid w:val="004F157A"/>
    <w:rsid w:val="004F6C06"/>
    <w:rsid w:val="005025A1"/>
    <w:rsid w:val="00512109"/>
    <w:rsid w:val="0051349E"/>
    <w:rsid w:val="005252B7"/>
    <w:rsid w:val="00527379"/>
    <w:rsid w:val="005306FF"/>
    <w:rsid w:val="00531974"/>
    <w:rsid w:val="00531DDC"/>
    <w:rsid w:val="0054782E"/>
    <w:rsid w:val="00554323"/>
    <w:rsid w:val="00555014"/>
    <w:rsid w:val="005575AC"/>
    <w:rsid w:val="005636C0"/>
    <w:rsid w:val="00565524"/>
    <w:rsid w:val="00572112"/>
    <w:rsid w:val="00575227"/>
    <w:rsid w:val="00580777"/>
    <w:rsid w:val="00581706"/>
    <w:rsid w:val="005829FA"/>
    <w:rsid w:val="00583890"/>
    <w:rsid w:val="00583D63"/>
    <w:rsid w:val="00587034"/>
    <w:rsid w:val="0059354E"/>
    <w:rsid w:val="00594C3A"/>
    <w:rsid w:val="00596BC4"/>
    <w:rsid w:val="005A02D5"/>
    <w:rsid w:val="005A2B8D"/>
    <w:rsid w:val="005A5544"/>
    <w:rsid w:val="005B3C12"/>
    <w:rsid w:val="005B562C"/>
    <w:rsid w:val="005C05DD"/>
    <w:rsid w:val="005C225D"/>
    <w:rsid w:val="005C3741"/>
    <w:rsid w:val="005C592F"/>
    <w:rsid w:val="005C768F"/>
    <w:rsid w:val="005D00E5"/>
    <w:rsid w:val="005D480E"/>
    <w:rsid w:val="005D52D0"/>
    <w:rsid w:val="005E050D"/>
    <w:rsid w:val="005E0534"/>
    <w:rsid w:val="005F658A"/>
    <w:rsid w:val="005F7130"/>
    <w:rsid w:val="005F7301"/>
    <w:rsid w:val="00600EA4"/>
    <w:rsid w:val="00601D2B"/>
    <w:rsid w:val="0060383B"/>
    <w:rsid w:val="00612DDD"/>
    <w:rsid w:val="00624140"/>
    <w:rsid w:val="006344A3"/>
    <w:rsid w:val="00640444"/>
    <w:rsid w:val="006622B9"/>
    <w:rsid w:val="00667AA3"/>
    <w:rsid w:val="006709A9"/>
    <w:rsid w:val="006726B6"/>
    <w:rsid w:val="0067503B"/>
    <w:rsid w:val="00675074"/>
    <w:rsid w:val="00675B95"/>
    <w:rsid w:val="00677CAE"/>
    <w:rsid w:val="006802A7"/>
    <w:rsid w:val="006803D4"/>
    <w:rsid w:val="006810BD"/>
    <w:rsid w:val="00686FCA"/>
    <w:rsid w:val="006921E1"/>
    <w:rsid w:val="00696022"/>
    <w:rsid w:val="00696C0A"/>
    <w:rsid w:val="006A00F9"/>
    <w:rsid w:val="006A28FB"/>
    <w:rsid w:val="006A337F"/>
    <w:rsid w:val="006B1F10"/>
    <w:rsid w:val="006B267F"/>
    <w:rsid w:val="006B3F71"/>
    <w:rsid w:val="006C1B60"/>
    <w:rsid w:val="006D7078"/>
    <w:rsid w:val="006E0CE8"/>
    <w:rsid w:val="007037CE"/>
    <w:rsid w:val="00704C12"/>
    <w:rsid w:val="0070560F"/>
    <w:rsid w:val="007138AC"/>
    <w:rsid w:val="00714514"/>
    <w:rsid w:val="00727F55"/>
    <w:rsid w:val="0073480D"/>
    <w:rsid w:val="00736348"/>
    <w:rsid w:val="0074714C"/>
    <w:rsid w:val="00750363"/>
    <w:rsid w:val="00750469"/>
    <w:rsid w:val="00756410"/>
    <w:rsid w:val="00767DA9"/>
    <w:rsid w:val="007712B3"/>
    <w:rsid w:val="0077376B"/>
    <w:rsid w:val="00777DFB"/>
    <w:rsid w:val="00781C41"/>
    <w:rsid w:val="00782F0E"/>
    <w:rsid w:val="00783DBD"/>
    <w:rsid w:val="007861C1"/>
    <w:rsid w:val="007868A5"/>
    <w:rsid w:val="00794A5D"/>
    <w:rsid w:val="00797387"/>
    <w:rsid w:val="007B453E"/>
    <w:rsid w:val="007C30B0"/>
    <w:rsid w:val="007C4488"/>
    <w:rsid w:val="007D3F95"/>
    <w:rsid w:val="007D61DF"/>
    <w:rsid w:val="007E62DE"/>
    <w:rsid w:val="007E71BD"/>
    <w:rsid w:val="007E723B"/>
    <w:rsid w:val="007F37FA"/>
    <w:rsid w:val="00816E1D"/>
    <w:rsid w:val="00822D36"/>
    <w:rsid w:val="0082303E"/>
    <w:rsid w:val="00823B7C"/>
    <w:rsid w:val="0082432B"/>
    <w:rsid w:val="008310C4"/>
    <w:rsid w:val="00832DD2"/>
    <w:rsid w:val="008339B6"/>
    <w:rsid w:val="00833D8A"/>
    <w:rsid w:val="008363BB"/>
    <w:rsid w:val="00840F88"/>
    <w:rsid w:val="00845C9D"/>
    <w:rsid w:val="00847C15"/>
    <w:rsid w:val="00861800"/>
    <w:rsid w:val="00861B92"/>
    <w:rsid w:val="0086442A"/>
    <w:rsid w:val="0086463A"/>
    <w:rsid w:val="00867D60"/>
    <w:rsid w:val="00870D1E"/>
    <w:rsid w:val="00873AA8"/>
    <w:rsid w:val="008814FB"/>
    <w:rsid w:val="00882561"/>
    <w:rsid w:val="00894037"/>
    <w:rsid w:val="008A17CA"/>
    <w:rsid w:val="008A28E6"/>
    <w:rsid w:val="008A41BF"/>
    <w:rsid w:val="008A76EF"/>
    <w:rsid w:val="008B37ED"/>
    <w:rsid w:val="008B4BA9"/>
    <w:rsid w:val="008C16F5"/>
    <w:rsid w:val="008C732A"/>
    <w:rsid w:val="008D0577"/>
    <w:rsid w:val="008E2419"/>
    <w:rsid w:val="008E32C3"/>
    <w:rsid w:val="008E7826"/>
    <w:rsid w:val="008F519A"/>
    <w:rsid w:val="008F5E30"/>
    <w:rsid w:val="008F6FB7"/>
    <w:rsid w:val="00910F8B"/>
    <w:rsid w:val="00912564"/>
    <w:rsid w:val="00914D7F"/>
    <w:rsid w:val="00915D69"/>
    <w:rsid w:val="00915E88"/>
    <w:rsid w:val="009162B5"/>
    <w:rsid w:val="00916356"/>
    <w:rsid w:val="00922EDB"/>
    <w:rsid w:val="00937070"/>
    <w:rsid w:val="009372B6"/>
    <w:rsid w:val="00945BDF"/>
    <w:rsid w:val="009529B4"/>
    <w:rsid w:val="0096536B"/>
    <w:rsid w:val="009728A9"/>
    <w:rsid w:val="0097305A"/>
    <w:rsid w:val="00973178"/>
    <w:rsid w:val="00975271"/>
    <w:rsid w:val="009827C0"/>
    <w:rsid w:val="00982E6A"/>
    <w:rsid w:val="00983CEE"/>
    <w:rsid w:val="0098419B"/>
    <w:rsid w:val="00984F9D"/>
    <w:rsid w:val="00994962"/>
    <w:rsid w:val="009A795B"/>
    <w:rsid w:val="009A7C94"/>
    <w:rsid w:val="009C0116"/>
    <w:rsid w:val="009C5804"/>
    <w:rsid w:val="009D31E5"/>
    <w:rsid w:val="009E0239"/>
    <w:rsid w:val="009E680B"/>
    <w:rsid w:val="009F1BF3"/>
    <w:rsid w:val="00A031C7"/>
    <w:rsid w:val="00A11747"/>
    <w:rsid w:val="00A1380F"/>
    <w:rsid w:val="00A15A1F"/>
    <w:rsid w:val="00A22008"/>
    <w:rsid w:val="00A3325A"/>
    <w:rsid w:val="00A34D63"/>
    <w:rsid w:val="00A43013"/>
    <w:rsid w:val="00A462E3"/>
    <w:rsid w:val="00A50821"/>
    <w:rsid w:val="00A61A9D"/>
    <w:rsid w:val="00A64C1A"/>
    <w:rsid w:val="00A6628C"/>
    <w:rsid w:val="00A722A4"/>
    <w:rsid w:val="00A820A8"/>
    <w:rsid w:val="00A82972"/>
    <w:rsid w:val="00A87614"/>
    <w:rsid w:val="00A97293"/>
    <w:rsid w:val="00AA0540"/>
    <w:rsid w:val="00AA1707"/>
    <w:rsid w:val="00AA3FCC"/>
    <w:rsid w:val="00AB0487"/>
    <w:rsid w:val="00AB088F"/>
    <w:rsid w:val="00AB6257"/>
    <w:rsid w:val="00AC5F6F"/>
    <w:rsid w:val="00AD2E5A"/>
    <w:rsid w:val="00AD561A"/>
    <w:rsid w:val="00AF108A"/>
    <w:rsid w:val="00AF2632"/>
    <w:rsid w:val="00AF4891"/>
    <w:rsid w:val="00B02E55"/>
    <w:rsid w:val="00B036C1"/>
    <w:rsid w:val="00B0711E"/>
    <w:rsid w:val="00B138DE"/>
    <w:rsid w:val="00B2183C"/>
    <w:rsid w:val="00B233CB"/>
    <w:rsid w:val="00B23CC2"/>
    <w:rsid w:val="00B25D42"/>
    <w:rsid w:val="00B34B80"/>
    <w:rsid w:val="00B36D0C"/>
    <w:rsid w:val="00B5378D"/>
    <w:rsid w:val="00B5431F"/>
    <w:rsid w:val="00B552F4"/>
    <w:rsid w:val="00B634A5"/>
    <w:rsid w:val="00B65A11"/>
    <w:rsid w:val="00B73C96"/>
    <w:rsid w:val="00B75947"/>
    <w:rsid w:val="00B8246E"/>
    <w:rsid w:val="00B8437E"/>
    <w:rsid w:val="00BA1AE5"/>
    <w:rsid w:val="00BA2FB0"/>
    <w:rsid w:val="00BC184B"/>
    <w:rsid w:val="00BC6C06"/>
    <w:rsid w:val="00BD01B6"/>
    <w:rsid w:val="00BD16FE"/>
    <w:rsid w:val="00BD2951"/>
    <w:rsid w:val="00BD69C9"/>
    <w:rsid w:val="00BE2419"/>
    <w:rsid w:val="00BE5EB4"/>
    <w:rsid w:val="00BF1124"/>
    <w:rsid w:val="00BF7FE0"/>
    <w:rsid w:val="00C00647"/>
    <w:rsid w:val="00C2718C"/>
    <w:rsid w:val="00C27F8F"/>
    <w:rsid w:val="00C318B8"/>
    <w:rsid w:val="00C32A08"/>
    <w:rsid w:val="00C32E8C"/>
    <w:rsid w:val="00C354B4"/>
    <w:rsid w:val="00C36044"/>
    <w:rsid w:val="00C43D8C"/>
    <w:rsid w:val="00C44DF3"/>
    <w:rsid w:val="00C66AAF"/>
    <w:rsid w:val="00C6C6A3"/>
    <w:rsid w:val="00C77C66"/>
    <w:rsid w:val="00C80C6E"/>
    <w:rsid w:val="00C82718"/>
    <w:rsid w:val="00C85682"/>
    <w:rsid w:val="00C96411"/>
    <w:rsid w:val="00CA181C"/>
    <w:rsid w:val="00CB2369"/>
    <w:rsid w:val="00CB36EA"/>
    <w:rsid w:val="00CC3407"/>
    <w:rsid w:val="00CC359F"/>
    <w:rsid w:val="00CC508C"/>
    <w:rsid w:val="00CC7CF3"/>
    <w:rsid w:val="00CD31C7"/>
    <w:rsid w:val="00CE41C0"/>
    <w:rsid w:val="00CF2E5C"/>
    <w:rsid w:val="00CF58B7"/>
    <w:rsid w:val="00CF669C"/>
    <w:rsid w:val="00CF6990"/>
    <w:rsid w:val="00D002E8"/>
    <w:rsid w:val="00D01AA5"/>
    <w:rsid w:val="00D02A8F"/>
    <w:rsid w:val="00D07887"/>
    <w:rsid w:val="00D0790D"/>
    <w:rsid w:val="00D115C4"/>
    <w:rsid w:val="00D11683"/>
    <w:rsid w:val="00D1699D"/>
    <w:rsid w:val="00D27E1F"/>
    <w:rsid w:val="00D30006"/>
    <w:rsid w:val="00D351C1"/>
    <w:rsid w:val="00D35EFB"/>
    <w:rsid w:val="00D37B70"/>
    <w:rsid w:val="00D4073F"/>
    <w:rsid w:val="00D446EC"/>
    <w:rsid w:val="00D47D55"/>
    <w:rsid w:val="00D504B3"/>
    <w:rsid w:val="00D57C1E"/>
    <w:rsid w:val="00D64092"/>
    <w:rsid w:val="00D80219"/>
    <w:rsid w:val="00D86BA4"/>
    <w:rsid w:val="00D86BF0"/>
    <w:rsid w:val="00D873EE"/>
    <w:rsid w:val="00D955A2"/>
    <w:rsid w:val="00DA6C05"/>
    <w:rsid w:val="00DB00F5"/>
    <w:rsid w:val="00DB50CA"/>
    <w:rsid w:val="00DB52DC"/>
    <w:rsid w:val="00DC0BBE"/>
    <w:rsid w:val="00DC3473"/>
    <w:rsid w:val="00DD5B7B"/>
    <w:rsid w:val="00DD5FC3"/>
    <w:rsid w:val="00DF3F25"/>
    <w:rsid w:val="00DF5730"/>
    <w:rsid w:val="00E05023"/>
    <w:rsid w:val="00E10917"/>
    <w:rsid w:val="00E1699D"/>
    <w:rsid w:val="00E25433"/>
    <w:rsid w:val="00E2554E"/>
    <w:rsid w:val="00E30DB5"/>
    <w:rsid w:val="00E337A8"/>
    <w:rsid w:val="00E342F4"/>
    <w:rsid w:val="00E36684"/>
    <w:rsid w:val="00E3741E"/>
    <w:rsid w:val="00E51079"/>
    <w:rsid w:val="00E51920"/>
    <w:rsid w:val="00E542A8"/>
    <w:rsid w:val="00E63EFE"/>
    <w:rsid w:val="00E64120"/>
    <w:rsid w:val="00E660A1"/>
    <w:rsid w:val="00E70261"/>
    <w:rsid w:val="00E72AE9"/>
    <w:rsid w:val="00E851C0"/>
    <w:rsid w:val="00E851C4"/>
    <w:rsid w:val="00E93F6B"/>
    <w:rsid w:val="00E93FFF"/>
    <w:rsid w:val="00E95456"/>
    <w:rsid w:val="00EA0EE6"/>
    <w:rsid w:val="00EA2F80"/>
    <w:rsid w:val="00EB08CB"/>
    <w:rsid w:val="00EB096F"/>
    <w:rsid w:val="00EB1ED7"/>
    <w:rsid w:val="00EC0948"/>
    <w:rsid w:val="00EC10FD"/>
    <w:rsid w:val="00ED0F28"/>
    <w:rsid w:val="00ED762F"/>
    <w:rsid w:val="00EE0E25"/>
    <w:rsid w:val="00EE12CA"/>
    <w:rsid w:val="00EF2BD3"/>
    <w:rsid w:val="00EF7A0C"/>
    <w:rsid w:val="00F01A91"/>
    <w:rsid w:val="00F02425"/>
    <w:rsid w:val="00F055F1"/>
    <w:rsid w:val="00F10A76"/>
    <w:rsid w:val="00F13EFF"/>
    <w:rsid w:val="00F22FC7"/>
    <w:rsid w:val="00F42E0D"/>
    <w:rsid w:val="00F43029"/>
    <w:rsid w:val="00F441EB"/>
    <w:rsid w:val="00F5053B"/>
    <w:rsid w:val="00F50B05"/>
    <w:rsid w:val="00F54265"/>
    <w:rsid w:val="00F60997"/>
    <w:rsid w:val="00F610AF"/>
    <w:rsid w:val="00F65116"/>
    <w:rsid w:val="00F9143F"/>
    <w:rsid w:val="00F91506"/>
    <w:rsid w:val="00FA0080"/>
    <w:rsid w:val="00FA2C5A"/>
    <w:rsid w:val="00FA66D0"/>
    <w:rsid w:val="00FA77C3"/>
    <w:rsid w:val="00FB1AD5"/>
    <w:rsid w:val="00FB77F3"/>
    <w:rsid w:val="00FC2D11"/>
    <w:rsid w:val="00FC59C6"/>
    <w:rsid w:val="00FC5FFD"/>
    <w:rsid w:val="00FC6230"/>
    <w:rsid w:val="00FC7F27"/>
    <w:rsid w:val="00FD7177"/>
    <w:rsid w:val="00FF0E8C"/>
    <w:rsid w:val="00FF2D51"/>
    <w:rsid w:val="00FF61E7"/>
    <w:rsid w:val="026FD638"/>
    <w:rsid w:val="03331C8E"/>
    <w:rsid w:val="0FA41E59"/>
    <w:rsid w:val="1005C2CF"/>
    <w:rsid w:val="100B748E"/>
    <w:rsid w:val="100D1D95"/>
    <w:rsid w:val="140C3E0B"/>
    <w:rsid w:val="167104FF"/>
    <w:rsid w:val="1671B1DB"/>
    <w:rsid w:val="1999FA2D"/>
    <w:rsid w:val="1A78C4AC"/>
    <w:rsid w:val="1BC0B036"/>
    <w:rsid w:val="1CD16697"/>
    <w:rsid w:val="1F2E3B17"/>
    <w:rsid w:val="20D8D02F"/>
    <w:rsid w:val="215A4FF3"/>
    <w:rsid w:val="22C28D13"/>
    <w:rsid w:val="23547B21"/>
    <w:rsid w:val="260FF97F"/>
    <w:rsid w:val="266ED468"/>
    <w:rsid w:val="27AF7247"/>
    <w:rsid w:val="2B45B30E"/>
    <w:rsid w:val="2BA5F560"/>
    <w:rsid w:val="2D5E55FA"/>
    <w:rsid w:val="2DCD7447"/>
    <w:rsid w:val="2DF9BEAC"/>
    <w:rsid w:val="2EDD4F64"/>
    <w:rsid w:val="3053BB34"/>
    <w:rsid w:val="324ED015"/>
    <w:rsid w:val="3444564F"/>
    <w:rsid w:val="34A6E6DA"/>
    <w:rsid w:val="34E0CFF8"/>
    <w:rsid w:val="36748E71"/>
    <w:rsid w:val="39547908"/>
    <w:rsid w:val="39E1FE22"/>
    <w:rsid w:val="3AC90725"/>
    <w:rsid w:val="3F558C9D"/>
    <w:rsid w:val="40924E20"/>
    <w:rsid w:val="4186F8F8"/>
    <w:rsid w:val="42BA1BCC"/>
    <w:rsid w:val="457DF26D"/>
    <w:rsid w:val="45F19605"/>
    <w:rsid w:val="48D4010D"/>
    <w:rsid w:val="4A2DB5C6"/>
    <w:rsid w:val="4DAE51B6"/>
    <w:rsid w:val="4E3084B3"/>
    <w:rsid w:val="4EA52D3A"/>
    <w:rsid w:val="4F9718C1"/>
    <w:rsid w:val="51233670"/>
    <w:rsid w:val="51C2A452"/>
    <w:rsid w:val="530F2733"/>
    <w:rsid w:val="56F9C08C"/>
    <w:rsid w:val="57BA3E45"/>
    <w:rsid w:val="5AEB663E"/>
    <w:rsid w:val="5C0E7F66"/>
    <w:rsid w:val="5C9C82E2"/>
    <w:rsid w:val="5CD0CD81"/>
    <w:rsid w:val="5E887F3E"/>
    <w:rsid w:val="61CEC3F1"/>
    <w:rsid w:val="62D6719B"/>
    <w:rsid w:val="63798F9F"/>
    <w:rsid w:val="64703DBC"/>
    <w:rsid w:val="6AED85E8"/>
    <w:rsid w:val="6E3A7D27"/>
    <w:rsid w:val="6E5581DE"/>
    <w:rsid w:val="6F9E4C1D"/>
    <w:rsid w:val="6FF6E3BE"/>
    <w:rsid w:val="7095A583"/>
    <w:rsid w:val="72228F63"/>
    <w:rsid w:val="728E34A9"/>
    <w:rsid w:val="73249C50"/>
    <w:rsid w:val="7473DC1C"/>
    <w:rsid w:val="7D9A5E9C"/>
    <w:rsid w:val="7F9BCEA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48B7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99"/>
    <w:lsdException w:name="footer" w:semiHidden="1"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1E60D6"/>
    <w:rPr>
      <w:sz w:val="24"/>
      <w:szCs w:val="24"/>
    </w:rPr>
  </w:style>
  <w:style w:type="paragraph" w:styleId="Heading1">
    <w:name w:val="heading 1"/>
    <w:basedOn w:val="Normal"/>
    <w:next w:val="Paragraph"/>
    <w:link w:val="Heading1Char"/>
    <w:qFormat/>
    <w:rsid w:val="00833D8A"/>
    <w:pPr>
      <w:keepNext/>
      <w:spacing w:before="240" w:after="120" w:line="360" w:lineRule="auto"/>
      <w:outlineLvl w:val="0"/>
    </w:pPr>
    <w:rPr>
      <w:rFonts w:ascii="Arial" w:hAnsi="Arial" w:cs="Arial"/>
      <w:b/>
      <w:bCs/>
      <w:kern w:val="32"/>
      <w:sz w:val="32"/>
      <w:szCs w:val="32"/>
      <w:lang w:eastAsia="en-US"/>
    </w:rPr>
  </w:style>
  <w:style w:type="paragraph" w:styleId="Heading2">
    <w:name w:val="heading 2"/>
    <w:basedOn w:val="Normal"/>
    <w:next w:val="Paragraph"/>
    <w:link w:val="Heading2Char"/>
    <w:qFormat/>
    <w:rsid w:val="00C77C66"/>
    <w:pPr>
      <w:keepNext/>
      <w:spacing w:before="240" w:after="60" w:line="360" w:lineRule="auto"/>
      <w:outlineLvl w:val="1"/>
    </w:pPr>
    <w:rPr>
      <w:rFonts w:ascii="Arial" w:hAnsi="Arial" w:cs="Arial"/>
      <w:b/>
      <w:bCs/>
      <w:color w:val="228096"/>
      <w:sz w:val="28"/>
      <w:szCs w:val="28"/>
      <w:lang w:eastAsia="en-US"/>
    </w:rPr>
  </w:style>
  <w:style w:type="paragraph" w:styleId="Heading3">
    <w:name w:val="heading 3"/>
    <w:basedOn w:val="Normal"/>
    <w:next w:val="Paragraph"/>
    <w:link w:val="Heading3Char"/>
    <w:qFormat/>
    <w:rsid w:val="00833D8A"/>
    <w:pPr>
      <w:keepNext/>
      <w:spacing w:before="240" w:after="60" w:line="360" w:lineRule="auto"/>
      <w:outlineLvl w:val="2"/>
    </w:pPr>
    <w:rPr>
      <w:rFonts w:ascii="Arial" w:hAnsi="Arial" w:cs="Arial"/>
      <w:b/>
      <w:bCs/>
      <w:sz w:val="26"/>
      <w:lang w:eastAsia="en-US"/>
    </w:rPr>
  </w:style>
  <w:style w:type="paragraph" w:styleId="Heading4">
    <w:name w:val="heading 4"/>
    <w:basedOn w:val="Normal"/>
    <w:next w:val="Paragraph"/>
    <w:link w:val="Heading4Char"/>
    <w:qFormat/>
    <w:rsid w:val="00C77C66"/>
    <w:pPr>
      <w:keepNext/>
      <w:spacing w:before="120" w:after="60" w:line="360" w:lineRule="auto"/>
      <w:outlineLvl w:val="3"/>
    </w:pPr>
    <w:rPr>
      <w:rFonts w:ascii="Arial" w:hAnsi="Arial"/>
      <w:b/>
      <w:bCs/>
      <w:iCs/>
      <w:color w:val="228096"/>
      <w:szCs w:val="28"/>
      <w:lang w:eastAsia="en-US"/>
    </w:rPr>
  </w:style>
  <w:style w:type="paragraph" w:styleId="Heading5">
    <w:name w:val="heading 5"/>
    <w:basedOn w:val="Normal"/>
    <w:next w:val="Normal"/>
    <w:link w:val="Heading5Char"/>
    <w:semiHidden/>
    <w:qFormat/>
    <w:rsid w:val="00BE5EB4"/>
    <w:pPr>
      <w:keepNext/>
      <w:keepLines/>
      <w:spacing w:before="80" w:after="40"/>
      <w:outlineLvl w:val="4"/>
    </w:pPr>
    <w:rPr>
      <w:rFonts w:asciiTheme="minorHAnsi" w:eastAsiaTheme="majorEastAsia" w:hAnsiTheme="minorHAnsi" w:cstheme="majorBidi"/>
      <w:color w:val="195F70" w:themeColor="accent1" w:themeShade="BF"/>
    </w:rPr>
  </w:style>
  <w:style w:type="paragraph" w:styleId="Heading6">
    <w:name w:val="heading 6"/>
    <w:basedOn w:val="Normal"/>
    <w:next w:val="Normal"/>
    <w:link w:val="Heading6Char"/>
    <w:semiHidden/>
    <w:qFormat/>
    <w:rsid w:val="00BE5EB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semiHidden/>
    <w:qFormat/>
    <w:rsid w:val="00BE5EB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semiHidden/>
    <w:qFormat/>
    <w:rsid w:val="00BE5EB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semiHidden/>
    <w:qFormat/>
    <w:rsid w:val="00BE5EB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Numbered">
    <w:name w:val="Paragraph Numbered"/>
    <w:basedOn w:val="Normal"/>
    <w:uiPriority w:val="4"/>
    <w:qFormat/>
    <w:rsid w:val="00624140"/>
    <w:pPr>
      <w:numPr>
        <w:numId w:val="20"/>
      </w:numPr>
      <w:tabs>
        <w:tab w:val="left" w:pos="426"/>
      </w:tabs>
      <w:spacing w:after="240" w:line="360" w:lineRule="auto"/>
      <w:ind w:left="425" w:hanging="425"/>
    </w:pPr>
    <w:rPr>
      <w:rFonts w:ascii="Arial" w:hAnsi="Arial"/>
      <w:lang w:eastAsia="en-US"/>
    </w:rPr>
  </w:style>
  <w:style w:type="paragraph" w:styleId="Title">
    <w:name w:val="Title"/>
    <w:basedOn w:val="Normal"/>
    <w:next w:val="Heading1"/>
    <w:link w:val="TitleChar"/>
    <w:qFormat/>
    <w:rsid w:val="00696C0A"/>
    <w:pPr>
      <w:spacing w:before="240" w:after="240"/>
      <w:jc w:val="center"/>
      <w:outlineLvl w:val="0"/>
    </w:pPr>
    <w:rPr>
      <w:rFonts w:ascii="Arial" w:hAnsi="Arial"/>
      <w:b/>
      <w:bCs/>
      <w:kern w:val="28"/>
      <w:sz w:val="40"/>
      <w:szCs w:val="32"/>
    </w:rPr>
  </w:style>
  <w:style w:type="character" w:customStyle="1" w:styleId="TitleChar">
    <w:name w:val="Title Char"/>
    <w:basedOn w:val="DefaultParagraphFont"/>
    <w:link w:val="Title"/>
    <w:rsid w:val="00696C0A"/>
    <w:rPr>
      <w:rFonts w:ascii="Arial" w:hAnsi="Arial"/>
      <w:b/>
      <w:bCs/>
      <w:kern w:val="28"/>
      <w:sz w:val="40"/>
      <w:szCs w:val="32"/>
    </w:rPr>
  </w:style>
  <w:style w:type="character" w:customStyle="1" w:styleId="Heading1Char">
    <w:name w:val="Heading 1 Char"/>
    <w:link w:val="Heading1"/>
    <w:rsid w:val="00833D8A"/>
    <w:rPr>
      <w:rFonts w:ascii="Arial" w:hAnsi="Arial" w:cs="Arial"/>
      <w:b/>
      <w:bCs/>
      <w:kern w:val="32"/>
      <w:sz w:val="32"/>
      <w:szCs w:val="32"/>
      <w:lang w:eastAsia="en-US"/>
    </w:rPr>
  </w:style>
  <w:style w:type="paragraph" w:customStyle="1" w:styleId="Bullets">
    <w:name w:val="Bullets"/>
    <w:basedOn w:val="Normal"/>
    <w:uiPriority w:val="5"/>
    <w:qFormat/>
    <w:rsid w:val="00C85682"/>
    <w:pPr>
      <w:numPr>
        <w:numId w:val="21"/>
      </w:numPr>
      <w:tabs>
        <w:tab w:val="left" w:pos="993"/>
      </w:tabs>
      <w:spacing w:line="360" w:lineRule="auto"/>
      <w:ind w:left="993" w:hanging="426"/>
    </w:pPr>
    <w:rPr>
      <w:rFonts w:ascii="Arial" w:hAnsi="Arial"/>
      <w:lang w:eastAsia="en-US"/>
    </w:rPr>
  </w:style>
  <w:style w:type="paragraph" w:styleId="Header">
    <w:name w:val="header"/>
    <w:basedOn w:val="Normal"/>
    <w:link w:val="HeaderChar"/>
    <w:uiPriority w:val="99"/>
    <w:semiHidden/>
    <w:rsid w:val="0017169E"/>
    <w:pPr>
      <w:tabs>
        <w:tab w:val="center" w:pos="4513"/>
        <w:tab w:val="right" w:pos="9026"/>
      </w:tabs>
    </w:pPr>
    <w:rPr>
      <w:rFonts w:ascii="Arial" w:hAnsi="Arial"/>
    </w:rPr>
  </w:style>
  <w:style w:type="character" w:customStyle="1" w:styleId="HeaderChar">
    <w:name w:val="Header Char"/>
    <w:basedOn w:val="DefaultParagraphFont"/>
    <w:link w:val="Header"/>
    <w:uiPriority w:val="99"/>
    <w:semiHidden/>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rFonts w:ascii="Arial" w:hAnsi="Arial"/>
      <w:sz w:val="20"/>
    </w:rPr>
  </w:style>
  <w:style w:type="character" w:customStyle="1" w:styleId="FooterChar">
    <w:name w:val="Footer Char"/>
    <w:basedOn w:val="DefaultParagraphFont"/>
    <w:link w:val="Footer"/>
    <w:uiPriority w:val="99"/>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basedOn w:val="DefaultParagraphFont"/>
    <w:link w:val="BalloonText"/>
    <w:semiHidden/>
    <w:rsid w:val="00446BEE"/>
    <w:rPr>
      <w:rFonts w:ascii="Tahoma" w:hAnsi="Tahoma" w:cs="Tahoma"/>
      <w:sz w:val="16"/>
      <w:szCs w:val="16"/>
    </w:rPr>
  </w:style>
  <w:style w:type="character" w:customStyle="1" w:styleId="Heading2Char">
    <w:name w:val="Heading 2 Char"/>
    <w:link w:val="Heading2"/>
    <w:rsid w:val="00C77C66"/>
    <w:rPr>
      <w:rFonts w:ascii="Arial" w:hAnsi="Arial" w:cs="Arial"/>
      <w:b/>
      <w:bCs/>
      <w:color w:val="228096"/>
      <w:sz w:val="28"/>
      <w:szCs w:val="28"/>
      <w:lang w:eastAsia="en-US"/>
    </w:rPr>
  </w:style>
  <w:style w:type="character" w:customStyle="1" w:styleId="Heading3Char">
    <w:name w:val="Heading 3 Char"/>
    <w:basedOn w:val="DefaultParagraphFont"/>
    <w:link w:val="Heading3"/>
    <w:rsid w:val="00E851C4"/>
    <w:rPr>
      <w:rFonts w:ascii="Arial" w:hAnsi="Arial" w:cs="Arial"/>
      <w:b/>
      <w:bCs/>
      <w:sz w:val="26"/>
      <w:szCs w:val="24"/>
      <w:lang w:eastAsia="en-US"/>
    </w:rPr>
  </w:style>
  <w:style w:type="paragraph" w:customStyle="1" w:styleId="Subbullets">
    <w:name w:val="Sub bullets"/>
    <w:basedOn w:val="Normal"/>
    <w:uiPriority w:val="6"/>
    <w:qFormat/>
    <w:rsid w:val="00C85682"/>
    <w:pPr>
      <w:numPr>
        <w:numId w:val="22"/>
      </w:numPr>
      <w:tabs>
        <w:tab w:val="left" w:pos="1276"/>
      </w:tabs>
      <w:spacing w:line="360" w:lineRule="auto"/>
      <w:ind w:left="1276" w:hanging="312"/>
    </w:pPr>
    <w:rPr>
      <w:rFonts w:ascii="Arial" w:hAnsi="Arial"/>
    </w:rPr>
  </w:style>
  <w:style w:type="paragraph" w:customStyle="1" w:styleId="Paragraph">
    <w:name w:val="Paragraph"/>
    <w:basedOn w:val="Normal"/>
    <w:uiPriority w:val="99"/>
    <w:qFormat/>
    <w:rsid w:val="00624140"/>
    <w:pPr>
      <w:spacing w:after="240" w:line="360" w:lineRule="auto"/>
    </w:pPr>
    <w:rPr>
      <w:rFonts w:ascii="Arial" w:hAnsi="Arial"/>
      <w:lang w:eastAsia="en-US"/>
    </w:rPr>
  </w:style>
  <w:style w:type="paragraph" w:styleId="TOC1">
    <w:name w:val="toc 1"/>
    <w:basedOn w:val="Normal"/>
    <w:next w:val="Normal"/>
    <w:autoRedefine/>
    <w:uiPriority w:val="39"/>
    <w:rsid w:val="003F0A04"/>
    <w:pPr>
      <w:spacing w:line="360" w:lineRule="auto"/>
    </w:pPr>
    <w:rPr>
      <w:rFonts w:ascii="Arial" w:hAnsi="Arial"/>
    </w:rPr>
  </w:style>
  <w:style w:type="paragraph" w:styleId="TOC2">
    <w:name w:val="toc 2"/>
    <w:basedOn w:val="Normal"/>
    <w:next w:val="Normal"/>
    <w:autoRedefine/>
    <w:uiPriority w:val="39"/>
    <w:rsid w:val="003F0A04"/>
    <w:pPr>
      <w:spacing w:line="360" w:lineRule="auto"/>
      <w:ind w:left="240"/>
    </w:pPr>
    <w:rPr>
      <w:rFonts w:ascii="Arial" w:hAnsi="Arial"/>
    </w:rPr>
  </w:style>
  <w:style w:type="paragraph" w:styleId="TOC3">
    <w:name w:val="toc 3"/>
    <w:basedOn w:val="Normal"/>
    <w:next w:val="Normal"/>
    <w:autoRedefine/>
    <w:uiPriority w:val="39"/>
    <w:rsid w:val="003F0A04"/>
    <w:pPr>
      <w:tabs>
        <w:tab w:val="right" w:leader="dot" w:pos="8296"/>
      </w:tabs>
      <w:spacing w:line="360" w:lineRule="auto"/>
      <w:ind w:left="480"/>
    </w:pPr>
    <w:rPr>
      <w:rFonts w:ascii="Arial" w:hAnsi="Arial"/>
      <w:noProof/>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character" w:customStyle="1" w:styleId="Heading4Char">
    <w:name w:val="Heading 4 Char"/>
    <w:basedOn w:val="DefaultParagraphFont"/>
    <w:link w:val="Heading4"/>
    <w:rsid w:val="00C77C66"/>
    <w:rPr>
      <w:rFonts w:ascii="Arial" w:hAnsi="Arial"/>
      <w:b/>
      <w:bCs/>
      <w:iCs/>
      <w:color w:val="228096"/>
      <w:sz w:val="24"/>
      <w:szCs w:val="28"/>
      <w:lang w:eastAsia="en-US"/>
    </w:rPr>
  </w:style>
  <w:style w:type="paragraph" w:styleId="Caption">
    <w:name w:val="caption"/>
    <w:basedOn w:val="Normal"/>
    <w:next w:val="Normal"/>
    <w:unhideWhenUsed/>
    <w:qFormat/>
    <w:rsid w:val="00BC184B"/>
    <w:pPr>
      <w:keepNext/>
      <w:spacing w:before="240" w:after="200" w:line="360" w:lineRule="auto"/>
    </w:pPr>
    <w:rPr>
      <w:rFonts w:ascii="Arial" w:hAnsi="Arial"/>
      <w:b/>
      <w:iCs/>
      <w:szCs w:val="18"/>
      <w:lang w:eastAsia="en-US"/>
    </w:rPr>
  </w:style>
  <w:style w:type="character" w:styleId="Hyperlink">
    <w:name w:val="Hyperlink"/>
    <w:basedOn w:val="DefaultParagraphFont"/>
    <w:uiPriority w:val="99"/>
    <w:unhideWhenUsed/>
    <w:rsid w:val="00833D8A"/>
    <w:rPr>
      <w:color w:val="0000FF" w:themeColor="hyperlink"/>
      <w:u w:val="single"/>
    </w:rPr>
  </w:style>
  <w:style w:type="table" w:customStyle="1" w:styleId="PanelDefault">
    <w:name w:val="Panel (Default)"/>
    <w:basedOn w:val="TableNormal"/>
    <w:uiPriority w:val="99"/>
    <w:rsid w:val="00833D8A"/>
    <w:pPr>
      <w:spacing w:after="360"/>
    </w:pPr>
    <w:tblPr>
      <w:tblBorders>
        <w:top w:val="single" w:sz="4" w:space="0" w:color="auto"/>
        <w:left w:val="single" w:sz="4" w:space="0" w:color="auto"/>
        <w:bottom w:val="single" w:sz="4" w:space="0" w:color="auto"/>
        <w:right w:val="single" w:sz="4" w:space="0" w:color="auto"/>
      </w:tblBorders>
    </w:tblPr>
    <w:tcPr>
      <w:shd w:val="clear" w:color="auto" w:fill="BFBFBF" w:themeFill="background1" w:themeFillShade="BF"/>
    </w:tcPr>
  </w:style>
  <w:style w:type="table" w:customStyle="1" w:styleId="PanelImpact">
    <w:name w:val="Panel (Impact)"/>
    <w:basedOn w:val="TableNormal"/>
    <w:uiPriority w:val="99"/>
    <w:rsid w:val="0097305A"/>
    <w:rPr>
      <w:color w:val="FFFFFF"/>
    </w:rPr>
    <w:tblPr>
      <w:tblBorders>
        <w:top w:val="single" w:sz="8" w:space="0" w:color="314C60"/>
        <w:left w:val="single" w:sz="8" w:space="0" w:color="314C60"/>
        <w:bottom w:val="single" w:sz="8" w:space="0" w:color="314C60"/>
        <w:right w:val="single" w:sz="8" w:space="0" w:color="314C60"/>
      </w:tblBorders>
    </w:tblPr>
    <w:tcPr>
      <w:shd w:val="clear" w:color="auto" w:fill="00436C"/>
    </w:tcPr>
  </w:style>
  <w:style w:type="table" w:customStyle="1" w:styleId="PanelPrimary">
    <w:name w:val="Panel (Primary)"/>
    <w:basedOn w:val="TableNormal"/>
    <w:uiPriority w:val="99"/>
    <w:rsid w:val="00C77C66"/>
    <w:pPr>
      <w:spacing w:after="240"/>
    </w:pPr>
    <w:tblPr>
      <w:tblBorders>
        <w:top w:val="single" w:sz="24" w:space="0" w:color="91C0CB"/>
        <w:left w:val="single" w:sz="24" w:space="0" w:color="91C0CB"/>
        <w:bottom w:val="single" w:sz="24" w:space="0" w:color="91C0CB"/>
        <w:right w:val="single" w:sz="24" w:space="0" w:color="91C0CB"/>
      </w:tblBorders>
    </w:tblPr>
  </w:style>
  <w:style w:type="paragraph" w:customStyle="1" w:styleId="Tabletext">
    <w:name w:val="Table text"/>
    <w:basedOn w:val="Normal"/>
    <w:rsid w:val="006709A9"/>
    <w:pPr>
      <w:spacing w:before="60" w:after="80"/>
    </w:pPr>
    <w:rPr>
      <w:rFonts w:ascii="Arial" w:hAnsi="Arial"/>
      <w:sz w:val="22"/>
      <w:lang w:eastAsia="en-US"/>
    </w:rPr>
  </w:style>
  <w:style w:type="paragraph" w:customStyle="1" w:styleId="Tablebullet">
    <w:name w:val="Table bullet"/>
    <w:basedOn w:val="Tabletext"/>
    <w:qFormat/>
    <w:rsid w:val="00833D8A"/>
    <w:pPr>
      <w:numPr>
        <w:numId w:val="23"/>
      </w:numPr>
    </w:pPr>
  </w:style>
  <w:style w:type="table" w:styleId="TableGrid">
    <w:name w:val="Table Grid"/>
    <w:basedOn w:val="TableNormal"/>
    <w:rsid w:val="00833D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Tabletext"/>
    <w:qFormat/>
    <w:rsid w:val="00833D8A"/>
    <w:rPr>
      <w:b/>
    </w:rPr>
  </w:style>
  <w:style w:type="table" w:styleId="TableGridLight">
    <w:name w:val="Grid Table Light"/>
    <w:basedOn w:val="TableNormal"/>
    <w:uiPriority w:val="40"/>
    <w:rsid w:val="00833D8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
    <w:name w:val="Numbered list"/>
    <w:basedOn w:val="Bullets"/>
    <w:qFormat/>
    <w:rsid w:val="00C85682"/>
    <w:pPr>
      <w:numPr>
        <w:numId w:val="24"/>
      </w:numPr>
      <w:ind w:left="993" w:hanging="426"/>
    </w:pPr>
  </w:style>
  <w:style w:type="paragraph" w:customStyle="1" w:styleId="Panelwhitetext">
    <w:name w:val="Panel white text"/>
    <w:basedOn w:val="Paragraph"/>
    <w:qFormat/>
    <w:rsid w:val="00D1699D"/>
    <w:rPr>
      <w:b/>
      <w:color w:val="FFFFFF"/>
    </w:rPr>
  </w:style>
  <w:style w:type="paragraph" w:customStyle="1" w:styleId="Title2">
    <w:name w:val="Title 2"/>
    <w:basedOn w:val="Title"/>
    <w:qFormat/>
    <w:rsid w:val="00157BBE"/>
    <w:rPr>
      <w:color w:val="228096" w:themeColor="accent1"/>
      <w:sz w:val="32"/>
    </w:rPr>
  </w:style>
  <w:style w:type="paragraph" w:customStyle="1" w:styleId="Paragraphindent">
    <w:name w:val="Paragraph indent"/>
    <w:basedOn w:val="Paragraph"/>
    <w:next w:val="Paragraph"/>
    <w:qFormat/>
    <w:rsid w:val="001A6635"/>
    <w:pPr>
      <w:tabs>
        <w:tab w:val="left" w:pos="567"/>
      </w:tabs>
      <w:ind w:left="567"/>
    </w:pPr>
  </w:style>
  <w:style w:type="paragraph" w:styleId="TOCHeading">
    <w:name w:val="TOC Heading"/>
    <w:basedOn w:val="Heading1"/>
    <w:next w:val="Normal"/>
    <w:uiPriority w:val="39"/>
    <w:unhideWhenUsed/>
    <w:qFormat/>
    <w:rsid w:val="008E7826"/>
    <w:pPr>
      <w:keepLines/>
      <w:spacing w:after="0" w:line="259" w:lineRule="auto"/>
      <w:outlineLvl w:val="9"/>
    </w:pPr>
    <w:rPr>
      <w:rFonts w:eastAsiaTheme="majorEastAsia" w:cstheme="majorBidi"/>
      <w:bCs w:val="0"/>
      <w:kern w:val="0"/>
      <w:lang w:val="en-US"/>
    </w:rPr>
  </w:style>
  <w:style w:type="paragraph" w:customStyle="1" w:styleId="Pullquote">
    <w:name w:val="Pull quote"/>
    <w:basedOn w:val="Paragraph"/>
    <w:qFormat/>
    <w:rsid w:val="00C77C66"/>
    <w:pPr>
      <w:jc w:val="center"/>
    </w:pPr>
    <w:rPr>
      <w:b/>
      <w:color w:val="228096"/>
      <w:sz w:val="26"/>
      <w:szCs w:val="26"/>
    </w:rPr>
  </w:style>
  <w:style w:type="character" w:styleId="CommentReference">
    <w:name w:val="annotation reference"/>
    <w:basedOn w:val="DefaultParagraphFont"/>
    <w:semiHidden/>
    <w:rsid w:val="003F0A04"/>
    <w:rPr>
      <w:sz w:val="16"/>
      <w:szCs w:val="16"/>
    </w:rPr>
  </w:style>
  <w:style w:type="paragraph" w:styleId="CommentText">
    <w:name w:val="annotation text"/>
    <w:basedOn w:val="Normal"/>
    <w:link w:val="CommentTextChar"/>
    <w:semiHidden/>
    <w:rsid w:val="003F0A04"/>
    <w:rPr>
      <w:sz w:val="20"/>
      <w:szCs w:val="20"/>
    </w:rPr>
  </w:style>
  <w:style w:type="character" w:customStyle="1" w:styleId="CommentTextChar">
    <w:name w:val="Comment Text Char"/>
    <w:basedOn w:val="DefaultParagraphFont"/>
    <w:link w:val="CommentText"/>
    <w:semiHidden/>
    <w:rsid w:val="003F0A04"/>
  </w:style>
  <w:style w:type="paragraph" w:styleId="CommentSubject">
    <w:name w:val="annotation subject"/>
    <w:basedOn w:val="CommentText"/>
    <w:next w:val="CommentText"/>
    <w:link w:val="CommentSubjectChar"/>
    <w:semiHidden/>
    <w:rsid w:val="003F0A04"/>
    <w:rPr>
      <w:b/>
      <w:bCs/>
    </w:rPr>
  </w:style>
  <w:style w:type="character" w:customStyle="1" w:styleId="CommentSubjectChar">
    <w:name w:val="Comment Subject Char"/>
    <w:basedOn w:val="CommentTextChar"/>
    <w:link w:val="CommentSubject"/>
    <w:semiHidden/>
    <w:rsid w:val="003F0A04"/>
    <w:rPr>
      <w:b/>
      <w:bCs/>
    </w:rPr>
  </w:style>
  <w:style w:type="character" w:customStyle="1" w:styleId="StyleCommentReference">
    <w:name w:val="Style Comment Reference +"/>
    <w:basedOn w:val="CommentReference"/>
    <w:rsid w:val="003F0A04"/>
    <w:rPr>
      <w:rFonts w:ascii="Arial" w:hAnsi="Arial"/>
      <w:b/>
      <w:sz w:val="44"/>
      <w:szCs w:val="16"/>
    </w:rPr>
  </w:style>
  <w:style w:type="character" w:customStyle="1" w:styleId="Heading5Char">
    <w:name w:val="Heading 5 Char"/>
    <w:basedOn w:val="DefaultParagraphFont"/>
    <w:link w:val="Heading5"/>
    <w:semiHidden/>
    <w:rsid w:val="00BE5EB4"/>
    <w:rPr>
      <w:rFonts w:asciiTheme="minorHAnsi" w:eastAsiaTheme="majorEastAsia" w:hAnsiTheme="minorHAnsi" w:cstheme="majorBidi"/>
      <w:color w:val="195F70" w:themeColor="accent1" w:themeShade="BF"/>
      <w:sz w:val="24"/>
      <w:szCs w:val="24"/>
    </w:rPr>
  </w:style>
  <w:style w:type="character" w:customStyle="1" w:styleId="Heading6Char">
    <w:name w:val="Heading 6 Char"/>
    <w:basedOn w:val="DefaultParagraphFont"/>
    <w:link w:val="Heading6"/>
    <w:semiHidden/>
    <w:rsid w:val="00BE5EB4"/>
    <w:rPr>
      <w:rFonts w:asciiTheme="minorHAnsi" w:eastAsiaTheme="majorEastAsia" w:hAnsiTheme="minorHAnsi" w:cstheme="majorBidi"/>
      <w:i/>
      <w:iCs/>
      <w:color w:val="595959" w:themeColor="text1" w:themeTint="A6"/>
      <w:sz w:val="24"/>
      <w:szCs w:val="24"/>
    </w:rPr>
  </w:style>
  <w:style w:type="character" w:customStyle="1" w:styleId="Heading7Char">
    <w:name w:val="Heading 7 Char"/>
    <w:basedOn w:val="DefaultParagraphFont"/>
    <w:link w:val="Heading7"/>
    <w:semiHidden/>
    <w:rsid w:val="00BE5EB4"/>
    <w:rPr>
      <w:rFonts w:asciiTheme="minorHAnsi" w:eastAsiaTheme="majorEastAsia" w:hAnsiTheme="minorHAnsi" w:cstheme="majorBidi"/>
      <w:color w:val="595959" w:themeColor="text1" w:themeTint="A6"/>
      <w:sz w:val="24"/>
      <w:szCs w:val="24"/>
    </w:rPr>
  </w:style>
  <w:style w:type="character" w:customStyle="1" w:styleId="Heading8Char">
    <w:name w:val="Heading 8 Char"/>
    <w:basedOn w:val="DefaultParagraphFont"/>
    <w:link w:val="Heading8"/>
    <w:semiHidden/>
    <w:rsid w:val="00BE5EB4"/>
    <w:rPr>
      <w:rFonts w:asciiTheme="minorHAnsi" w:eastAsiaTheme="majorEastAsia" w:hAnsiTheme="minorHAnsi" w:cstheme="majorBidi"/>
      <w:i/>
      <w:iCs/>
      <w:color w:val="272727" w:themeColor="text1" w:themeTint="D8"/>
      <w:sz w:val="24"/>
      <w:szCs w:val="24"/>
    </w:rPr>
  </w:style>
  <w:style w:type="character" w:customStyle="1" w:styleId="Heading9Char">
    <w:name w:val="Heading 9 Char"/>
    <w:basedOn w:val="DefaultParagraphFont"/>
    <w:link w:val="Heading9"/>
    <w:semiHidden/>
    <w:rsid w:val="00BE5EB4"/>
    <w:rPr>
      <w:rFonts w:asciiTheme="minorHAnsi" w:eastAsiaTheme="majorEastAsia" w:hAnsiTheme="minorHAnsi" w:cstheme="majorBidi"/>
      <w:color w:val="272727" w:themeColor="text1" w:themeTint="D8"/>
      <w:sz w:val="24"/>
      <w:szCs w:val="24"/>
    </w:rPr>
  </w:style>
  <w:style w:type="paragraph" w:styleId="Subtitle">
    <w:name w:val="Subtitle"/>
    <w:basedOn w:val="Normal"/>
    <w:next w:val="Normal"/>
    <w:link w:val="SubtitleChar"/>
    <w:semiHidden/>
    <w:qFormat/>
    <w:rsid w:val="00BE5EB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semiHidden/>
    <w:rsid w:val="00BE5EB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semiHidden/>
    <w:qFormat/>
    <w:rsid w:val="00BE5EB4"/>
    <w:pPr>
      <w:spacing w:before="160" w:after="160"/>
      <w:jc w:val="center"/>
    </w:pPr>
    <w:rPr>
      <w:i/>
      <w:iCs/>
      <w:color w:val="404040" w:themeColor="text1" w:themeTint="BF"/>
    </w:rPr>
  </w:style>
  <w:style w:type="character" w:customStyle="1" w:styleId="QuoteChar">
    <w:name w:val="Quote Char"/>
    <w:basedOn w:val="DefaultParagraphFont"/>
    <w:link w:val="Quote"/>
    <w:uiPriority w:val="29"/>
    <w:semiHidden/>
    <w:rsid w:val="00BE5EB4"/>
    <w:rPr>
      <w:i/>
      <w:iCs/>
      <w:color w:val="404040" w:themeColor="text1" w:themeTint="BF"/>
      <w:sz w:val="24"/>
      <w:szCs w:val="24"/>
    </w:rPr>
  </w:style>
  <w:style w:type="paragraph" w:styleId="ListParagraph">
    <w:name w:val="List Paragraph"/>
    <w:basedOn w:val="Normal"/>
    <w:uiPriority w:val="34"/>
    <w:semiHidden/>
    <w:qFormat/>
    <w:rsid w:val="00BE5EB4"/>
    <w:pPr>
      <w:ind w:left="720"/>
      <w:contextualSpacing/>
    </w:pPr>
  </w:style>
  <w:style w:type="character" w:styleId="IntenseEmphasis">
    <w:name w:val="Intense Emphasis"/>
    <w:basedOn w:val="DefaultParagraphFont"/>
    <w:uiPriority w:val="21"/>
    <w:semiHidden/>
    <w:qFormat/>
    <w:rsid w:val="00BE5EB4"/>
    <w:rPr>
      <w:i/>
      <w:iCs/>
      <w:color w:val="195F70" w:themeColor="accent1" w:themeShade="BF"/>
    </w:rPr>
  </w:style>
  <w:style w:type="paragraph" w:styleId="IntenseQuote">
    <w:name w:val="Intense Quote"/>
    <w:basedOn w:val="Normal"/>
    <w:next w:val="Normal"/>
    <w:link w:val="IntenseQuoteChar"/>
    <w:uiPriority w:val="30"/>
    <w:semiHidden/>
    <w:qFormat/>
    <w:rsid w:val="00BE5EB4"/>
    <w:pPr>
      <w:pBdr>
        <w:top w:val="single" w:sz="4" w:space="10" w:color="195F70" w:themeColor="accent1" w:themeShade="BF"/>
        <w:bottom w:val="single" w:sz="4" w:space="10" w:color="195F70" w:themeColor="accent1" w:themeShade="BF"/>
      </w:pBdr>
      <w:spacing w:before="360" w:after="360"/>
      <w:ind w:left="864" w:right="864"/>
      <w:jc w:val="center"/>
    </w:pPr>
    <w:rPr>
      <w:i/>
      <w:iCs/>
      <w:color w:val="195F70" w:themeColor="accent1" w:themeShade="BF"/>
    </w:rPr>
  </w:style>
  <w:style w:type="character" w:customStyle="1" w:styleId="IntenseQuoteChar">
    <w:name w:val="Intense Quote Char"/>
    <w:basedOn w:val="DefaultParagraphFont"/>
    <w:link w:val="IntenseQuote"/>
    <w:uiPriority w:val="30"/>
    <w:semiHidden/>
    <w:rsid w:val="00BE5EB4"/>
    <w:rPr>
      <w:i/>
      <w:iCs/>
      <w:color w:val="195F70" w:themeColor="accent1" w:themeShade="BF"/>
      <w:sz w:val="24"/>
      <w:szCs w:val="24"/>
    </w:rPr>
  </w:style>
  <w:style w:type="character" w:styleId="IntenseReference">
    <w:name w:val="Intense Reference"/>
    <w:basedOn w:val="DefaultParagraphFont"/>
    <w:uiPriority w:val="32"/>
    <w:semiHidden/>
    <w:qFormat/>
    <w:rsid w:val="00BE5EB4"/>
    <w:rPr>
      <w:b/>
      <w:bCs/>
      <w:smallCaps/>
      <w:color w:val="195F70" w:themeColor="accent1" w:themeShade="BF"/>
      <w:spacing w:val="5"/>
    </w:rPr>
  </w:style>
  <w:style w:type="paragraph" w:styleId="Revision">
    <w:name w:val="Revision"/>
    <w:hidden/>
    <w:uiPriority w:val="99"/>
    <w:semiHidden/>
    <w:rsid w:val="00A722A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NICEbrandtheme">
  <a:themeElements>
    <a:clrScheme name="NICE brand colours">
      <a:dk1>
        <a:srgbClr val="000000"/>
      </a:dk1>
      <a:lt1>
        <a:srgbClr val="FFFFFF"/>
      </a:lt1>
      <a:dk2>
        <a:srgbClr val="00436C"/>
      </a:dk2>
      <a:lt2>
        <a:srgbClr val="F7F3F1"/>
      </a:lt2>
      <a:accent1>
        <a:srgbClr val="228096"/>
      </a:accent1>
      <a:accent2>
        <a:srgbClr val="00436C"/>
      </a:accent2>
      <a:accent3>
        <a:srgbClr val="EAD054"/>
      </a:accent3>
      <a:accent4>
        <a:srgbClr val="EDD8CD"/>
      </a:accent4>
      <a:accent5>
        <a:srgbClr val="37916D"/>
      </a:accent5>
      <a:accent6>
        <a:srgbClr val="D07B4C"/>
      </a:accent6>
      <a:hlink>
        <a:srgbClr val="0000FF"/>
      </a:hlink>
      <a:folHlink>
        <a:srgbClr val="00436C"/>
      </a:folHlink>
    </a:clrScheme>
    <a:fontScheme name="NICE corporate fonts">
      <a:majorFont>
        <a:latin typeface="Lora SemiBold"/>
        <a:ea typeface=""/>
        <a:cs typeface=""/>
      </a:majorFont>
      <a:minorFont>
        <a:latin typeface="Inte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BLANK">
      <a:srgbClr val="FFFFFF"/>
    </a:custClr>
    <a:custClr name="Black 100%">
      <a:srgbClr val="000000"/>
    </a:custClr>
    <a:custClr name="Soft cream 100%">
      <a:srgbClr val="DED5CA"/>
    </a:custClr>
    <a:custClr name="BLANK">
      <a:srgbClr val="FFFFFF"/>
    </a:custClr>
    <a:custClr name="Bold teal 100%">
      <a:srgbClr val="228096"/>
    </a:custClr>
    <a:custClr name="Deep blue 100%">
      <a:srgbClr val="00436C"/>
    </a:custClr>
    <a:custClr name="Positive yellow 100%">
      <a:srgbClr val="EAD054"/>
    </a:custClr>
    <a:custClr name="Warm pink 100%">
      <a:srgbClr val="EDD8CD"/>
    </a:custClr>
    <a:custClr name="Balanced green 100%">
      <a:srgbClr val="37906D"/>
    </a:custClr>
    <a:custClr name="Natural tan 100%">
      <a:srgbClr val="D07B4D"/>
    </a:custClr>
    <a:custClr name="BLANK">
      <a:srgbClr val="FFFFFF"/>
    </a:custClr>
    <a:custClr name="Black 75%">
      <a:srgbClr val="404040"/>
    </a:custClr>
    <a:custClr name="Soft cream 75%">
      <a:srgbClr val="E6E0D7"/>
    </a:custClr>
    <a:custClr name="BLANK">
      <a:srgbClr val="FFFFFF"/>
    </a:custClr>
    <a:custClr name="Bold teal 75%">
      <a:srgbClr val="59A0B0"/>
    </a:custClr>
    <a:custClr name="Deep blue 75%">
      <a:srgbClr val="407291"/>
    </a:custClr>
    <a:custClr name="Positive yellow 75%">
      <a:srgbClr val="EFDC7F"/>
    </a:custClr>
    <a:custClr name="Warm pink 75%">
      <a:srgbClr val="F2E2D9"/>
    </a:custClr>
    <a:custClr name="Balanced green 75%">
      <a:srgbClr val="69AC91"/>
    </a:custClr>
    <a:custClr name="Natural tan 75%">
      <a:srgbClr val="DC9C7A"/>
    </a:custClr>
    <a:custClr name="BLANK">
      <a:srgbClr val="FFFFFF"/>
    </a:custClr>
    <a:custClr name="Black 50%">
      <a:srgbClr val="808080"/>
    </a:custClr>
    <a:custClr name="Soft cream 50%">
      <a:srgbClr val="EEEAE4"/>
    </a:custClr>
    <a:custClr name="BLANK">
      <a:srgbClr val="FFFFFF"/>
    </a:custClr>
    <a:custClr name="Bold teal 50%">
      <a:srgbClr val="91C0CB"/>
    </a:custClr>
    <a:custClr name="Deep blue 50%">
      <a:srgbClr val="80A1B5"/>
    </a:custClr>
    <a:custClr name="Positive yellow 50%">
      <a:srgbClr val="F4E8AA"/>
    </a:custClr>
    <a:custClr name="Warm pink 50%">
      <a:srgbClr val="F6ECE6"/>
    </a:custClr>
    <a:custClr name="Balanced green 50%">
      <a:srgbClr val="9BC8B6"/>
    </a:custClr>
    <a:custClr name="Natural tan 50%">
      <a:srgbClr val="E7BDA6"/>
    </a:custClr>
    <a:custClr name="BLANK">
      <a:srgbClr val="FFFFFF"/>
    </a:custClr>
    <a:custClr name="Black 25%">
      <a:srgbClr val="BFBFBF"/>
    </a:custClr>
    <a:custClr name="Soft cream 25%">
      <a:srgbClr val="F7F4F1"/>
    </a:custClr>
    <a:custClr name="BLANK">
      <a:srgbClr val="FFFFFF"/>
    </a:custClr>
    <a:custClr name="Bold teal 25%">
      <a:srgbClr val="C8E0E6"/>
    </a:custClr>
    <a:custClr name="Deep blue 25%">
      <a:srgbClr val="BFD0DA"/>
    </a:custClr>
    <a:custClr name="Positive yellow 25%">
      <a:srgbClr val="FAF3D4"/>
    </a:custClr>
    <a:custClr name="Warm pink 25%">
      <a:srgbClr val="FBF5F2"/>
    </a:custClr>
    <a:custClr name="Balanced green 25%">
      <a:srgbClr val="CDE3DA"/>
    </a:custClr>
    <a:custClr name="Natural tan 25%">
      <a:srgbClr val="F3DED3"/>
    </a:custClr>
  </a:custClrLst>
  <a:extLst>
    <a:ext uri="{05A4C25C-085E-4340-85A3-A5531E510DB2}">
      <thm15:themeFamily xmlns:thm15="http://schemas.microsoft.com/office/thememl/2012/main" name="NICEbrandtheme" id="{70A84E3F-A4BC-4A98-8AB3-6E7B5E7EEE81}" vid="{E26A7FCB-9D51-409A-8054-7103D09F3D9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FEB742D5E2988439A0FECDECF284312" ma:contentTypeVersion="6" ma:contentTypeDescription="Create a new document." ma:contentTypeScope="" ma:versionID="b04cdf7c05549e4665a6c320dc73ee12">
  <xsd:schema xmlns:xsd="http://www.w3.org/2001/XMLSchema" xmlns:xs="http://www.w3.org/2001/XMLSchema" xmlns:p="http://schemas.microsoft.com/office/2006/metadata/properties" xmlns:ns2="289b8fc0-128f-4d7b-b8ee-34c94b7018e7" xmlns:ns3="35b4e7bb-0a9c-468b-b508-8e83b9d014a1" targetNamespace="http://schemas.microsoft.com/office/2006/metadata/properties" ma:root="true" ma:fieldsID="5aa5fda71fffd7cdfa1ed96c174d13ef" ns2:_="" ns3:_="">
    <xsd:import namespace="289b8fc0-128f-4d7b-b8ee-34c94b7018e7"/>
    <xsd:import namespace="35b4e7bb-0a9c-468b-b508-8e83b9d014a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b8fc0-128f-4d7b-b8ee-34c94b7018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b4e7bb-0a9c-468b-b508-8e83b9d014a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86C0A0-872B-49AA-8242-738BDD1D56E1}">
  <ds:schemaRefs>
    <ds:schemaRef ds:uri="http://schemas.microsoft.com/sharepoint/v3/contenttype/forms"/>
  </ds:schemaRefs>
</ds:datastoreItem>
</file>

<file path=customXml/itemProps2.xml><?xml version="1.0" encoding="utf-8"?>
<ds:datastoreItem xmlns:ds="http://schemas.openxmlformats.org/officeDocument/2006/customXml" ds:itemID="{95FEA7FA-FE4C-43EB-99A6-5308A91EB54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8F9569B-A6D4-4C59-9560-86013A558D6D}">
  <ds:schemaRefs>
    <ds:schemaRef ds:uri="http://schemas.openxmlformats.org/officeDocument/2006/bibliography"/>
  </ds:schemaRefs>
</ds:datastoreItem>
</file>

<file path=customXml/itemProps4.xml><?xml version="1.0" encoding="utf-8"?>
<ds:datastoreItem xmlns:ds="http://schemas.openxmlformats.org/officeDocument/2006/customXml" ds:itemID="{1608DEC3-77B2-41E9-AFD8-3C15EABFD8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9b8fc0-128f-4d7b-b8ee-34c94b7018e7"/>
    <ds:schemaRef ds:uri="35b4e7bb-0a9c-468b-b508-8e83b9d014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1258</Words>
  <Characters>7172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2025-09-02T12:50:00Z</dcterms:created>
  <dcterms:modified xsi:type="dcterms:W3CDTF">2025-09-11T08:43:00Z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2025-09-02T12:50:53Z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e6d88890-24dd-4a2d-97d6-558c265ee4ae</vt:lpwstr>
  </property>
  <property fmtid="{D5CDD505-2E9C-101B-9397-08002B2CF9AE}" pid="8" name="MSIP_Label_c69d85d5-6d9e-4305-a294-1f636ec0f2d6_ContentBits">
    <vt:lpwstr>0</vt:lpwstr>
  </property>
  <property fmtid="{D5CDD505-2E9C-101B-9397-08002B2CF9AE}" pid="9" name="MSIP_Label_c69d85d5-6d9e-4305-a294-1f636ec0f2d6_Tag">
    <vt:lpwstr>10, 3, 0, 1</vt:lpwstr>
  </property>
  <property fmtid="{D5CDD505-2E9C-101B-9397-08002B2CF9AE}" pid="10" name="ContentTypeId">
    <vt:lpwstr>0x010100CFEB742D5E2988439A0FECDECF284312</vt:lpwstr>
  </property>
  <property fmtid="{D5CDD505-2E9C-101B-9397-08002B2CF9AE}" pid="11" name="MSIP_Label_54678ddc-88e6-45fa-b88f-819f911892da_Enabled">
    <vt:lpwstr>true</vt:lpwstr>
  </property>
  <property fmtid="{D5CDD505-2E9C-101B-9397-08002B2CF9AE}" pid="12" name="MSIP_Label_54678ddc-88e6-45fa-b88f-819f911892da_SetDate">
    <vt:lpwstr>2025-09-10T16:38:13Z</vt:lpwstr>
  </property>
  <property fmtid="{D5CDD505-2E9C-101B-9397-08002B2CF9AE}" pid="13" name="MSIP_Label_54678ddc-88e6-45fa-b88f-819f911892da_Method">
    <vt:lpwstr>Privileged</vt:lpwstr>
  </property>
  <property fmtid="{D5CDD505-2E9C-101B-9397-08002B2CF9AE}" pid="14" name="MSIP_Label_54678ddc-88e6-45fa-b88f-819f911892da_Name">
    <vt:lpwstr>PUBLIC</vt:lpwstr>
  </property>
  <property fmtid="{D5CDD505-2E9C-101B-9397-08002B2CF9AE}" pid="15" name="MSIP_Label_54678ddc-88e6-45fa-b88f-819f911892da_SiteId">
    <vt:lpwstr>6030f479-b342-472d-a5dd-740ff7538de9</vt:lpwstr>
  </property>
  <property fmtid="{D5CDD505-2E9C-101B-9397-08002B2CF9AE}" pid="16" name="MSIP_Label_54678ddc-88e6-45fa-b88f-819f911892da_ActionId">
    <vt:lpwstr>8be9fb35-b17a-470f-bc2f-5c973f000f85</vt:lpwstr>
  </property>
  <property fmtid="{D5CDD505-2E9C-101B-9397-08002B2CF9AE}" pid="17" name="MSIP_Label_54678ddc-88e6-45fa-b88f-819f911892da_ContentBits">
    <vt:lpwstr>0</vt:lpwstr>
  </property>
  <property fmtid="{D5CDD505-2E9C-101B-9397-08002B2CF9AE}" pid="18" name="MSIP_Label_54678ddc-88e6-45fa-b88f-819f911892da_Tag">
    <vt:lpwstr>10, 0, 1, 1</vt:lpwstr>
  </property>
</Properties>
</file>