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4206" w14:textId="31F2BD05" w:rsidR="003F36DF" w:rsidRPr="00F1119D" w:rsidRDefault="2704E292" w:rsidP="08F5C78A">
      <w:pPr>
        <w:pStyle w:val="Heading1"/>
        <w:jc w:val="center"/>
        <w:rPr>
          <w:sz w:val="44"/>
          <w:szCs w:val="44"/>
        </w:rPr>
      </w:pPr>
      <w:bookmarkStart w:id="0" w:name="_Toc210195400"/>
      <w:r w:rsidRPr="08F5C78A">
        <w:rPr>
          <w:sz w:val="44"/>
          <w:szCs w:val="44"/>
        </w:rPr>
        <w:t>EXPLORATORY PROJECT REPORT</w:t>
      </w:r>
      <w:bookmarkEnd w:id="0"/>
    </w:p>
    <w:p w14:paraId="639B2EA4" w14:textId="0A733421" w:rsidR="007400D7" w:rsidRPr="00F1119D" w:rsidRDefault="000B781A" w:rsidP="00F93F21">
      <w:pPr>
        <w:pStyle w:val="Title1"/>
        <w:rPr>
          <w:lang w:eastAsia="en-GB"/>
        </w:rPr>
      </w:pPr>
      <w:bookmarkStart w:id="1" w:name="_Toc177990550"/>
      <w:bookmarkStart w:id="2" w:name="_Toc177994673"/>
      <w:bookmarkStart w:id="3" w:name="_Toc177995078"/>
      <w:bookmarkStart w:id="4" w:name="_Toc210195401"/>
      <w:r w:rsidRPr="00F1119D">
        <w:rPr>
          <w:lang w:eastAsia="en-GB"/>
        </w:rPr>
        <w:t xml:space="preserve">Individualised therapies and platform technologies: </w:t>
      </w:r>
      <w:r w:rsidR="004B5C0D">
        <w:rPr>
          <w:lang w:eastAsia="en-GB"/>
        </w:rPr>
        <w:t>e</w:t>
      </w:r>
      <w:r w:rsidRPr="00F1119D">
        <w:rPr>
          <w:lang w:eastAsia="en-GB"/>
        </w:rPr>
        <w:t>xploring methodological challenges for NICE</w:t>
      </w:r>
      <w:bookmarkEnd w:id="1"/>
      <w:bookmarkEnd w:id="2"/>
      <w:bookmarkEnd w:id="3"/>
      <w:bookmarkEnd w:id="4"/>
    </w:p>
    <w:p w14:paraId="7CDDDC36" w14:textId="2AF9FA72" w:rsidR="00FD0DD2" w:rsidRPr="00F1119D" w:rsidRDefault="00FD0DD2" w:rsidP="00F93F21">
      <w:pPr>
        <w:pStyle w:val="Title1"/>
        <w:rPr>
          <w:lang w:eastAsia="en-GB"/>
        </w:rPr>
      </w:pPr>
      <w:bookmarkStart w:id="5" w:name="_Toc210195402"/>
      <w:r w:rsidRPr="00F1119D">
        <w:rPr>
          <w:lang w:eastAsia="en-GB"/>
        </w:rPr>
        <w:t>Appendix C – Stakeholder engagement</w:t>
      </w:r>
      <w:bookmarkEnd w:id="5"/>
    </w:p>
    <w:p w14:paraId="6F0EB1E7" w14:textId="4F9D5E6D" w:rsidR="006A14A8" w:rsidRPr="00F1119D" w:rsidRDefault="12ADDAF3" w:rsidP="3392959B">
      <w:pPr>
        <w:pStyle w:val="Title1"/>
        <w:rPr>
          <w:sz w:val="32"/>
        </w:rPr>
      </w:pPr>
      <w:bookmarkStart w:id="6" w:name="_Toc177990551"/>
      <w:bookmarkStart w:id="7" w:name="_Toc177994674"/>
      <w:bookmarkStart w:id="8" w:name="_Toc177995079"/>
      <w:bookmarkStart w:id="9" w:name="_Toc210195403"/>
      <w:r w:rsidRPr="00F1119D">
        <w:rPr>
          <w:sz w:val="32"/>
        </w:rPr>
        <w:t>HTA Innovation Laborator</w:t>
      </w:r>
      <w:r w:rsidR="5E261F86" w:rsidRPr="00F1119D">
        <w:rPr>
          <w:sz w:val="32"/>
        </w:rPr>
        <w:t>y</w:t>
      </w:r>
      <w:bookmarkEnd w:id="6"/>
      <w:bookmarkEnd w:id="7"/>
      <w:bookmarkEnd w:id="8"/>
      <w:bookmarkEnd w:id="9"/>
    </w:p>
    <w:p w14:paraId="043B811B" w14:textId="625F4A08" w:rsidR="006A14A8" w:rsidRPr="00F1119D" w:rsidRDefault="006A14A8" w:rsidP="006B3BE5">
      <w:pPr>
        <w:pStyle w:val="NICEnormal"/>
      </w:pPr>
    </w:p>
    <w:p w14:paraId="3D63C4DE" w14:textId="77777777" w:rsidR="007400D7" w:rsidRPr="00F1119D" w:rsidRDefault="007400D7" w:rsidP="006A14A8">
      <w:pPr>
        <w:pStyle w:val="Paragraph"/>
        <w:rPr>
          <w:lang w:eastAsia="en-GB"/>
        </w:rPr>
      </w:pPr>
    </w:p>
    <w:p w14:paraId="6A7A15C9" w14:textId="77777777" w:rsidR="007400D7" w:rsidRPr="00F1119D" w:rsidRDefault="007400D7" w:rsidP="006A14A8">
      <w:pPr>
        <w:pStyle w:val="Paragraph"/>
        <w:rPr>
          <w:lang w:eastAsia="en-GB"/>
        </w:rPr>
      </w:pPr>
    </w:p>
    <w:p w14:paraId="4636A212" w14:textId="6DCC1427" w:rsidR="007400D7" w:rsidRPr="00F1119D" w:rsidRDefault="00FD0DD2" w:rsidP="006A14A8">
      <w:pPr>
        <w:pStyle w:val="Paragraph"/>
        <w:rPr>
          <w:lang w:eastAsia="en-GB"/>
        </w:rPr>
      </w:pPr>
      <w:r w:rsidRPr="00F1119D">
        <w:rPr>
          <w:lang w:eastAsia="en-GB"/>
        </w:rPr>
        <w:t>October 2025</w:t>
      </w:r>
    </w:p>
    <w:p w14:paraId="33E33590" w14:textId="77777777" w:rsidR="007400D7" w:rsidRPr="00F1119D" w:rsidRDefault="007400D7" w:rsidP="006A14A8">
      <w:pPr>
        <w:pStyle w:val="Paragraph"/>
        <w:rPr>
          <w:lang w:eastAsia="en-GB"/>
        </w:rPr>
      </w:pPr>
    </w:p>
    <w:p w14:paraId="155ACBCA" w14:textId="77777777" w:rsidR="007400D7" w:rsidRPr="00F1119D" w:rsidRDefault="007400D7" w:rsidP="006A14A8">
      <w:pPr>
        <w:pStyle w:val="Paragraph"/>
        <w:rPr>
          <w:lang w:eastAsia="en-GB"/>
        </w:rPr>
      </w:pPr>
    </w:p>
    <w:p w14:paraId="1BA865C3" w14:textId="77777777" w:rsidR="007400D7" w:rsidRPr="00F1119D" w:rsidRDefault="007400D7" w:rsidP="006A14A8">
      <w:pPr>
        <w:pStyle w:val="Paragraph"/>
        <w:rPr>
          <w:lang w:eastAsia="en-GB"/>
        </w:rPr>
      </w:pPr>
    </w:p>
    <w:p w14:paraId="44721E41" w14:textId="77777777" w:rsidR="007400D7" w:rsidRPr="00F1119D" w:rsidRDefault="007400D7" w:rsidP="007400D7">
      <w:pPr>
        <w:pStyle w:val="Heading1"/>
      </w:pPr>
      <w:bookmarkStart w:id="10" w:name="_Toc146884454"/>
      <w:bookmarkStart w:id="11" w:name="_Toc146976372"/>
      <w:bookmarkStart w:id="12" w:name="_Toc177990552"/>
      <w:bookmarkStart w:id="13" w:name="_Toc177994675"/>
      <w:bookmarkStart w:id="14" w:name="_Toc177995080"/>
      <w:bookmarkStart w:id="15" w:name="_Toc210195404"/>
      <w:r w:rsidRPr="00F1119D">
        <w:t>Disclaimer</w:t>
      </w:r>
      <w:bookmarkEnd w:id="10"/>
      <w:bookmarkEnd w:id="11"/>
      <w:bookmarkEnd w:id="12"/>
      <w:bookmarkEnd w:id="13"/>
      <w:bookmarkEnd w:id="14"/>
      <w:bookmarkEnd w:id="15"/>
      <w:r w:rsidRPr="00F1119D">
        <w:t xml:space="preserve"> </w:t>
      </w:r>
    </w:p>
    <w:p w14:paraId="68FF8B17" w14:textId="77777777" w:rsidR="007400D7" w:rsidRPr="00F1119D" w:rsidRDefault="007400D7" w:rsidP="007400D7">
      <w:pPr>
        <w:pStyle w:val="NICEnormalsinglespacing"/>
        <w:rPr>
          <w:rFonts w:eastAsia="Calibri"/>
        </w:rPr>
      </w:pPr>
      <w:bookmarkStart w:id="16" w:name="_Hlk146880619"/>
      <w:r w:rsidRPr="00F1119D">
        <w:t>Readers should be aware that issues and considerations outlined in HTA Lab reports cannot be taken as indicative or suggestive of any future position and will not be regarded as relevant to any future decision that may be taken by NICE.</w:t>
      </w:r>
    </w:p>
    <w:p w14:paraId="0C82D6BB" w14:textId="0F07C519" w:rsidR="006D4C33" w:rsidRPr="00F1119D" w:rsidRDefault="3FAAC695" w:rsidP="007400D7">
      <w:pPr>
        <w:pStyle w:val="Paragraph"/>
        <w:spacing w:line="240" w:lineRule="auto"/>
        <w:rPr>
          <w:lang w:eastAsia="en-GB"/>
        </w:rPr>
        <w:sectPr w:rsidR="006D4C33" w:rsidRPr="00F1119D" w:rsidSect="002B4F3E">
          <w:headerReference w:type="default" r:id="rId8"/>
          <w:footerReference w:type="default" r:id="rId9"/>
          <w:headerReference w:type="first" r:id="rId10"/>
          <w:footerReference w:type="first" r:id="rId11"/>
          <w:pgSz w:w="11906" w:h="16838"/>
          <w:pgMar w:top="1440" w:right="1800" w:bottom="1440" w:left="1800" w:header="708" w:footer="708" w:gutter="0"/>
          <w:cols w:space="708"/>
          <w:docGrid w:linePitch="360"/>
        </w:sectPr>
      </w:pPr>
      <w:r w:rsidRPr="00F1119D">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bookmarkEnd w:id="16"/>
    </w:p>
    <w:p w14:paraId="7004E4D5" w14:textId="675DB48F" w:rsidR="007400D7" w:rsidRPr="00F1119D" w:rsidRDefault="007400D7" w:rsidP="00373E7F">
      <w:pPr>
        <w:pStyle w:val="Heading1"/>
      </w:pPr>
      <w:bookmarkStart w:id="17" w:name="_Toc177990553"/>
      <w:bookmarkStart w:id="18" w:name="_Toc177994676"/>
      <w:bookmarkStart w:id="19" w:name="_Toc177995081"/>
      <w:bookmarkStart w:id="20" w:name="_Toc210195405"/>
      <w:r>
        <w:t>Contents</w:t>
      </w:r>
      <w:bookmarkEnd w:id="17"/>
      <w:bookmarkEnd w:id="18"/>
      <w:bookmarkEnd w:id="19"/>
      <w:bookmarkEnd w:id="20"/>
    </w:p>
    <w:sdt>
      <w:sdtPr>
        <w:rPr>
          <w:rFonts w:ascii="Times New Roman" w:hAnsi="Times New Roman"/>
        </w:rPr>
        <w:id w:val="-1128930595"/>
        <w:docPartObj>
          <w:docPartGallery w:val="Table of Contents"/>
          <w:docPartUnique/>
        </w:docPartObj>
      </w:sdtPr>
      <w:sdtContent>
        <w:p w14:paraId="55FC7B25" w14:textId="2A5E88EA" w:rsidR="002E01F4" w:rsidRPr="00F1119D" w:rsidRDefault="00F93F21">
          <w:pPr>
            <w:pStyle w:val="TOC1"/>
            <w:tabs>
              <w:tab w:val="right" w:leader="dot" w:pos="8296"/>
            </w:tabs>
            <w:rPr>
              <w:rFonts w:asciiTheme="minorHAnsi" w:eastAsiaTheme="minorEastAsia" w:hAnsiTheme="minorHAnsi" w:cstheme="minorBidi"/>
              <w:noProof/>
              <w:kern w:val="2"/>
              <w14:ligatures w14:val="standardContextual"/>
            </w:rPr>
          </w:pPr>
          <w:r w:rsidRPr="00F1119D">
            <w:fldChar w:fldCharType="begin"/>
          </w:r>
          <w:r w:rsidRPr="00F1119D">
            <w:instrText xml:space="preserve"> TOC \o "1-3" \h \z \u </w:instrText>
          </w:r>
          <w:r w:rsidRPr="00F1119D">
            <w:fldChar w:fldCharType="separate"/>
          </w:r>
          <w:hyperlink w:anchor="_Toc210195400" w:history="1">
            <w:r w:rsidR="002E01F4" w:rsidRPr="009347AC">
              <w:rPr>
                <w:rStyle w:val="Hyperlink"/>
                <w:noProof/>
              </w:rPr>
              <w:t>EXPLORATORY PROJECT REPORT</w:t>
            </w:r>
            <w:r w:rsidR="002E01F4" w:rsidRPr="00F1119D">
              <w:rPr>
                <w:noProof/>
                <w:webHidden/>
              </w:rPr>
              <w:tab/>
            </w:r>
            <w:r w:rsidR="002E01F4" w:rsidRPr="00F1119D">
              <w:rPr>
                <w:noProof/>
                <w:webHidden/>
              </w:rPr>
              <w:fldChar w:fldCharType="begin"/>
            </w:r>
            <w:r w:rsidR="002E01F4" w:rsidRPr="00F1119D">
              <w:rPr>
                <w:noProof/>
                <w:webHidden/>
              </w:rPr>
              <w:instrText xml:space="preserve"> PAGEREF _Toc210195400 \h </w:instrText>
            </w:r>
            <w:r w:rsidR="002E01F4" w:rsidRPr="00F1119D">
              <w:rPr>
                <w:noProof/>
                <w:webHidden/>
              </w:rPr>
            </w:r>
            <w:r w:rsidR="002E01F4" w:rsidRPr="00F1119D">
              <w:rPr>
                <w:noProof/>
                <w:webHidden/>
              </w:rPr>
              <w:fldChar w:fldCharType="separate"/>
            </w:r>
            <w:r w:rsidR="002E01F4" w:rsidRPr="00F1119D">
              <w:rPr>
                <w:noProof/>
                <w:webHidden/>
              </w:rPr>
              <w:t>1</w:t>
            </w:r>
            <w:r w:rsidR="002E01F4" w:rsidRPr="00F1119D">
              <w:rPr>
                <w:noProof/>
                <w:webHidden/>
              </w:rPr>
              <w:fldChar w:fldCharType="end"/>
            </w:r>
          </w:hyperlink>
        </w:p>
        <w:p w14:paraId="520D2F41" w14:textId="1E9EC442" w:rsidR="002E01F4" w:rsidRPr="00F1119D" w:rsidRDefault="002E01F4">
          <w:pPr>
            <w:pStyle w:val="TOC1"/>
            <w:tabs>
              <w:tab w:val="right" w:leader="dot" w:pos="8296"/>
            </w:tabs>
            <w:rPr>
              <w:rFonts w:asciiTheme="minorHAnsi" w:eastAsiaTheme="minorEastAsia" w:hAnsiTheme="minorHAnsi" w:cstheme="minorBidi"/>
              <w:noProof/>
              <w:kern w:val="2"/>
              <w14:ligatures w14:val="standardContextual"/>
            </w:rPr>
          </w:pPr>
          <w:hyperlink w:anchor="_Toc210195401" w:history="1">
            <w:r w:rsidRPr="00F1119D">
              <w:rPr>
                <w:rStyle w:val="Hyperlink"/>
                <w:noProof/>
              </w:rPr>
              <w:t>Individualised therapies and platform technologies: Exploring methodological challenges for NICE</w:t>
            </w:r>
            <w:r w:rsidRPr="00F1119D">
              <w:rPr>
                <w:noProof/>
                <w:webHidden/>
              </w:rPr>
              <w:tab/>
            </w:r>
            <w:r w:rsidRPr="00F1119D">
              <w:rPr>
                <w:noProof/>
                <w:webHidden/>
              </w:rPr>
              <w:fldChar w:fldCharType="begin"/>
            </w:r>
            <w:r w:rsidRPr="00F1119D">
              <w:rPr>
                <w:noProof/>
                <w:webHidden/>
              </w:rPr>
              <w:instrText xml:space="preserve"> PAGEREF _Toc210195401 \h </w:instrText>
            </w:r>
            <w:r w:rsidRPr="00F1119D">
              <w:rPr>
                <w:noProof/>
                <w:webHidden/>
              </w:rPr>
            </w:r>
            <w:r w:rsidRPr="00F1119D">
              <w:rPr>
                <w:noProof/>
                <w:webHidden/>
              </w:rPr>
              <w:fldChar w:fldCharType="separate"/>
            </w:r>
            <w:r w:rsidRPr="00F1119D">
              <w:rPr>
                <w:noProof/>
                <w:webHidden/>
              </w:rPr>
              <w:t>1</w:t>
            </w:r>
            <w:r w:rsidRPr="00F1119D">
              <w:rPr>
                <w:noProof/>
                <w:webHidden/>
              </w:rPr>
              <w:fldChar w:fldCharType="end"/>
            </w:r>
          </w:hyperlink>
        </w:p>
        <w:p w14:paraId="5EDAB145" w14:textId="4AB14BF5" w:rsidR="002E01F4" w:rsidRPr="00F1119D" w:rsidRDefault="002E01F4">
          <w:pPr>
            <w:pStyle w:val="TOC1"/>
            <w:tabs>
              <w:tab w:val="right" w:leader="dot" w:pos="8296"/>
            </w:tabs>
            <w:rPr>
              <w:rFonts w:asciiTheme="minorHAnsi" w:eastAsiaTheme="minorEastAsia" w:hAnsiTheme="minorHAnsi" w:cstheme="minorBidi"/>
              <w:noProof/>
              <w:kern w:val="2"/>
              <w14:ligatures w14:val="standardContextual"/>
            </w:rPr>
          </w:pPr>
          <w:hyperlink w:anchor="_Toc210195402" w:history="1">
            <w:r w:rsidRPr="00F1119D">
              <w:rPr>
                <w:rStyle w:val="Hyperlink"/>
                <w:noProof/>
              </w:rPr>
              <w:t>Appendix C – Stakeholder engagement</w:t>
            </w:r>
            <w:r w:rsidRPr="00F1119D">
              <w:rPr>
                <w:noProof/>
                <w:webHidden/>
              </w:rPr>
              <w:tab/>
            </w:r>
            <w:r w:rsidRPr="00F1119D">
              <w:rPr>
                <w:noProof/>
                <w:webHidden/>
              </w:rPr>
              <w:fldChar w:fldCharType="begin"/>
            </w:r>
            <w:r w:rsidRPr="00F1119D">
              <w:rPr>
                <w:noProof/>
                <w:webHidden/>
              </w:rPr>
              <w:instrText xml:space="preserve"> PAGEREF _Toc210195402 \h </w:instrText>
            </w:r>
            <w:r w:rsidRPr="00F1119D">
              <w:rPr>
                <w:noProof/>
                <w:webHidden/>
              </w:rPr>
            </w:r>
            <w:r w:rsidRPr="00F1119D">
              <w:rPr>
                <w:noProof/>
                <w:webHidden/>
              </w:rPr>
              <w:fldChar w:fldCharType="separate"/>
            </w:r>
            <w:r w:rsidRPr="00F1119D">
              <w:rPr>
                <w:noProof/>
                <w:webHidden/>
              </w:rPr>
              <w:t>1</w:t>
            </w:r>
            <w:r w:rsidRPr="00F1119D">
              <w:rPr>
                <w:noProof/>
                <w:webHidden/>
              </w:rPr>
              <w:fldChar w:fldCharType="end"/>
            </w:r>
          </w:hyperlink>
        </w:p>
        <w:p w14:paraId="06CF8A0C" w14:textId="57D36F9C" w:rsidR="002E01F4" w:rsidRPr="00F1119D" w:rsidRDefault="002E01F4">
          <w:pPr>
            <w:pStyle w:val="TOC1"/>
            <w:tabs>
              <w:tab w:val="right" w:leader="dot" w:pos="8296"/>
            </w:tabs>
            <w:rPr>
              <w:rFonts w:asciiTheme="minorHAnsi" w:eastAsiaTheme="minorEastAsia" w:hAnsiTheme="minorHAnsi" w:cstheme="minorBidi"/>
              <w:noProof/>
              <w:kern w:val="2"/>
              <w14:ligatures w14:val="standardContextual"/>
            </w:rPr>
          </w:pPr>
          <w:hyperlink w:anchor="_Toc210195403" w:history="1">
            <w:r w:rsidRPr="00F1119D">
              <w:rPr>
                <w:rStyle w:val="Hyperlink"/>
                <w:noProof/>
              </w:rPr>
              <w:t>HTA Innovation Laboratory</w:t>
            </w:r>
            <w:r w:rsidRPr="00F1119D">
              <w:rPr>
                <w:noProof/>
                <w:webHidden/>
              </w:rPr>
              <w:tab/>
            </w:r>
            <w:r w:rsidRPr="00F1119D">
              <w:rPr>
                <w:noProof/>
                <w:webHidden/>
              </w:rPr>
              <w:fldChar w:fldCharType="begin"/>
            </w:r>
            <w:r w:rsidRPr="00F1119D">
              <w:rPr>
                <w:noProof/>
                <w:webHidden/>
              </w:rPr>
              <w:instrText xml:space="preserve"> PAGEREF _Toc210195403 \h </w:instrText>
            </w:r>
            <w:r w:rsidRPr="00F1119D">
              <w:rPr>
                <w:noProof/>
                <w:webHidden/>
              </w:rPr>
            </w:r>
            <w:r w:rsidRPr="00F1119D">
              <w:rPr>
                <w:noProof/>
                <w:webHidden/>
              </w:rPr>
              <w:fldChar w:fldCharType="separate"/>
            </w:r>
            <w:r w:rsidRPr="00F1119D">
              <w:rPr>
                <w:noProof/>
                <w:webHidden/>
              </w:rPr>
              <w:t>1</w:t>
            </w:r>
            <w:r w:rsidRPr="00F1119D">
              <w:rPr>
                <w:noProof/>
                <w:webHidden/>
              </w:rPr>
              <w:fldChar w:fldCharType="end"/>
            </w:r>
          </w:hyperlink>
        </w:p>
        <w:p w14:paraId="62EFAA00" w14:textId="3B445970" w:rsidR="002E01F4" w:rsidRPr="00F1119D" w:rsidRDefault="002E01F4">
          <w:pPr>
            <w:pStyle w:val="TOC1"/>
            <w:tabs>
              <w:tab w:val="right" w:leader="dot" w:pos="8296"/>
            </w:tabs>
            <w:rPr>
              <w:rFonts w:asciiTheme="minorHAnsi" w:eastAsiaTheme="minorEastAsia" w:hAnsiTheme="minorHAnsi" w:cstheme="minorBidi"/>
              <w:noProof/>
              <w:kern w:val="2"/>
              <w14:ligatures w14:val="standardContextual"/>
            </w:rPr>
          </w:pPr>
          <w:hyperlink w:anchor="_Toc210195404" w:history="1">
            <w:r w:rsidRPr="00F1119D">
              <w:rPr>
                <w:rStyle w:val="Hyperlink"/>
                <w:noProof/>
              </w:rPr>
              <w:t>Disclaimer</w:t>
            </w:r>
            <w:r w:rsidRPr="00F1119D">
              <w:rPr>
                <w:noProof/>
                <w:webHidden/>
              </w:rPr>
              <w:tab/>
            </w:r>
            <w:r w:rsidRPr="00F1119D">
              <w:rPr>
                <w:noProof/>
                <w:webHidden/>
              </w:rPr>
              <w:fldChar w:fldCharType="begin"/>
            </w:r>
            <w:r w:rsidRPr="00F1119D">
              <w:rPr>
                <w:noProof/>
                <w:webHidden/>
              </w:rPr>
              <w:instrText xml:space="preserve"> PAGEREF _Toc210195404 \h </w:instrText>
            </w:r>
            <w:r w:rsidRPr="00F1119D">
              <w:rPr>
                <w:noProof/>
                <w:webHidden/>
              </w:rPr>
            </w:r>
            <w:r w:rsidRPr="00F1119D">
              <w:rPr>
                <w:noProof/>
                <w:webHidden/>
              </w:rPr>
              <w:fldChar w:fldCharType="separate"/>
            </w:r>
            <w:r w:rsidRPr="00F1119D">
              <w:rPr>
                <w:noProof/>
                <w:webHidden/>
              </w:rPr>
              <w:t>1</w:t>
            </w:r>
            <w:r w:rsidRPr="00F1119D">
              <w:rPr>
                <w:noProof/>
                <w:webHidden/>
              </w:rPr>
              <w:fldChar w:fldCharType="end"/>
            </w:r>
          </w:hyperlink>
        </w:p>
        <w:p w14:paraId="1F59B252" w14:textId="3EFF76D9" w:rsidR="002E01F4" w:rsidRPr="00F1119D" w:rsidRDefault="002E01F4">
          <w:pPr>
            <w:pStyle w:val="TOC1"/>
            <w:tabs>
              <w:tab w:val="right" w:leader="dot" w:pos="8296"/>
            </w:tabs>
            <w:rPr>
              <w:rFonts w:asciiTheme="minorHAnsi" w:eastAsiaTheme="minorEastAsia" w:hAnsiTheme="minorHAnsi" w:cstheme="minorBidi"/>
              <w:noProof/>
              <w:kern w:val="2"/>
              <w14:ligatures w14:val="standardContextual"/>
            </w:rPr>
          </w:pPr>
          <w:hyperlink w:anchor="_Toc210195405" w:history="1">
            <w:r w:rsidRPr="00F1119D">
              <w:rPr>
                <w:rStyle w:val="Hyperlink"/>
                <w:noProof/>
              </w:rPr>
              <w:t>Contents</w:t>
            </w:r>
            <w:r w:rsidRPr="00F1119D">
              <w:rPr>
                <w:noProof/>
                <w:webHidden/>
              </w:rPr>
              <w:tab/>
            </w:r>
            <w:r w:rsidRPr="00F1119D">
              <w:rPr>
                <w:noProof/>
                <w:webHidden/>
              </w:rPr>
              <w:fldChar w:fldCharType="begin"/>
            </w:r>
            <w:r w:rsidRPr="00F1119D">
              <w:rPr>
                <w:noProof/>
                <w:webHidden/>
              </w:rPr>
              <w:instrText xml:space="preserve"> PAGEREF _Toc210195405 \h </w:instrText>
            </w:r>
            <w:r w:rsidRPr="00F1119D">
              <w:rPr>
                <w:noProof/>
                <w:webHidden/>
              </w:rPr>
            </w:r>
            <w:r w:rsidRPr="00F1119D">
              <w:rPr>
                <w:noProof/>
                <w:webHidden/>
              </w:rPr>
              <w:fldChar w:fldCharType="separate"/>
            </w:r>
            <w:r w:rsidRPr="00F1119D">
              <w:rPr>
                <w:noProof/>
                <w:webHidden/>
              </w:rPr>
              <w:t>2</w:t>
            </w:r>
            <w:r w:rsidRPr="00F1119D">
              <w:rPr>
                <w:noProof/>
                <w:webHidden/>
              </w:rPr>
              <w:fldChar w:fldCharType="end"/>
            </w:r>
          </w:hyperlink>
        </w:p>
        <w:p w14:paraId="4F1AB1FB" w14:textId="4EBAE183" w:rsidR="002E01F4" w:rsidRPr="00F1119D" w:rsidRDefault="002E01F4">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195406" w:history="1">
            <w:r w:rsidRPr="00F1119D">
              <w:rPr>
                <w:rStyle w:val="Hyperlink"/>
                <w:noProof/>
              </w:rPr>
              <w:t>1</w:t>
            </w:r>
            <w:r w:rsidRPr="00F1119D">
              <w:rPr>
                <w:rFonts w:asciiTheme="minorHAnsi" w:eastAsiaTheme="minorEastAsia" w:hAnsiTheme="minorHAnsi" w:cstheme="minorBidi"/>
                <w:noProof/>
                <w:kern w:val="2"/>
                <w14:ligatures w14:val="standardContextual"/>
              </w:rPr>
              <w:tab/>
            </w:r>
            <w:r w:rsidRPr="00F1119D">
              <w:rPr>
                <w:rStyle w:val="Hyperlink"/>
                <w:noProof/>
              </w:rPr>
              <w:t>Purpose and scope</w:t>
            </w:r>
            <w:r w:rsidRPr="00F1119D">
              <w:rPr>
                <w:noProof/>
                <w:webHidden/>
              </w:rPr>
              <w:tab/>
            </w:r>
            <w:r w:rsidRPr="00F1119D">
              <w:rPr>
                <w:noProof/>
                <w:webHidden/>
              </w:rPr>
              <w:fldChar w:fldCharType="begin"/>
            </w:r>
            <w:r w:rsidRPr="00F1119D">
              <w:rPr>
                <w:noProof/>
                <w:webHidden/>
              </w:rPr>
              <w:instrText xml:space="preserve"> PAGEREF _Toc210195406 \h </w:instrText>
            </w:r>
            <w:r w:rsidRPr="00F1119D">
              <w:rPr>
                <w:noProof/>
                <w:webHidden/>
              </w:rPr>
            </w:r>
            <w:r w:rsidRPr="00F1119D">
              <w:rPr>
                <w:noProof/>
                <w:webHidden/>
              </w:rPr>
              <w:fldChar w:fldCharType="separate"/>
            </w:r>
            <w:r w:rsidRPr="00F1119D">
              <w:rPr>
                <w:noProof/>
                <w:webHidden/>
              </w:rPr>
              <w:t>4</w:t>
            </w:r>
            <w:r w:rsidRPr="00F1119D">
              <w:rPr>
                <w:noProof/>
                <w:webHidden/>
              </w:rPr>
              <w:fldChar w:fldCharType="end"/>
            </w:r>
          </w:hyperlink>
        </w:p>
        <w:p w14:paraId="4E2ABAE1" w14:textId="7228ACEE" w:rsidR="002E01F4" w:rsidRPr="00F1119D" w:rsidRDefault="002E01F4">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195407" w:history="1">
            <w:r w:rsidRPr="00F1119D">
              <w:rPr>
                <w:rStyle w:val="Hyperlink"/>
                <w:noProof/>
              </w:rPr>
              <w:t>2</w:t>
            </w:r>
            <w:r w:rsidRPr="00F1119D">
              <w:rPr>
                <w:rFonts w:asciiTheme="minorHAnsi" w:eastAsiaTheme="minorEastAsia" w:hAnsiTheme="minorHAnsi" w:cstheme="minorBidi"/>
                <w:noProof/>
                <w:kern w:val="2"/>
                <w14:ligatures w14:val="standardContextual"/>
              </w:rPr>
              <w:tab/>
            </w:r>
            <w:r w:rsidRPr="00F1119D">
              <w:rPr>
                <w:rStyle w:val="Hyperlink"/>
                <w:noProof/>
              </w:rPr>
              <w:t>Methods</w:t>
            </w:r>
            <w:r w:rsidRPr="00F1119D">
              <w:rPr>
                <w:noProof/>
                <w:webHidden/>
              </w:rPr>
              <w:tab/>
            </w:r>
            <w:r w:rsidRPr="00F1119D">
              <w:rPr>
                <w:noProof/>
                <w:webHidden/>
              </w:rPr>
              <w:fldChar w:fldCharType="begin"/>
            </w:r>
            <w:r w:rsidRPr="00F1119D">
              <w:rPr>
                <w:noProof/>
                <w:webHidden/>
              </w:rPr>
              <w:instrText xml:space="preserve"> PAGEREF _Toc210195407 \h </w:instrText>
            </w:r>
            <w:r w:rsidRPr="00F1119D">
              <w:rPr>
                <w:noProof/>
                <w:webHidden/>
              </w:rPr>
            </w:r>
            <w:r w:rsidRPr="00F1119D">
              <w:rPr>
                <w:noProof/>
                <w:webHidden/>
              </w:rPr>
              <w:fldChar w:fldCharType="separate"/>
            </w:r>
            <w:r w:rsidRPr="00F1119D">
              <w:rPr>
                <w:noProof/>
                <w:webHidden/>
              </w:rPr>
              <w:t>4</w:t>
            </w:r>
            <w:r w:rsidRPr="00F1119D">
              <w:rPr>
                <w:noProof/>
                <w:webHidden/>
              </w:rPr>
              <w:fldChar w:fldCharType="end"/>
            </w:r>
          </w:hyperlink>
        </w:p>
        <w:p w14:paraId="58503BA1" w14:textId="2EF2FC6D"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08" w:history="1">
            <w:r w:rsidRPr="00F1119D">
              <w:rPr>
                <w:rStyle w:val="Hyperlink"/>
                <w:noProof/>
              </w:rPr>
              <w:t>2.1</w:t>
            </w:r>
            <w:r w:rsidRPr="00F1119D">
              <w:rPr>
                <w:rFonts w:asciiTheme="minorHAnsi" w:eastAsiaTheme="minorEastAsia" w:hAnsiTheme="minorHAnsi" w:cstheme="minorBidi"/>
                <w:noProof/>
                <w:kern w:val="2"/>
                <w14:ligatures w14:val="standardContextual"/>
              </w:rPr>
              <w:tab/>
            </w:r>
            <w:r w:rsidRPr="00F1119D">
              <w:rPr>
                <w:rStyle w:val="Hyperlink"/>
                <w:noProof/>
              </w:rPr>
              <w:t>Engagement design</w:t>
            </w:r>
            <w:r w:rsidRPr="00F1119D">
              <w:rPr>
                <w:noProof/>
                <w:webHidden/>
              </w:rPr>
              <w:tab/>
            </w:r>
            <w:r w:rsidRPr="00F1119D">
              <w:rPr>
                <w:noProof/>
                <w:webHidden/>
              </w:rPr>
              <w:fldChar w:fldCharType="begin"/>
            </w:r>
            <w:r w:rsidRPr="00F1119D">
              <w:rPr>
                <w:noProof/>
                <w:webHidden/>
              </w:rPr>
              <w:instrText xml:space="preserve"> PAGEREF _Toc210195408 \h </w:instrText>
            </w:r>
            <w:r w:rsidRPr="00F1119D">
              <w:rPr>
                <w:noProof/>
                <w:webHidden/>
              </w:rPr>
            </w:r>
            <w:r w:rsidRPr="00F1119D">
              <w:rPr>
                <w:noProof/>
                <w:webHidden/>
              </w:rPr>
              <w:fldChar w:fldCharType="separate"/>
            </w:r>
            <w:r w:rsidRPr="00F1119D">
              <w:rPr>
                <w:noProof/>
                <w:webHidden/>
              </w:rPr>
              <w:t>4</w:t>
            </w:r>
            <w:r w:rsidRPr="00F1119D">
              <w:rPr>
                <w:noProof/>
                <w:webHidden/>
              </w:rPr>
              <w:fldChar w:fldCharType="end"/>
            </w:r>
          </w:hyperlink>
        </w:p>
        <w:p w14:paraId="190C6CED" w14:textId="09C5A011"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09" w:history="1">
            <w:r w:rsidRPr="00F1119D">
              <w:rPr>
                <w:rStyle w:val="Hyperlink"/>
                <w:noProof/>
              </w:rPr>
              <w:t>2.2</w:t>
            </w:r>
            <w:r w:rsidRPr="00F1119D">
              <w:rPr>
                <w:rFonts w:asciiTheme="minorHAnsi" w:eastAsiaTheme="minorEastAsia" w:hAnsiTheme="minorHAnsi" w:cstheme="minorBidi"/>
                <w:noProof/>
                <w:kern w:val="2"/>
                <w14:ligatures w14:val="standardContextual"/>
              </w:rPr>
              <w:tab/>
            </w:r>
            <w:r w:rsidRPr="00F1119D">
              <w:rPr>
                <w:rStyle w:val="Hyperlink"/>
                <w:noProof/>
              </w:rPr>
              <w:t>Data sources and materials</w:t>
            </w:r>
            <w:r w:rsidRPr="00F1119D">
              <w:rPr>
                <w:noProof/>
                <w:webHidden/>
              </w:rPr>
              <w:tab/>
            </w:r>
            <w:r w:rsidRPr="00F1119D">
              <w:rPr>
                <w:noProof/>
                <w:webHidden/>
              </w:rPr>
              <w:fldChar w:fldCharType="begin"/>
            </w:r>
            <w:r w:rsidRPr="00F1119D">
              <w:rPr>
                <w:noProof/>
                <w:webHidden/>
              </w:rPr>
              <w:instrText xml:space="preserve"> PAGEREF _Toc210195409 \h </w:instrText>
            </w:r>
            <w:r w:rsidRPr="00F1119D">
              <w:rPr>
                <w:noProof/>
                <w:webHidden/>
              </w:rPr>
            </w:r>
            <w:r w:rsidRPr="00F1119D">
              <w:rPr>
                <w:noProof/>
                <w:webHidden/>
              </w:rPr>
              <w:fldChar w:fldCharType="separate"/>
            </w:r>
            <w:r w:rsidRPr="00F1119D">
              <w:rPr>
                <w:noProof/>
                <w:webHidden/>
              </w:rPr>
              <w:t>5</w:t>
            </w:r>
            <w:r w:rsidRPr="00F1119D">
              <w:rPr>
                <w:noProof/>
                <w:webHidden/>
              </w:rPr>
              <w:fldChar w:fldCharType="end"/>
            </w:r>
          </w:hyperlink>
        </w:p>
        <w:p w14:paraId="0CBB86FC" w14:textId="28C9DF05"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10" w:history="1">
            <w:r w:rsidRPr="00F1119D">
              <w:rPr>
                <w:rStyle w:val="Hyperlink"/>
                <w:noProof/>
              </w:rPr>
              <w:t>2.3</w:t>
            </w:r>
            <w:r w:rsidRPr="00F1119D">
              <w:rPr>
                <w:rFonts w:asciiTheme="minorHAnsi" w:eastAsiaTheme="minorEastAsia" w:hAnsiTheme="minorHAnsi" w:cstheme="minorBidi"/>
                <w:noProof/>
                <w:kern w:val="2"/>
                <w14:ligatures w14:val="standardContextual"/>
              </w:rPr>
              <w:tab/>
            </w:r>
            <w:r w:rsidRPr="00F1119D">
              <w:rPr>
                <w:rStyle w:val="Hyperlink"/>
                <w:noProof/>
              </w:rPr>
              <w:t>Analytic framework</w:t>
            </w:r>
            <w:r w:rsidRPr="00F1119D">
              <w:rPr>
                <w:noProof/>
                <w:webHidden/>
              </w:rPr>
              <w:tab/>
            </w:r>
            <w:r w:rsidRPr="00F1119D">
              <w:rPr>
                <w:noProof/>
                <w:webHidden/>
              </w:rPr>
              <w:fldChar w:fldCharType="begin"/>
            </w:r>
            <w:r w:rsidRPr="00F1119D">
              <w:rPr>
                <w:noProof/>
                <w:webHidden/>
              </w:rPr>
              <w:instrText xml:space="preserve"> PAGEREF _Toc210195410 \h </w:instrText>
            </w:r>
            <w:r w:rsidRPr="00F1119D">
              <w:rPr>
                <w:noProof/>
                <w:webHidden/>
              </w:rPr>
            </w:r>
            <w:r w:rsidRPr="00F1119D">
              <w:rPr>
                <w:noProof/>
                <w:webHidden/>
              </w:rPr>
              <w:fldChar w:fldCharType="separate"/>
            </w:r>
            <w:r w:rsidRPr="00F1119D">
              <w:rPr>
                <w:noProof/>
                <w:webHidden/>
              </w:rPr>
              <w:t>5</w:t>
            </w:r>
            <w:r w:rsidRPr="00F1119D">
              <w:rPr>
                <w:noProof/>
                <w:webHidden/>
              </w:rPr>
              <w:fldChar w:fldCharType="end"/>
            </w:r>
          </w:hyperlink>
        </w:p>
        <w:p w14:paraId="11361E95" w14:textId="61DC0E23"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11" w:history="1">
            <w:r w:rsidRPr="00F1119D">
              <w:rPr>
                <w:rStyle w:val="Hyperlink"/>
                <w:noProof/>
              </w:rPr>
              <w:t>2.4</w:t>
            </w:r>
            <w:r w:rsidRPr="00F1119D">
              <w:rPr>
                <w:rFonts w:asciiTheme="minorHAnsi" w:eastAsiaTheme="minorEastAsia" w:hAnsiTheme="minorHAnsi" w:cstheme="minorBidi"/>
                <w:noProof/>
                <w:kern w:val="2"/>
                <w14:ligatures w14:val="standardContextual"/>
              </w:rPr>
              <w:tab/>
            </w:r>
            <w:r w:rsidRPr="00F1119D">
              <w:rPr>
                <w:rStyle w:val="Hyperlink"/>
                <w:noProof/>
              </w:rPr>
              <w:t>Assurance and consistency</w:t>
            </w:r>
            <w:r w:rsidRPr="00F1119D">
              <w:rPr>
                <w:noProof/>
                <w:webHidden/>
              </w:rPr>
              <w:tab/>
            </w:r>
            <w:r w:rsidRPr="00F1119D">
              <w:rPr>
                <w:noProof/>
                <w:webHidden/>
              </w:rPr>
              <w:fldChar w:fldCharType="begin"/>
            </w:r>
            <w:r w:rsidRPr="00F1119D">
              <w:rPr>
                <w:noProof/>
                <w:webHidden/>
              </w:rPr>
              <w:instrText xml:space="preserve"> PAGEREF _Toc210195411 \h </w:instrText>
            </w:r>
            <w:r w:rsidRPr="00F1119D">
              <w:rPr>
                <w:noProof/>
                <w:webHidden/>
              </w:rPr>
            </w:r>
            <w:r w:rsidRPr="00F1119D">
              <w:rPr>
                <w:noProof/>
                <w:webHidden/>
              </w:rPr>
              <w:fldChar w:fldCharType="separate"/>
            </w:r>
            <w:r w:rsidRPr="00F1119D">
              <w:rPr>
                <w:noProof/>
                <w:webHidden/>
              </w:rPr>
              <w:t>6</w:t>
            </w:r>
            <w:r w:rsidRPr="00F1119D">
              <w:rPr>
                <w:noProof/>
                <w:webHidden/>
              </w:rPr>
              <w:fldChar w:fldCharType="end"/>
            </w:r>
          </w:hyperlink>
        </w:p>
        <w:p w14:paraId="643FF3F9" w14:textId="60CEB352"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12" w:history="1">
            <w:r w:rsidRPr="00F1119D">
              <w:rPr>
                <w:rStyle w:val="Hyperlink"/>
                <w:noProof/>
              </w:rPr>
              <w:t>2.5</w:t>
            </w:r>
            <w:r w:rsidRPr="00F1119D">
              <w:rPr>
                <w:rFonts w:asciiTheme="minorHAnsi" w:eastAsiaTheme="minorEastAsia" w:hAnsiTheme="minorHAnsi" w:cstheme="minorBidi"/>
                <w:noProof/>
                <w:kern w:val="2"/>
                <w14:ligatures w14:val="standardContextual"/>
              </w:rPr>
              <w:tab/>
            </w:r>
            <w:r w:rsidRPr="00F1119D">
              <w:rPr>
                <w:rStyle w:val="Hyperlink"/>
                <w:noProof/>
              </w:rPr>
              <w:t>Defining the evidence</w:t>
            </w:r>
            <w:r w:rsidRPr="00F1119D">
              <w:rPr>
                <w:noProof/>
                <w:webHidden/>
              </w:rPr>
              <w:tab/>
            </w:r>
            <w:r w:rsidRPr="00F1119D">
              <w:rPr>
                <w:noProof/>
                <w:webHidden/>
              </w:rPr>
              <w:fldChar w:fldCharType="begin"/>
            </w:r>
            <w:r w:rsidRPr="00F1119D">
              <w:rPr>
                <w:noProof/>
                <w:webHidden/>
              </w:rPr>
              <w:instrText xml:space="preserve"> PAGEREF _Toc210195412 \h </w:instrText>
            </w:r>
            <w:r w:rsidRPr="00F1119D">
              <w:rPr>
                <w:noProof/>
                <w:webHidden/>
              </w:rPr>
            </w:r>
            <w:r w:rsidRPr="00F1119D">
              <w:rPr>
                <w:noProof/>
                <w:webHidden/>
              </w:rPr>
              <w:fldChar w:fldCharType="separate"/>
            </w:r>
            <w:r w:rsidRPr="00F1119D">
              <w:rPr>
                <w:noProof/>
                <w:webHidden/>
              </w:rPr>
              <w:t>6</w:t>
            </w:r>
            <w:r w:rsidRPr="00F1119D">
              <w:rPr>
                <w:noProof/>
                <w:webHidden/>
              </w:rPr>
              <w:fldChar w:fldCharType="end"/>
            </w:r>
          </w:hyperlink>
        </w:p>
        <w:p w14:paraId="047F79FE" w14:textId="5C6DC02B" w:rsidR="002E01F4" w:rsidRPr="00F1119D" w:rsidRDefault="002E01F4">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195413" w:history="1">
            <w:r w:rsidRPr="00F1119D">
              <w:rPr>
                <w:rStyle w:val="Hyperlink"/>
                <w:noProof/>
              </w:rPr>
              <w:t>3</w:t>
            </w:r>
            <w:r w:rsidRPr="00F1119D">
              <w:rPr>
                <w:rFonts w:asciiTheme="minorHAnsi" w:eastAsiaTheme="minorEastAsia" w:hAnsiTheme="minorHAnsi" w:cstheme="minorBidi"/>
                <w:noProof/>
                <w:kern w:val="2"/>
                <w14:ligatures w14:val="standardContextual"/>
              </w:rPr>
              <w:tab/>
            </w:r>
            <w:r w:rsidRPr="00F1119D">
              <w:rPr>
                <w:rStyle w:val="Hyperlink"/>
                <w:noProof/>
              </w:rPr>
              <w:t>Workshop summaries</w:t>
            </w:r>
            <w:r w:rsidRPr="00F1119D">
              <w:rPr>
                <w:noProof/>
                <w:webHidden/>
              </w:rPr>
              <w:tab/>
            </w:r>
            <w:r w:rsidRPr="00F1119D">
              <w:rPr>
                <w:noProof/>
                <w:webHidden/>
              </w:rPr>
              <w:fldChar w:fldCharType="begin"/>
            </w:r>
            <w:r w:rsidRPr="00F1119D">
              <w:rPr>
                <w:noProof/>
                <w:webHidden/>
              </w:rPr>
              <w:instrText xml:space="preserve"> PAGEREF _Toc210195413 \h </w:instrText>
            </w:r>
            <w:r w:rsidRPr="00F1119D">
              <w:rPr>
                <w:noProof/>
                <w:webHidden/>
              </w:rPr>
            </w:r>
            <w:r w:rsidRPr="00F1119D">
              <w:rPr>
                <w:noProof/>
                <w:webHidden/>
              </w:rPr>
              <w:fldChar w:fldCharType="separate"/>
            </w:r>
            <w:r w:rsidRPr="00F1119D">
              <w:rPr>
                <w:noProof/>
                <w:webHidden/>
              </w:rPr>
              <w:t>6</w:t>
            </w:r>
            <w:r w:rsidRPr="00F1119D">
              <w:rPr>
                <w:noProof/>
                <w:webHidden/>
              </w:rPr>
              <w:fldChar w:fldCharType="end"/>
            </w:r>
          </w:hyperlink>
        </w:p>
        <w:p w14:paraId="2977B348" w14:textId="2BCECA42"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14" w:history="1">
            <w:r w:rsidRPr="00F1119D">
              <w:rPr>
                <w:rStyle w:val="Hyperlink"/>
                <w:noProof/>
              </w:rPr>
              <w:t>3.1</w:t>
            </w:r>
            <w:r w:rsidRPr="00F1119D">
              <w:rPr>
                <w:rFonts w:asciiTheme="minorHAnsi" w:eastAsiaTheme="minorEastAsia" w:hAnsiTheme="minorHAnsi" w:cstheme="minorBidi"/>
                <w:noProof/>
                <w:kern w:val="2"/>
                <w14:ligatures w14:val="standardContextual"/>
              </w:rPr>
              <w:tab/>
            </w:r>
            <w:r w:rsidRPr="00F1119D">
              <w:rPr>
                <w:rStyle w:val="Hyperlink"/>
                <w:noProof/>
              </w:rPr>
              <w:t>Workshop 1: Clinical and system stakeholders</w:t>
            </w:r>
            <w:r w:rsidRPr="00F1119D">
              <w:rPr>
                <w:noProof/>
                <w:webHidden/>
              </w:rPr>
              <w:tab/>
            </w:r>
            <w:r w:rsidRPr="00F1119D">
              <w:rPr>
                <w:noProof/>
                <w:webHidden/>
              </w:rPr>
              <w:fldChar w:fldCharType="begin"/>
            </w:r>
            <w:r w:rsidRPr="00F1119D">
              <w:rPr>
                <w:noProof/>
                <w:webHidden/>
              </w:rPr>
              <w:instrText xml:space="preserve"> PAGEREF _Toc210195414 \h </w:instrText>
            </w:r>
            <w:r w:rsidRPr="00F1119D">
              <w:rPr>
                <w:noProof/>
                <w:webHidden/>
              </w:rPr>
            </w:r>
            <w:r w:rsidRPr="00F1119D">
              <w:rPr>
                <w:noProof/>
                <w:webHidden/>
              </w:rPr>
              <w:fldChar w:fldCharType="separate"/>
            </w:r>
            <w:r w:rsidRPr="00F1119D">
              <w:rPr>
                <w:noProof/>
                <w:webHidden/>
              </w:rPr>
              <w:t>6</w:t>
            </w:r>
            <w:r w:rsidRPr="00F1119D">
              <w:rPr>
                <w:noProof/>
                <w:webHidden/>
              </w:rPr>
              <w:fldChar w:fldCharType="end"/>
            </w:r>
          </w:hyperlink>
        </w:p>
        <w:p w14:paraId="702598DC" w14:textId="17747830" w:rsidR="002E01F4" w:rsidRPr="00F1119D" w:rsidRDefault="002E01F4">
          <w:pPr>
            <w:pStyle w:val="TOC3"/>
            <w:tabs>
              <w:tab w:val="left" w:pos="1440"/>
            </w:tabs>
            <w:rPr>
              <w:rFonts w:asciiTheme="minorHAnsi" w:eastAsiaTheme="minorEastAsia" w:hAnsiTheme="minorHAnsi" w:cstheme="minorBidi"/>
              <w:kern w:val="2"/>
              <w14:ligatures w14:val="standardContextual"/>
            </w:rPr>
          </w:pPr>
          <w:hyperlink w:anchor="_Toc210195415" w:history="1">
            <w:r w:rsidRPr="00F1119D">
              <w:rPr>
                <w:rStyle w:val="Hyperlink"/>
              </w:rPr>
              <w:t>3.1.1</w:t>
            </w:r>
            <w:r w:rsidRPr="00F1119D">
              <w:rPr>
                <w:rFonts w:asciiTheme="minorHAnsi" w:eastAsiaTheme="minorEastAsia" w:hAnsiTheme="minorHAnsi" w:cstheme="minorBidi"/>
                <w:kern w:val="2"/>
                <w14:ligatures w14:val="standardContextual"/>
              </w:rPr>
              <w:tab/>
            </w:r>
            <w:r w:rsidRPr="00F1119D">
              <w:rPr>
                <w:rStyle w:val="Hyperlink"/>
              </w:rPr>
              <w:t>Participants</w:t>
            </w:r>
            <w:r w:rsidRPr="00F1119D">
              <w:rPr>
                <w:webHidden/>
              </w:rPr>
              <w:tab/>
            </w:r>
            <w:r w:rsidRPr="00F1119D">
              <w:rPr>
                <w:webHidden/>
              </w:rPr>
              <w:fldChar w:fldCharType="begin"/>
            </w:r>
            <w:r w:rsidRPr="00F1119D">
              <w:rPr>
                <w:webHidden/>
              </w:rPr>
              <w:instrText xml:space="preserve"> PAGEREF _Toc210195415 \h </w:instrText>
            </w:r>
            <w:r w:rsidRPr="00F1119D">
              <w:rPr>
                <w:webHidden/>
              </w:rPr>
            </w:r>
            <w:r w:rsidRPr="00F1119D">
              <w:rPr>
                <w:webHidden/>
              </w:rPr>
              <w:fldChar w:fldCharType="separate"/>
            </w:r>
            <w:r w:rsidRPr="00F1119D">
              <w:rPr>
                <w:webHidden/>
              </w:rPr>
              <w:t>6</w:t>
            </w:r>
            <w:r w:rsidRPr="00F1119D">
              <w:rPr>
                <w:webHidden/>
              </w:rPr>
              <w:fldChar w:fldCharType="end"/>
            </w:r>
          </w:hyperlink>
        </w:p>
        <w:p w14:paraId="6D66299A" w14:textId="57BB871B" w:rsidR="002E01F4" w:rsidRPr="00F1119D" w:rsidRDefault="002E01F4">
          <w:pPr>
            <w:pStyle w:val="TOC3"/>
            <w:tabs>
              <w:tab w:val="left" w:pos="1440"/>
            </w:tabs>
            <w:rPr>
              <w:rFonts w:asciiTheme="minorHAnsi" w:eastAsiaTheme="minorEastAsia" w:hAnsiTheme="minorHAnsi" w:cstheme="minorBidi"/>
              <w:kern w:val="2"/>
              <w14:ligatures w14:val="standardContextual"/>
            </w:rPr>
          </w:pPr>
          <w:hyperlink w:anchor="_Toc210195416" w:history="1">
            <w:r w:rsidRPr="00F1119D">
              <w:rPr>
                <w:rStyle w:val="Hyperlink"/>
              </w:rPr>
              <w:t>3.1.2</w:t>
            </w:r>
            <w:r w:rsidRPr="00F1119D">
              <w:rPr>
                <w:rFonts w:asciiTheme="minorHAnsi" w:eastAsiaTheme="minorEastAsia" w:hAnsiTheme="minorHAnsi" w:cstheme="minorBidi"/>
                <w:kern w:val="2"/>
                <w14:ligatures w14:val="standardContextual"/>
              </w:rPr>
              <w:tab/>
            </w:r>
            <w:r w:rsidRPr="00F1119D">
              <w:rPr>
                <w:rStyle w:val="Hyperlink"/>
              </w:rPr>
              <w:t>Main themes</w:t>
            </w:r>
            <w:r w:rsidRPr="00F1119D">
              <w:rPr>
                <w:webHidden/>
              </w:rPr>
              <w:tab/>
            </w:r>
            <w:r w:rsidRPr="00F1119D">
              <w:rPr>
                <w:webHidden/>
              </w:rPr>
              <w:fldChar w:fldCharType="begin"/>
            </w:r>
            <w:r w:rsidRPr="00F1119D">
              <w:rPr>
                <w:webHidden/>
              </w:rPr>
              <w:instrText xml:space="preserve"> PAGEREF _Toc210195416 \h </w:instrText>
            </w:r>
            <w:r w:rsidRPr="00F1119D">
              <w:rPr>
                <w:webHidden/>
              </w:rPr>
            </w:r>
            <w:r w:rsidRPr="00F1119D">
              <w:rPr>
                <w:webHidden/>
              </w:rPr>
              <w:fldChar w:fldCharType="separate"/>
            </w:r>
            <w:r w:rsidRPr="00F1119D">
              <w:rPr>
                <w:webHidden/>
              </w:rPr>
              <w:t>7</w:t>
            </w:r>
            <w:r w:rsidRPr="00F1119D">
              <w:rPr>
                <w:webHidden/>
              </w:rPr>
              <w:fldChar w:fldCharType="end"/>
            </w:r>
          </w:hyperlink>
        </w:p>
        <w:p w14:paraId="0356F88D" w14:textId="00DB5A39"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17" w:history="1">
            <w:r w:rsidRPr="00F1119D">
              <w:rPr>
                <w:rStyle w:val="Hyperlink"/>
                <w:noProof/>
              </w:rPr>
              <w:t>3.2</w:t>
            </w:r>
            <w:r w:rsidRPr="00F1119D">
              <w:rPr>
                <w:rFonts w:asciiTheme="minorHAnsi" w:eastAsiaTheme="minorEastAsia" w:hAnsiTheme="minorHAnsi" w:cstheme="minorBidi"/>
                <w:noProof/>
                <w:kern w:val="2"/>
                <w14:ligatures w14:val="standardContextual"/>
              </w:rPr>
              <w:tab/>
            </w:r>
            <w:r w:rsidRPr="00F1119D">
              <w:rPr>
                <w:rStyle w:val="Hyperlink"/>
                <w:noProof/>
              </w:rPr>
              <w:t>Workshop 2: Internal NICE staff</w:t>
            </w:r>
            <w:r w:rsidRPr="00F1119D">
              <w:rPr>
                <w:noProof/>
                <w:webHidden/>
              </w:rPr>
              <w:tab/>
            </w:r>
            <w:r w:rsidRPr="00F1119D">
              <w:rPr>
                <w:noProof/>
                <w:webHidden/>
              </w:rPr>
              <w:fldChar w:fldCharType="begin"/>
            </w:r>
            <w:r w:rsidRPr="00F1119D">
              <w:rPr>
                <w:noProof/>
                <w:webHidden/>
              </w:rPr>
              <w:instrText xml:space="preserve"> PAGEREF _Toc210195417 \h </w:instrText>
            </w:r>
            <w:r w:rsidRPr="00F1119D">
              <w:rPr>
                <w:noProof/>
                <w:webHidden/>
              </w:rPr>
            </w:r>
            <w:r w:rsidRPr="00F1119D">
              <w:rPr>
                <w:noProof/>
                <w:webHidden/>
              </w:rPr>
              <w:fldChar w:fldCharType="separate"/>
            </w:r>
            <w:r w:rsidRPr="00F1119D">
              <w:rPr>
                <w:noProof/>
                <w:webHidden/>
              </w:rPr>
              <w:t>8</w:t>
            </w:r>
            <w:r w:rsidRPr="00F1119D">
              <w:rPr>
                <w:noProof/>
                <w:webHidden/>
              </w:rPr>
              <w:fldChar w:fldCharType="end"/>
            </w:r>
          </w:hyperlink>
        </w:p>
        <w:p w14:paraId="3A89F996" w14:textId="5A0A6B02" w:rsidR="002E01F4" w:rsidRPr="00F1119D" w:rsidRDefault="002E01F4">
          <w:pPr>
            <w:pStyle w:val="TOC3"/>
            <w:tabs>
              <w:tab w:val="left" w:pos="1440"/>
            </w:tabs>
            <w:rPr>
              <w:rFonts w:asciiTheme="minorHAnsi" w:eastAsiaTheme="minorEastAsia" w:hAnsiTheme="minorHAnsi" w:cstheme="minorBidi"/>
              <w:kern w:val="2"/>
              <w14:ligatures w14:val="standardContextual"/>
            </w:rPr>
          </w:pPr>
          <w:hyperlink w:anchor="_Toc210195418" w:history="1">
            <w:r w:rsidRPr="00F1119D">
              <w:rPr>
                <w:rStyle w:val="Hyperlink"/>
              </w:rPr>
              <w:t>3.2.1</w:t>
            </w:r>
            <w:r w:rsidRPr="00F1119D">
              <w:rPr>
                <w:rFonts w:asciiTheme="minorHAnsi" w:eastAsiaTheme="minorEastAsia" w:hAnsiTheme="minorHAnsi" w:cstheme="minorBidi"/>
                <w:kern w:val="2"/>
                <w14:ligatures w14:val="standardContextual"/>
              </w:rPr>
              <w:tab/>
            </w:r>
            <w:r w:rsidRPr="00F1119D">
              <w:rPr>
                <w:rStyle w:val="Hyperlink"/>
              </w:rPr>
              <w:t>Participants</w:t>
            </w:r>
            <w:r w:rsidRPr="00F1119D">
              <w:rPr>
                <w:webHidden/>
              </w:rPr>
              <w:tab/>
            </w:r>
            <w:r w:rsidRPr="00F1119D">
              <w:rPr>
                <w:webHidden/>
              </w:rPr>
              <w:fldChar w:fldCharType="begin"/>
            </w:r>
            <w:r w:rsidRPr="00F1119D">
              <w:rPr>
                <w:webHidden/>
              </w:rPr>
              <w:instrText xml:space="preserve"> PAGEREF _Toc210195418 \h </w:instrText>
            </w:r>
            <w:r w:rsidRPr="00F1119D">
              <w:rPr>
                <w:webHidden/>
              </w:rPr>
            </w:r>
            <w:r w:rsidRPr="00F1119D">
              <w:rPr>
                <w:webHidden/>
              </w:rPr>
              <w:fldChar w:fldCharType="separate"/>
            </w:r>
            <w:r w:rsidRPr="00F1119D">
              <w:rPr>
                <w:webHidden/>
              </w:rPr>
              <w:t>8</w:t>
            </w:r>
            <w:r w:rsidRPr="00F1119D">
              <w:rPr>
                <w:webHidden/>
              </w:rPr>
              <w:fldChar w:fldCharType="end"/>
            </w:r>
          </w:hyperlink>
        </w:p>
        <w:p w14:paraId="5A38CA74" w14:textId="1D2D0128" w:rsidR="002E01F4" w:rsidRPr="00F1119D" w:rsidRDefault="002E01F4">
          <w:pPr>
            <w:pStyle w:val="TOC3"/>
            <w:tabs>
              <w:tab w:val="left" w:pos="1440"/>
            </w:tabs>
            <w:rPr>
              <w:rFonts w:asciiTheme="minorHAnsi" w:eastAsiaTheme="minorEastAsia" w:hAnsiTheme="minorHAnsi" w:cstheme="minorBidi"/>
              <w:kern w:val="2"/>
              <w14:ligatures w14:val="standardContextual"/>
            </w:rPr>
          </w:pPr>
          <w:hyperlink w:anchor="_Toc210195419" w:history="1">
            <w:r w:rsidRPr="00F1119D">
              <w:rPr>
                <w:rStyle w:val="Hyperlink"/>
              </w:rPr>
              <w:t>3.2.1</w:t>
            </w:r>
            <w:r w:rsidRPr="00F1119D">
              <w:rPr>
                <w:rFonts w:asciiTheme="minorHAnsi" w:eastAsiaTheme="minorEastAsia" w:hAnsiTheme="minorHAnsi" w:cstheme="minorBidi"/>
                <w:kern w:val="2"/>
                <w14:ligatures w14:val="standardContextual"/>
              </w:rPr>
              <w:tab/>
            </w:r>
            <w:r w:rsidRPr="00F1119D">
              <w:rPr>
                <w:rStyle w:val="Hyperlink"/>
              </w:rPr>
              <w:t>Main themes</w:t>
            </w:r>
            <w:r w:rsidRPr="00F1119D">
              <w:rPr>
                <w:webHidden/>
              </w:rPr>
              <w:tab/>
            </w:r>
            <w:r w:rsidRPr="00F1119D">
              <w:rPr>
                <w:webHidden/>
              </w:rPr>
              <w:fldChar w:fldCharType="begin"/>
            </w:r>
            <w:r w:rsidRPr="00F1119D">
              <w:rPr>
                <w:webHidden/>
              </w:rPr>
              <w:instrText xml:space="preserve"> PAGEREF _Toc210195419 \h </w:instrText>
            </w:r>
            <w:r w:rsidRPr="00F1119D">
              <w:rPr>
                <w:webHidden/>
              </w:rPr>
            </w:r>
            <w:r w:rsidRPr="00F1119D">
              <w:rPr>
                <w:webHidden/>
              </w:rPr>
              <w:fldChar w:fldCharType="separate"/>
            </w:r>
            <w:r w:rsidRPr="00F1119D">
              <w:rPr>
                <w:webHidden/>
              </w:rPr>
              <w:t>8</w:t>
            </w:r>
            <w:r w:rsidRPr="00F1119D">
              <w:rPr>
                <w:webHidden/>
              </w:rPr>
              <w:fldChar w:fldCharType="end"/>
            </w:r>
          </w:hyperlink>
        </w:p>
        <w:p w14:paraId="4FBBB19C" w14:textId="1B9DEBA3"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20" w:history="1">
            <w:r w:rsidRPr="00F1119D">
              <w:rPr>
                <w:rStyle w:val="Hyperlink"/>
                <w:noProof/>
              </w:rPr>
              <w:t>3.3</w:t>
            </w:r>
            <w:r w:rsidRPr="00F1119D">
              <w:rPr>
                <w:rFonts w:asciiTheme="minorHAnsi" w:eastAsiaTheme="minorEastAsia" w:hAnsiTheme="minorHAnsi" w:cstheme="minorBidi"/>
                <w:noProof/>
                <w:kern w:val="2"/>
                <w14:ligatures w14:val="standardContextual"/>
              </w:rPr>
              <w:tab/>
            </w:r>
            <w:r w:rsidRPr="00F1119D">
              <w:rPr>
                <w:rStyle w:val="Hyperlink"/>
                <w:noProof/>
              </w:rPr>
              <w:t>Workshop 3: Committee Chairs and External Assessment Groups</w:t>
            </w:r>
            <w:r w:rsidRPr="00F1119D">
              <w:rPr>
                <w:noProof/>
                <w:webHidden/>
              </w:rPr>
              <w:tab/>
            </w:r>
            <w:r w:rsidRPr="00F1119D">
              <w:rPr>
                <w:noProof/>
                <w:webHidden/>
              </w:rPr>
              <w:fldChar w:fldCharType="begin"/>
            </w:r>
            <w:r w:rsidRPr="00F1119D">
              <w:rPr>
                <w:noProof/>
                <w:webHidden/>
              </w:rPr>
              <w:instrText xml:space="preserve"> PAGEREF _Toc210195420 \h </w:instrText>
            </w:r>
            <w:r w:rsidRPr="00F1119D">
              <w:rPr>
                <w:noProof/>
                <w:webHidden/>
              </w:rPr>
            </w:r>
            <w:r w:rsidRPr="00F1119D">
              <w:rPr>
                <w:noProof/>
                <w:webHidden/>
              </w:rPr>
              <w:fldChar w:fldCharType="separate"/>
            </w:r>
            <w:r w:rsidRPr="00F1119D">
              <w:rPr>
                <w:noProof/>
                <w:webHidden/>
              </w:rPr>
              <w:t>9</w:t>
            </w:r>
            <w:r w:rsidRPr="00F1119D">
              <w:rPr>
                <w:noProof/>
                <w:webHidden/>
              </w:rPr>
              <w:fldChar w:fldCharType="end"/>
            </w:r>
          </w:hyperlink>
        </w:p>
        <w:p w14:paraId="6E9995F8" w14:textId="187291DA" w:rsidR="002E01F4" w:rsidRPr="00F1119D" w:rsidRDefault="002E01F4">
          <w:pPr>
            <w:pStyle w:val="TOC3"/>
            <w:tabs>
              <w:tab w:val="left" w:pos="1440"/>
            </w:tabs>
            <w:rPr>
              <w:rFonts w:asciiTheme="minorHAnsi" w:eastAsiaTheme="minorEastAsia" w:hAnsiTheme="minorHAnsi" w:cstheme="minorBidi"/>
              <w:kern w:val="2"/>
              <w14:ligatures w14:val="standardContextual"/>
            </w:rPr>
          </w:pPr>
          <w:hyperlink w:anchor="_Toc210195421" w:history="1">
            <w:r w:rsidRPr="00F1119D">
              <w:rPr>
                <w:rStyle w:val="Hyperlink"/>
              </w:rPr>
              <w:t>3.3.1</w:t>
            </w:r>
            <w:r w:rsidRPr="00F1119D">
              <w:rPr>
                <w:rFonts w:asciiTheme="minorHAnsi" w:eastAsiaTheme="minorEastAsia" w:hAnsiTheme="minorHAnsi" w:cstheme="minorBidi"/>
                <w:kern w:val="2"/>
                <w14:ligatures w14:val="standardContextual"/>
              </w:rPr>
              <w:tab/>
            </w:r>
            <w:r w:rsidRPr="00F1119D">
              <w:rPr>
                <w:rStyle w:val="Hyperlink"/>
              </w:rPr>
              <w:t>Participants</w:t>
            </w:r>
            <w:r w:rsidRPr="00F1119D">
              <w:rPr>
                <w:webHidden/>
              </w:rPr>
              <w:tab/>
            </w:r>
            <w:r w:rsidRPr="00F1119D">
              <w:rPr>
                <w:webHidden/>
              </w:rPr>
              <w:fldChar w:fldCharType="begin"/>
            </w:r>
            <w:r w:rsidRPr="00F1119D">
              <w:rPr>
                <w:webHidden/>
              </w:rPr>
              <w:instrText xml:space="preserve"> PAGEREF _Toc210195421 \h </w:instrText>
            </w:r>
            <w:r w:rsidRPr="00F1119D">
              <w:rPr>
                <w:webHidden/>
              </w:rPr>
            </w:r>
            <w:r w:rsidRPr="00F1119D">
              <w:rPr>
                <w:webHidden/>
              </w:rPr>
              <w:fldChar w:fldCharType="separate"/>
            </w:r>
            <w:r w:rsidRPr="00F1119D">
              <w:rPr>
                <w:webHidden/>
              </w:rPr>
              <w:t>9</w:t>
            </w:r>
            <w:r w:rsidRPr="00F1119D">
              <w:rPr>
                <w:webHidden/>
              </w:rPr>
              <w:fldChar w:fldCharType="end"/>
            </w:r>
          </w:hyperlink>
        </w:p>
        <w:p w14:paraId="151B454E" w14:textId="2B99A28A" w:rsidR="002E01F4" w:rsidRPr="00F1119D" w:rsidRDefault="002E01F4">
          <w:pPr>
            <w:pStyle w:val="TOC3"/>
            <w:tabs>
              <w:tab w:val="left" w:pos="1440"/>
            </w:tabs>
            <w:rPr>
              <w:rFonts w:asciiTheme="minorHAnsi" w:eastAsiaTheme="minorEastAsia" w:hAnsiTheme="minorHAnsi" w:cstheme="minorBidi"/>
              <w:kern w:val="2"/>
              <w14:ligatures w14:val="standardContextual"/>
            </w:rPr>
          </w:pPr>
          <w:hyperlink w:anchor="_Toc210195422" w:history="1">
            <w:r w:rsidRPr="00F1119D">
              <w:rPr>
                <w:rStyle w:val="Hyperlink"/>
              </w:rPr>
              <w:t>3.3.1</w:t>
            </w:r>
            <w:r w:rsidRPr="00F1119D">
              <w:rPr>
                <w:rFonts w:asciiTheme="minorHAnsi" w:eastAsiaTheme="minorEastAsia" w:hAnsiTheme="minorHAnsi" w:cstheme="minorBidi"/>
                <w:kern w:val="2"/>
                <w14:ligatures w14:val="standardContextual"/>
              </w:rPr>
              <w:tab/>
            </w:r>
            <w:r w:rsidRPr="00F1119D">
              <w:rPr>
                <w:rStyle w:val="Hyperlink"/>
              </w:rPr>
              <w:t>Main themes</w:t>
            </w:r>
            <w:r w:rsidRPr="00F1119D">
              <w:rPr>
                <w:webHidden/>
              </w:rPr>
              <w:tab/>
            </w:r>
            <w:r w:rsidRPr="00F1119D">
              <w:rPr>
                <w:webHidden/>
              </w:rPr>
              <w:fldChar w:fldCharType="begin"/>
            </w:r>
            <w:r w:rsidRPr="00F1119D">
              <w:rPr>
                <w:webHidden/>
              </w:rPr>
              <w:instrText xml:space="preserve"> PAGEREF _Toc210195422 \h </w:instrText>
            </w:r>
            <w:r w:rsidRPr="00F1119D">
              <w:rPr>
                <w:webHidden/>
              </w:rPr>
            </w:r>
            <w:r w:rsidRPr="00F1119D">
              <w:rPr>
                <w:webHidden/>
              </w:rPr>
              <w:fldChar w:fldCharType="separate"/>
            </w:r>
            <w:r w:rsidRPr="00F1119D">
              <w:rPr>
                <w:webHidden/>
              </w:rPr>
              <w:t>10</w:t>
            </w:r>
            <w:r w:rsidRPr="00F1119D">
              <w:rPr>
                <w:webHidden/>
              </w:rPr>
              <w:fldChar w:fldCharType="end"/>
            </w:r>
          </w:hyperlink>
        </w:p>
        <w:p w14:paraId="523E7EB4" w14:textId="737403DB"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23" w:history="1">
            <w:r w:rsidRPr="00F1119D">
              <w:rPr>
                <w:rStyle w:val="Hyperlink"/>
                <w:noProof/>
              </w:rPr>
              <w:t>3.4</w:t>
            </w:r>
            <w:r w:rsidRPr="00F1119D">
              <w:rPr>
                <w:rFonts w:asciiTheme="minorHAnsi" w:eastAsiaTheme="minorEastAsia" w:hAnsiTheme="minorHAnsi" w:cstheme="minorBidi"/>
                <w:noProof/>
                <w:kern w:val="2"/>
                <w14:ligatures w14:val="standardContextual"/>
              </w:rPr>
              <w:tab/>
            </w:r>
            <w:r w:rsidRPr="00F1119D">
              <w:rPr>
                <w:rStyle w:val="Hyperlink"/>
                <w:noProof/>
              </w:rPr>
              <w:t>Workshop 4: Industry representatives</w:t>
            </w:r>
            <w:r w:rsidRPr="00F1119D">
              <w:rPr>
                <w:noProof/>
                <w:webHidden/>
              </w:rPr>
              <w:tab/>
            </w:r>
            <w:r w:rsidRPr="00F1119D">
              <w:rPr>
                <w:noProof/>
                <w:webHidden/>
              </w:rPr>
              <w:fldChar w:fldCharType="begin"/>
            </w:r>
            <w:r w:rsidRPr="00F1119D">
              <w:rPr>
                <w:noProof/>
                <w:webHidden/>
              </w:rPr>
              <w:instrText xml:space="preserve"> PAGEREF _Toc210195423 \h </w:instrText>
            </w:r>
            <w:r w:rsidRPr="00F1119D">
              <w:rPr>
                <w:noProof/>
                <w:webHidden/>
              </w:rPr>
            </w:r>
            <w:r w:rsidRPr="00F1119D">
              <w:rPr>
                <w:noProof/>
                <w:webHidden/>
              </w:rPr>
              <w:fldChar w:fldCharType="separate"/>
            </w:r>
            <w:r w:rsidRPr="00F1119D">
              <w:rPr>
                <w:noProof/>
                <w:webHidden/>
              </w:rPr>
              <w:t>11</w:t>
            </w:r>
            <w:r w:rsidRPr="00F1119D">
              <w:rPr>
                <w:noProof/>
                <w:webHidden/>
              </w:rPr>
              <w:fldChar w:fldCharType="end"/>
            </w:r>
          </w:hyperlink>
        </w:p>
        <w:p w14:paraId="428F902A" w14:textId="4E3CB3F4" w:rsidR="002E01F4" w:rsidRPr="00F1119D" w:rsidRDefault="002E01F4">
          <w:pPr>
            <w:pStyle w:val="TOC3"/>
            <w:tabs>
              <w:tab w:val="left" w:pos="1440"/>
            </w:tabs>
            <w:rPr>
              <w:rFonts w:asciiTheme="minorHAnsi" w:eastAsiaTheme="minorEastAsia" w:hAnsiTheme="minorHAnsi" w:cstheme="minorBidi"/>
              <w:kern w:val="2"/>
              <w14:ligatures w14:val="standardContextual"/>
            </w:rPr>
          </w:pPr>
          <w:hyperlink w:anchor="_Toc210195424" w:history="1">
            <w:r w:rsidRPr="00F1119D">
              <w:rPr>
                <w:rStyle w:val="Hyperlink"/>
              </w:rPr>
              <w:t>3.4.1</w:t>
            </w:r>
            <w:r w:rsidRPr="00F1119D">
              <w:rPr>
                <w:rFonts w:asciiTheme="minorHAnsi" w:eastAsiaTheme="minorEastAsia" w:hAnsiTheme="minorHAnsi" w:cstheme="minorBidi"/>
                <w:kern w:val="2"/>
                <w14:ligatures w14:val="standardContextual"/>
              </w:rPr>
              <w:tab/>
            </w:r>
            <w:r w:rsidRPr="00F1119D">
              <w:rPr>
                <w:rStyle w:val="Hyperlink"/>
              </w:rPr>
              <w:t>Participants</w:t>
            </w:r>
            <w:r w:rsidRPr="00F1119D">
              <w:rPr>
                <w:webHidden/>
              </w:rPr>
              <w:tab/>
            </w:r>
            <w:r w:rsidRPr="00F1119D">
              <w:rPr>
                <w:webHidden/>
              </w:rPr>
              <w:fldChar w:fldCharType="begin"/>
            </w:r>
            <w:r w:rsidRPr="00F1119D">
              <w:rPr>
                <w:webHidden/>
              </w:rPr>
              <w:instrText xml:space="preserve"> PAGEREF _Toc210195424 \h </w:instrText>
            </w:r>
            <w:r w:rsidRPr="00F1119D">
              <w:rPr>
                <w:webHidden/>
              </w:rPr>
            </w:r>
            <w:r w:rsidRPr="00F1119D">
              <w:rPr>
                <w:webHidden/>
              </w:rPr>
              <w:fldChar w:fldCharType="separate"/>
            </w:r>
            <w:r w:rsidRPr="00F1119D">
              <w:rPr>
                <w:webHidden/>
              </w:rPr>
              <w:t>11</w:t>
            </w:r>
            <w:r w:rsidRPr="00F1119D">
              <w:rPr>
                <w:webHidden/>
              </w:rPr>
              <w:fldChar w:fldCharType="end"/>
            </w:r>
          </w:hyperlink>
        </w:p>
        <w:p w14:paraId="189A6DC2" w14:textId="1BF4B4FD" w:rsidR="002E01F4" w:rsidRPr="00F1119D" w:rsidRDefault="002E01F4">
          <w:pPr>
            <w:pStyle w:val="TOC3"/>
            <w:tabs>
              <w:tab w:val="left" w:pos="1440"/>
            </w:tabs>
            <w:rPr>
              <w:rFonts w:asciiTheme="minorHAnsi" w:eastAsiaTheme="minorEastAsia" w:hAnsiTheme="minorHAnsi" w:cstheme="minorBidi"/>
              <w:kern w:val="2"/>
              <w14:ligatures w14:val="standardContextual"/>
            </w:rPr>
          </w:pPr>
          <w:hyperlink w:anchor="_Toc210195425" w:history="1">
            <w:r w:rsidRPr="00F1119D">
              <w:rPr>
                <w:rStyle w:val="Hyperlink"/>
              </w:rPr>
              <w:t>3.4.1</w:t>
            </w:r>
            <w:r w:rsidRPr="00F1119D">
              <w:rPr>
                <w:rFonts w:asciiTheme="minorHAnsi" w:eastAsiaTheme="minorEastAsia" w:hAnsiTheme="minorHAnsi" w:cstheme="minorBidi"/>
                <w:kern w:val="2"/>
                <w14:ligatures w14:val="standardContextual"/>
              </w:rPr>
              <w:tab/>
            </w:r>
            <w:r w:rsidRPr="00F1119D">
              <w:rPr>
                <w:rStyle w:val="Hyperlink"/>
              </w:rPr>
              <w:t>Main themes</w:t>
            </w:r>
            <w:r w:rsidRPr="00F1119D">
              <w:rPr>
                <w:webHidden/>
              </w:rPr>
              <w:tab/>
            </w:r>
            <w:r w:rsidRPr="00F1119D">
              <w:rPr>
                <w:webHidden/>
              </w:rPr>
              <w:fldChar w:fldCharType="begin"/>
            </w:r>
            <w:r w:rsidRPr="00F1119D">
              <w:rPr>
                <w:webHidden/>
              </w:rPr>
              <w:instrText xml:space="preserve"> PAGEREF _Toc210195425 \h </w:instrText>
            </w:r>
            <w:r w:rsidRPr="00F1119D">
              <w:rPr>
                <w:webHidden/>
              </w:rPr>
            </w:r>
            <w:r w:rsidRPr="00F1119D">
              <w:rPr>
                <w:webHidden/>
              </w:rPr>
              <w:fldChar w:fldCharType="separate"/>
            </w:r>
            <w:r w:rsidRPr="00F1119D">
              <w:rPr>
                <w:webHidden/>
              </w:rPr>
              <w:t>11</w:t>
            </w:r>
            <w:r w:rsidRPr="00F1119D">
              <w:rPr>
                <w:webHidden/>
              </w:rPr>
              <w:fldChar w:fldCharType="end"/>
            </w:r>
          </w:hyperlink>
        </w:p>
        <w:p w14:paraId="77715E6D" w14:textId="69B20F09" w:rsidR="002E01F4" w:rsidRPr="00F1119D" w:rsidRDefault="002E01F4">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195426" w:history="1">
            <w:r w:rsidRPr="00F1119D">
              <w:rPr>
                <w:rStyle w:val="Hyperlink"/>
                <w:noProof/>
              </w:rPr>
              <w:t>4</w:t>
            </w:r>
            <w:r w:rsidRPr="00F1119D">
              <w:rPr>
                <w:rFonts w:asciiTheme="minorHAnsi" w:eastAsiaTheme="minorEastAsia" w:hAnsiTheme="minorHAnsi" w:cstheme="minorBidi"/>
                <w:noProof/>
                <w:kern w:val="2"/>
                <w14:ligatures w14:val="standardContextual"/>
              </w:rPr>
              <w:tab/>
            </w:r>
            <w:r w:rsidRPr="00F1119D">
              <w:rPr>
                <w:rStyle w:val="Hyperlink"/>
                <w:noProof/>
              </w:rPr>
              <w:t>Synthesis</w:t>
            </w:r>
            <w:r w:rsidRPr="00F1119D">
              <w:rPr>
                <w:noProof/>
                <w:webHidden/>
              </w:rPr>
              <w:tab/>
            </w:r>
            <w:r w:rsidRPr="00F1119D">
              <w:rPr>
                <w:noProof/>
                <w:webHidden/>
              </w:rPr>
              <w:fldChar w:fldCharType="begin"/>
            </w:r>
            <w:r w:rsidRPr="00F1119D">
              <w:rPr>
                <w:noProof/>
                <w:webHidden/>
              </w:rPr>
              <w:instrText xml:space="preserve"> PAGEREF _Toc210195426 \h </w:instrText>
            </w:r>
            <w:r w:rsidRPr="00F1119D">
              <w:rPr>
                <w:noProof/>
                <w:webHidden/>
              </w:rPr>
            </w:r>
            <w:r w:rsidRPr="00F1119D">
              <w:rPr>
                <w:noProof/>
                <w:webHidden/>
              </w:rPr>
              <w:fldChar w:fldCharType="separate"/>
            </w:r>
            <w:r w:rsidRPr="00F1119D">
              <w:rPr>
                <w:noProof/>
                <w:webHidden/>
              </w:rPr>
              <w:t>12</w:t>
            </w:r>
            <w:r w:rsidRPr="00F1119D">
              <w:rPr>
                <w:noProof/>
                <w:webHidden/>
              </w:rPr>
              <w:fldChar w:fldCharType="end"/>
            </w:r>
          </w:hyperlink>
        </w:p>
        <w:p w14:paraId="53406938" w14:textId="33B3EC66"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27" w:history="1">
            <w:r w:rsidRPr="00F1119D">
              <w:rPr>
                <w:rStyle w:val="Hyperlink"/>
                <w:noProof/>
              </w:rPr>
              <w:t>4.1</w:t>
            </w:r>
            <w:r w:rsidRPr="00F1119D">
              <w:rPr>
                <w:rFonts w:asciiTheme="minorHAnsi" w:eastAsiaTheme="minorEastAsia" w:hAnsiTheme="minorHAnsi" w:cstheme="minorBidi"/>
                <w:noProof/>
                <w:kern w:val="2"/>
                <w14:ligatures w14:val="standardContextual"/>
              </w:rPr>
              <w:tab/>
            </w:r>
            <w:r w:rsidRPr="00F1119D">
              <w:rPr>
                <w:rStyle w:val="Hyperlink"/>
                <w:noProof/>
              </w:rPr>
              <w:t>Evidence and uncertainty</w:t>
            </w:r>
            <w:r w:rsidRPr="00F1119D">
              <w:rPr>
                <w:noProof/>
                <w:webHidden/>
              </w:rPr>
              <w:tab/>
            </w:r>
            <w:r w:rsidRPr="00F1119D">
              <w:rPr>
                <w:noProof/>
                <w:webHidden/>
              </w:rPr>
              <w:fldChar w:fldCharType="begin"/>
            </w:r>
            <w:r w:rsidRPr="00F1119D">
              <w:rPr>
                <w:noProof/>
                <w:webHidden/>
              </w:rPr>
              <w:instrText xml:space="preserve"> PAGEREF _Toc210195427 \h </w:instrText>
            </w:r>
            <w:r w:rsidRPr="00F1119D">
              <w:rPr>
                <w:noProof/>
                <w:webHidden/>
              </w:rPr>
            </w:r>
            <w:r w:rsidRPr="00F1119D">
              <w:rPr>
                <w:noProof/>
                <w:webHidden/>
              </w:rPr>
              <w:fldChar w:fldCharType="separate"/>
            </w:r>
            <w:r w:rsidRPr="00F1119D">
              <w:rPr>
                <w:noProof/>
                <w:webHidden/>
              </w:rPr>
              <w:t>12</w:t>
            </w:r>
            <w:r w:rsidRPr="00F1119D">
              <w:rPr>
                <w:noProof/>
                <w:webHidden/>
              </w:rPr>
              <w:fldChar w:fldCharType="end"/>
            </w:r>
          </w:hyperlink>
        </w:p>
        <w:p w14:paraId="6911594A" w14:textId="1EF476E8"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28" w:history="1">
            <w:r w:rsidRPr="00F1119D">
              <w:rPr>
                <w:rStyle w:val="Hyperlink"/>
                <w:noProof/>
              </w:rPr>
              <w:t>4.2</w:t>
            </w:r>
            <w:r w:rsidRPr="00F1119D">
              <w:rPr>
                <w:rFonts w:asciiTheme="minorHAnsi" w:eastAsiaTheme="minorEastAsia" w:hAnsiTheme="minorHAnsi" w:cstheme="minorBidi"/>
                <w:noProof/>
                <w:kern w:val="2"/>
                <w14:ligatures w14:val="standardContextual"/>
              </w:rPr>
              <w:tab/>
            </w:r>
            <w:r w:rsidRPr="00F1119D">
              <w:rPr>
                <w:rStyle w:val="Hyperlink"/>
                <w:noProof/>
              </w:rPr>
              <w:t>Natural history and generalisability</w:t>
            </w:r>
            <w:r w:rsidRPr="00F1119D">
              <w:rPr>
                <w:noProof/>
                <w:webHidden/>
              </w:rPr>
              <w:tab/>
            </w:r>
            <w:r w:rsidRPr="00F1119D">
              <w:rPr>
                <w:noProof/>
                <w:webHidden/>
              </w:rPr>
              <w:fldChar w:fldCharType="begin"/>
            </w:r>
            <w:r w:rsidRPr="00F1119D">
              <w:rPr>
                <w:noProof/>
                <w:webHidden/>
              </w:rPr>
              <w:instrText xml:space="preserve"> PAGEREF _Toc210195428 \h </w:instrText>
            </w:r>
            <w:r w:rsidRPr="00F1119D">
              <w:rPr>
                <w:noProof/>
                <w:webHidden/>
              </w:rPr>
            </w:r>
            <w:r w:rsidRPr="00F1119D">
              <w:rPr>
                <w:noProof/>
                <w:webHidden/>
              </w:rPr>
              <w:fldChar w:fldCharType="separate"/>
            </w:r>
            <w:r w:rsidRPr="00F1119D">
              <w:rPr>
                <w:noProof/>
                <w:webHidden/>
              </w:rPr>
              <w:t>12</w:t>
            </w:r>
            <w:r w:rsidRPr="00F1119D">
              <w:rPr>
                <w:noProof/>
                <w:webHidden/>
              </w:rPr>
              <w:fldChar w:fldCharType="end"/>
            </w:r>
          </w:hyperlink>
        </w:p>
        <w:p w14:paraId="599B64D1" w14:textId="5B73F5E3"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29" w:history="1">
            <w:r w:rsidRPr="00F1119D">
              <w:rPr>
                <w:rStyle w:val="Hyperlink"/>
                <w:noProof/>
              </w:rPr>
              <w:t>4.3</w:t>
            </w:r>
            <w:r w:rsidRPr="00F1119D">
              <w:rPr>
                <w:rFonts w:asciiTheme="minorHAnsi" w:eastAsiaTheme="minorEastAsia" w:hAnsiTheme="minorHAnsi" w:cstheme="minorBidi"/>
                <w:noProof/>
                <w:kern w:val="2"/>
                <w14:ligatures w14:val="standardContextual"/>
              </w:rPr>
              <w:tab/>
            </w:r>
            <w:r w:rsidRPr="00F1119D">
              <w:rPr>
                <w:rStyle w:val="Hyperlink"/>
                <w:noProof/>
              </w:rPr>
              <w:t>Surrogate endpoints and outcomes</w:t>
            </w:r>
            <w:r w:rsidRPr="00F1119D">
              <w:rPr>
                <w:noProof/>
                <w:webHidden/>
              </w:rPr>
              <w:tab/>
            </w:r>
            <w:r w:rsidRPr="00F1119D">
              <w:rPr>
                <w:noProof/>
                <w:webHidden/>
              </w:rPr>
              <w:fldChar w:fldCharType="begin"/>
            </w:r>
            <w:r w:rsidRPr="00F1119D">
              <w:rPr>
                <w:noProof/>
                <w:webHidden/>
              </w:rPr>
              <w:instrText xml:space="preserve"> PAGEREF _Toc210195429 \h </w:instrText>
            </w:r>
            <w:r w:rsidRPr="00F1119D">
              <w:rPr>
                <w:noProof/>
                <w:webHidden/>
              </w:rPr>
            </w:r>
            <w:r w:rsidRPr="00F1119D">
              <w:rPr>
                <w:noProof/>
                <w:webHidden/>
              </w:rPr>
              <w:fldChar w:fldCharType="separate"/>
            </w:r>
            <w:r w:rsidRPr="00F1119D">
              <w:rPr>
                <w:noProof/>
                <w:webHidden/>
              </w:rPr>
              <w:t>13</w:t>
            </w:r>
            <w:r w:rsidRPr="00F1119D">
              <w:rPr>
                <w:noProof/>
                <w:webHidden/>
              </w:rPr>
              <w:fldChar w:fldCharType="end"/>
            </w:r>
          </w:hyperlink>
        </w:p>
        <w:p w14:paraId="39778636" w14:textId="26CB7051"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30" w:history="1">
            <w:r w:rsidRPr="00F1119D">
              <w:rPr>
                <w:rStyle w:val="Hyperlink"/>
                <w:noProof/>
              </w:rPr>
              <w:t>4.4</w:t>
            </w:r>
            <w:r w:rsidRPr="00F1119D">
              <w:rPr>
                <w:rFonts w:asciiTheme="minorHAnsi" w:eastAsiaTheme="minorEastAsia" w:hAnsiTheme="minorHAnsi" w:cstheme="minorBidi"/>
                <w:noProof/>
                <w:kern w:val="2"/>
                <w14:ligatures w14:val="standardContextual"/>
              </w:rPr>
              <w:tab/>
            </w:r>
            <w:r w:rsidRPr="00F1119D">
              <w:rPr>
                <w:rStyle w:val="Hyperlink"/>
                <w:noProof/>
              </w:rPr>
              <w:t>Institutional memory</w:t>
            </w:r>
            <w:r w:rsidRPr="00F1119D">
              <w:rPr>
                <w:noProof/>
                <w:webHidden/>
              </w:rPr>
              <w:tab/>
            </w:r>
            <w:r w:rsidRPr="00F1119D">
              <w:rPr>
                <w:noProof/>
                <w:webHidden/>
              </w:rPr>
              <w:fldChar w:fldCharType="begin"/>
            </w:r>
            <w:r w:rsidRPr="00F1119D">
              <w:rPr>
                <w:noProof/>
                <w:webHidden/>
              </w:rPr>
              <w:instrText xml:space="preserve"> PAGEREF _Toc210195430 \h </w:instrText>
            </w:r>
            <w:r w:rsidRPr="00F1119D">
              <w:rPr>
                <w:noProof/>
                <w:webHidden/>
              </w:rPr>
            </w:r>
            <w:r w:rsidRPr="00F1119D">
              <w:rPr>
                <w:noProof/>
                <w:webHidden/>
              </w:rPr>
              <w:fldChar w:fldCharType="separate"/>
            </w:r>
            <w:r w:rsidRPr="00F1119D">
              <w:rPr>
                <w:noProof/>
                <w:webHidden/>
              </w:rPr>
              <w:t>13</w:t>
            </w:r>
            <w:r w:rsidRPr="00F1119D">
              <w:rPr>
                <w:noProof/>
                <w:webHidden/>
              </w:rPr>
              <w:fldChar w:fldCharType="end"/>
            </w:r>
          </w:hyperlink>
        </w:p>
        <w:p w14:paraId="396488C1" w14:textId="5EFEA891"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31" w:history="1">
            <w:r w:rsidRPr="00F1119D">
              <w:rPr>
                <w:rStyle w:val="Hyperlink"/>
                <w:noProof/>
              </w:rPr>
              <w:t>4.5</w:t>
            </w:r>
            <w:r w:rsidRPr="00F1119D">
              <w:rPr>
                <w:rFonts w:asciiTheme="minorHAnsi" w:eastAsiaTheme="minorEastAsia" w:hAnsiTheme="minorHAnsi" w:cstheme="minorBidi"/>
                <w:noProof/>
                <w:kern w:val="2"/>
                <w14:ligatures w14:val="standardContextual"/>
              </w:rPr>
              <w:tab/>
            </w:r>
            <w:r w:rsidRPr="00F1119D">
              <w:rPr>
                <w:rStyle w:val="Hyperlink"/>
                <w:noProof/>
              </w:rPr>
              <w:t>Pre-competitive collaboration</w:t>
            </w:r>
            <w:r w:rsidRPr="00F1119D">
              <w:rPr>
                <w:noProof/>
                <w:webHidden/>
              </w:rPr>
              <w:tab/>
            </w:r>
            <w:r w:rsidRPr="00F1119D">
              <w:rPr>
                <w:noProof/>
                <w:webHidden/>
              </w:rPr>
              <w:fldChar w:fldCharType="begin"/>
            </w:r>
            <w:r w:rsidRPr="00F1119D">
              <w:rPr>
                <w:noProof/>
                <w:webHidden/>
              </w:rPr>
              <w:instrText xml:space="preserve"> PAGEREF _Toc210195431 \h </w:instrText>
            </w:r>
            <w:r w:rsidRPr="00F1119D">
              <w:rPr>
                <w:noProof/>
                <w:webHidden/>
              </w:rPr>
            </w:r>
            <w:r w:rsidRPr="00F1119D">
              <w:rPr>
                <w:noProof/>
                <w:webHidden/>
              </w:rPr>
              <w:fldChar w:fldCharType="separate"/>
            </w:r>
            <w:r w:rsidRPr="00F1119D">
              <w:rPr>
                <w:noProof/>
                <w:webHidden/>
              </w:rPr>
              <w:t>13</w:t>
            </w:r>
            <w:r w:rsidRPr="00F1119D">
              <w:rPr>
                <w:noProof/>
                <w:webHidden/>
              </w:rPr>
              <w:fldChar w:fldCharType="end"/>
            </w:r>
          </w:hyperlink>
        </w:p>
        <w:p w14:paraId="60DF245C" w14:textId="0851C940"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32" w:history="1">
            <w:r w:rsidRPr="00F1119D">
              <w:rPr>
                <w:rStyle w:val="Hyperlink"/>
                <w:noProof/>
              </w:rPr>
              <w:t>4.6</w:t>
            </w:r>
            <w:r w:rsidRPr="00F1119D">
              <w:rPr>
                <w:rFonts w:asciiTheme="minorHAnsi" w:eastAsiaTheme="minorEastAsia" w:hAnsiTheme="minorHAnsi" w:cstheme="minorBidi"/>
                <w:noProof/>
                <w:kern w:val="2"/>
                <w14:ligatures w14:val="standardContextual"/>
              </w:rPr>
              <w:tab/>
            </w:r>
            <w:r w:rsidRPr="00F1119D">
              <w:rPr>
                <w:rStyle w:val="Hyperlink"/>
                <w:noProof/>
              </w:rPr>
              <w:t>Platform and multi-indication appraisals</w:t>
            </w:r>
            <w:r w:rsidRPr="00F1119D">
              <w:rPr>
                <w:noProof/>
                <w:webHidden/>
              </w:rPr>
              <w:tab/>
            </w:r>
            <w:r w:rsidRPr="00F1119D">
              <w:rPr>
                <w:noProof/>
                <w:webHidden/>
              </w:rPr>
              <w:fldChar w:fldCharType="begin"/>
            </w:r>
            <w:r w:rsidRPr="00F1119D">
              <w:rPr>
                <w:noProof/>
                <w:webHidden/>
              </w:rPr>
              <w:instrText xml:space="preserve"> PAGEREF _Toc210195432 \h </w:instrText>
            </w:r>
            <w:r w:rsidRPr="00F1119D">
              <w:rPr>
                <w:noProof/>
                <w:webHidden/>
              </w:rPr>
            </w:r>
            <w:r w:rsidRPr="00F1119D">
              <w:rPr>
                <w:noProof/>
                <w:webHidden/>
              </w:rPr>
              <w:fldChar w:fldCharType="separate"/>
            </w:r>
            <w:r w:rsidRPr="00F1119D">
              <w:rPr>
                <w:noProof/>
                <w:webHidden/>
              </w:rPr>
              <w:t>14</w:t>
            </w:r>
            <w:r w:rsidRPr="00F1119D">
              <w:rPr>
                <w:noProof/>
                <w:webHidden/>
              </w:rPr>
              <w:fldChar w:fldCharType="end"/>
            </w:r>
          </w:hyperlink>
        </w:p>
        <w:p w14:paraId="6B82CBDD" w14:textId="21D3A481"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33" w:history="1">
            <w:r w:rsidRPr="00F1119D">
              <w:rPr>
                <w:rStyle w:val="Hyperlink"/>
                <w:noProof/>
              </w:rPr>
              <w:t>4.7</w:t>
            </w:r>
            <w:r w:rsidRPr="00F1119D">
              <w:rPr>
                <w:rFonts w:asciiTheme="minorHAnsi" w:eastAsiaTheme="minorEastAsia" w:hAnsiTheme="minorHAnsi" w:cstheme="minorBidi"/>
                <w:noProof/>
                <w:kern w:val="2"/>
                <w14:ligatures w14:val="standardContextual"/>
              </w:rPr>
              <w:tab/>
            </w:r>
            <w:r w:rsidRPr="00F1119D">
              <w:rPr>
                <w:rStyle w:val="Hyperlink"/>
                <w:noProof/>
              </w:rPr>
              <w:t>System-wide dependencies</w:t>
            </w:r>
            <w:r w:rsidRPr="00F1119D">
              <w:rPr>
                <w:noProof/>
                <w:webHidden/>
              </w:rPr>
              <w:tab/>
            </w:r>
            <w:r w:rsidRPr="00F1119D">
              <w:rPr>
                <w:noProof/>
                <w:webHidden/>
              </w:rPr>
              <w:fldChar w:fldCharType="begin"/>
            </w:r>
            <w:r w:rsidRPr="00F1119D">
              <w:rPr>
                <w:noProof/>
                <w:webHidden/>
              </w:rPr>
              <w:instrText xml:space="preserve"> PAGEREF _Toc210195433 \h </w:instrText>
            </w:r>
            <w:r w:rsidRPr="00F1119D">
              <w:rPr>
                <w:noProof/>
                <w:webHidden/>
              </w:rPr>
            </w:r>
            <w:r w:rsidRPr="00F1119D">
              <w:rPr>
                <w:noProof/>
                <w:webHidden/>
              </w:rPr>
              <w:fldChar w:fldCharType="separate"/>
            </w:r>
            <w:r w:rsidRPr="00F1119D">
              <w:rPr>
                <w:noProof/>
                <w:webHidden/>
              </w:rPr>
              <w:t>14</w:t>
            </w:r>
            <w:r w:rsidRPr="00F1119D">
              <w:rPr>
                <w:noProof/>
                <w:webHidden/>
              </w:rPr>
              <w:fldChar w:fldCharType="end"/>
            </w:r>
          </w:hyperlink>
        </w:p>
        <w:p w14:paraId="13D3D373" w14:textId="635779D3" w:rsidR="002E01F4" w:rsidRPr="00F1119D" w:rsidRDefault="002E01F4">
          <w:pPr>
            <w:pStyle w:val="TOC2"/>
            <w:tabs>
              <w:tab w:val="left" w:pos="960"/>
              <w:tab w:val="right" w:leader="dot" w:pos="8296"/>
            </w:tabs>
            <w:rPr>
              <w:rFonts w:asciiTheme="minorHAnsi" w:eastAsiaTheme="minorEastAsia" w:hAnsiTheme="minorHAnsi" w:cstheme="minorBidi"/>
              <w:noProof/>
              <w:kern w:val="2"/>
              <w14:ligatures w14:val="standardContextual"/>
            </w:rPr>
          </w:pPr>
          <w:hyperlink w:anchor="_Toc210195434" w:history="1">
            <w:r w:rsidRPr="00F1119D">
              <w:rPr>
                <w:rStyle w:val="Hyperlink"/>
                <w:noProof/>
              </w:rPr>
              <w:t>4.8</w:t>
            </w:r>
            <w:r w:rsidRPr="00F1119D">
              <w:rPr>
                <w:rFonts w:asciiTheme="minorHAnsi" w:eastAsiaTheme="minorEastAsia" w:hAnsiTheme="minorHAnsi" w:cstheme="minorBidi"/>
                <w:noProof/>
                <w:kern w:val="2"/>
                <w14:ligatures w14:val="standardContextual"/>
              </w:rPr>
              <w:tab/>
            </w:r>
            <w:r w:rsidRPr="00F1119D">
              <w:rPr>
                <w:rStyle w:val="Hyperlink"/>
                <w:noProof/>
              </w:rPr>
              <w:t>Summary</w:t>
            </w:r>
            <w:r w:rsidRPr="00F1119D">
              <w:rPr>
                <w:noProof/>
                <w:webHidden/>
              </w:rPr>
              <w:tab/>
            </w:r>
            <w:r w:rsidRPr="00F1119D">
              <w:rPr>
                <w:noProof/>
                <w:webHidden/>
              </w:rPr>
              <w:fldChar w:fldCharType="begin"/>
            </w:r>
            <w:r w:rsidRPr="00F1119D">
              <w:rPr>
                <w:noProof/>
                <w:webHidden/>
              </w:rPr>
              <w:instrText xml:space="preserve"> PAGEREF _Toc210195434 \h </w:instrText>
            </w:r>
            <w:r w:rsidRPr="00F1119D">
              <w:rPr>
                <w:noProof/>
                <w:webHidden/>
              </w:rPr>
            </w:r>
            <w:r w:rsidRPr="00F1119D">
              <w:rPr>
                <w:noProof/>
                <w:webHidden/>
              </w:rPr>
              <w:fldChar w:fldCharType="separate"/>
            </w:r>
            <w:r w:rsidRPr="00F1119D">
              <w:rPr>
                <w:noProof/>
                <w:webHidden/>
              </w:rPr>
              <w:t>14</w:t>
            </w:r>
            <w:r w:rsidRPr="00F1119D">
              <w:rPr>
                <w:noProof/>
                <w:webHidden/>
              </w:rPr>
              <w:fldChar w:fldCharType="end"/>
            </w:r>
          </w:hyperlink>
        </w:p>
        <w:p w14:paraId="4063A77D" w14:textId="73CBD662" w:rsidR="002E01F4" w:rsidRPr="00F1119D" w:rsidRDefault="002E01F4">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195435" w:history="1">
            <w:r w:rsidRPr="00F1119D">
              <w:rPr>
                <w:rStyle w:val="Hyperlink"/>
                <w:noProof/>
              </w:rPr>
              <w:t>5</w:t>
            </w:r>
            <w:r w:rsidRPr="00F1119D">
              <w:rPr>
                <w:rFonts w:asciiTheme="minorHAnsi" w:eastAsiaTheme="minorEastAsia" w:hAnsiTheme="minorHAnsi" w:cstheme="minorBidi"/>
                <w:noProof/>
                <w:kern w:val="2"/>
                <w14:ligatures w14:val="standardContextual"/>
              </w:rPr>
              <w:tab/>
            </w:r>
            <w:r w:rsidRPr="00F1119D">
              <w:rPr>
                <w:rStyle w:val="Hyperlink"/>
                <w:noProof/>
              </w:rPr>
              <w:t>Limitations</w:t>
            </w:r>
            <w:r w:rsidRPr="00F1119D">
              <w:rPr>
                <w:noProof/>
                <w:webHidden/>
              </w:rPr>
              <w:tab/>
            </w:r>
            <w:r w:rsidRPr="00F1119D">
              <w:rPr>
                <w:noProof/>
                <w:webHidden/>
              </w:rPr>
              <w:fldChar w:fldCharType="begin"/>
            </w:r>
            <w:r w:rsidRPr="00F1119D">
              <w:rPr>
                <w:noProof/>
                <w:webHidden/>
              </w:rPr>
              <w:instrText xml:space="preserve"> PAGEREF _Toc210195435 \h </w:instrText>
            </w:r>
            <w:r w:rsidRPr="00F1119D">
              <w:rPr>
                <w:noProof/>
                <w:webHidden/>
              </w:rPr>
            </w:r>
            <w:r w:rsidRPr="00F1119D">
              <w:rPr>
                <w:noProof/>
                <w:webHidden/>
              </w:rPr>
              <w:fldChar w:fldCharType="separate"/>
            </w:r>
            <w:r w:rsidRPr="00F1119D">
              <w:rPr>
                <w:noProof/>
                <w:webHidden/>
              </w:rPr>
              <w:t>14</w:t>
            </w:r>
            <w:r w:rsidRPr="00F1119D">
              <w:rPr>
                <w:noProof/>
                <w:webHidden/>
              </w:rPr>
              <w:fldChar w:fldCharType="end"/>
            </w:r>
          </w:hyperlink>
        </w:p>
        <w:p w14:paraId="4A1D2F8A" w14:textId="22BBC3E5" w:rsidR="002E01F4" w:rsidRPr="00F1119D" w:rsidRDefault="002E01F4">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195436" w:history="1">
            <w:r w:rsidRPr="00F1119D">
              <w:rPr>
                <w:rStyle w:val="Hyperlink"/>
                <w:noProof/>
              </w:rPr>
              <w:t>6</w:t>
            </w:r>
            <w:r w:rsidRPr="00F1119D">
              <w:rPr>
                <w:rFonts w:asciiTheme="minorHAnsi" w:eastAsiaTheme="minorEastAsia" w:hAnsiTheme="minorHAnsi" w:cstheme="minorBidi"/>
                <w:noProof/>
                <w:kern w:val="2"/>
                <w14:ligatures w14:val="standardContextual"/>
              </w:rPr>
              <w:tab/>
            </w:r>
            <w:r w:rsidRPr="00F1119D">
              <w:rPr>
                <w:rStyle w:val="Hyperlink"/>
                <w:noProof/>
              </w:rPr>
              <w:t>Conclusion</w:t>
            </w:r>
            <w:r w:rsidRPr="00F1119D">
              <w:rPr>
                <w:noProof/>
                <w:webHidden/>
              </w:rPr>
              <w:tab/>
            </w:r>
            <w:r w:rsidRPr="00F1119D">
              <w:rPr>
                <w:noProof/>
                <w:webHidden/>
              </w:rPr>
              <w:fldChar w:fldCharType="begin"/>
            </w:r>
            <w:r w:rsidRPr="00F1119D">
              <w:rPr>
                <w:noProof/>
                <w:webHidden/>
              </w:rPr>
              <w:instrText xml:space="preserve"> PAGEREF _Toc210195436 \h </w:instrText>
            </w:r>
            <w:r w:rsidRPr="00F1119D">
              <w:rPr>
                <w:noProof/>
                <w:webHidden/>
              </w:rPr>
            </w:r>
            <w:r w:rsidRPr="00F1119D">
              <w:rPr>
                <w:noProof/>
                <w:webHidden/>
              </w:rPr>
              <w:fldChar w:fldCharType="separate"/>
            </w:r>
            <w:r w:rsidRPr="00F1119D">
              <w:rPr>
                <w:noProof/>
                <w:webHidden/>
              </w:rPr>
              <w:t>15</w:t>
            </w:r>
            <w:r w:rsidRPr="00F1119D">
              <w:rPr>
                <w:noProof/>
                <w:webHidden/>
              </w:rPr>
              <w:fldChar w:fldCharType="end"/>
            </w:r>
          </w:hyperlink>
        </w:p>
        <w:p w14:paraId="5CB5A5C3" w14:textId="59C5634E" w:rsidR="002E01F4" w:rsidRPr="00F1119D" w:rsidRDefault="002E01F4">
          <w:pPr>
            <w:pStyle w:val="TOC1"/>
            <w:tabs>
              <w:tab w:val="right" w:leader="dot" w:pos="8296"/>
            </w:tabs>
            <w:rPr>
              <w:rFonts w:asciiTheme="minorHAnsi" w:eastAsiaTheme="minorEastAsia" w:hAnsiTheme="minorHAnsi" w:cstheme="minorBidi"/>
              <w:noProof/>
              <w:kern w:val="2"/>
              <w14:ligatures w14:val="standardContextual"/>
            </w:rPr>
          </w:pPr>
          <w:hyperlink w:anchor="_Toc210195437" w:history="1">
            <w:r w:rsidRPr="00F1119D">
              <w:rPr>
                <w:rStyle w:val="Hyperlink"/>
                <w:noProof/>
              </w:rPr>
              <w:t>Project team</w:t>
            </w:r>
            <w:r w:rsidRPr="00F1119D">
              <w:rPr>
                <w:noProof/>
                <w:webHidden/>
              </w:rPr>
              <w:tab/>
            </w:r>
            <w:r w:rsidRPr="00F1119D">
              <w:rPr>
                <w:noProof/>
                <w:webHidden/>
              </w:rPr>
              <w:fldChar w:fldCharType="begin"/>
            </w:r>
            <w:r w:rsidRPr="00F1119D">
              <w:rPr>
                <w:noProof/>
                <w:webHidden/>
              </w:rPr>
              <w:instrText xml:space="preserve"> PAGEREF _Toc210195437 \h </w:instrText>
            </w:r>
            <w:r w:rsidRPr="00F1119D">
              <w:rPr>
                <w:noProof/>
                <w:webHidden/>
              </w:rPr>
            </w:r>
            <w:r w:rsidRPr="00F1119D">
              <w:rPr>
                <w:noProof/>
                <w:webHidden/>
              </w:rPr>
              <w:fldChar w:fldCharType="separate"/>
            </w:r>
            <w:r w:rsidRPr="00F1119D">
              <w:rPr>
                <w:noProof/>
                <w:webHidden/>
              </w:rPr>
              <w:t>16</w:t>
            </w:r>
            <w:r w:rsidRPr="00F1119D">
              <w:rPr>
                <w:noProof/>
                <w:webHidden/>
              </w:rPr>
              <w:fldChar w:fldCharType="end"/>
            </w:r>
          </w:hyperlink>
        </w:p>
        <w:p w14:paraId="3FA50182" w14:textId="2D658C2C" w:rsidR="002E01F4" w:rsidRPr="00F1119D" w:rsidRDefault="002E01F4">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195438" w:history="1">
            <w:r w:rsidRPr="00F1119D">
              <w:rPr>
                <w:rStyle w:val="Hyperlink"/>
                <w:noProof/>
              </w:rPr>
              <w:t>7</w:t>
            </w:r>
            <w:r w:rsidRPr="00F1119D">
              <w:rPr>
                <w:rFonts w:asciiTheme="minorHAnsi" w:eastAsiaTheme="minorEastAsia" w:hAnsiTheme="minorHAnsi" w:cstheme="minorBidi"/>
                <w:noProof/>
                <w:kern w:val="2"/>
                <w14:ligatures w14:val="standardContextual"/>
              </w:rPr>
              <w:tab/>
            </w:r>
            <w:r w:rsidRPr="00F1119D">
              <w:rPr>
                <w:rStyle w:val="Hyperlink"/>
                <w:noProof/>
              </w:rPr>
              <w:t>Acknowledgements</w:t>
            </w:r>
            <w:r w:rsidRPr="00F1119D">
              <w:rPr>
                <w:noProof/>
                <w:webHidden/>
              </w:rPr>
              <w:tab/>
            </w:r>
            <w:r w:rsidRPr="00F1119D">
              <w:rPr>
                <w:noProof/>
                <w:webHidden/>
              </w:rPr>
              <w:fldChar w:fldCharType="begin"/>
            </w:r>
            <w:r w:rsidRPr="00F1119D">
              <w:rPr>
                <w:noProof/>
                <w:webHidden/>
              </w:rPr>
              <w:instrText xml:space="preserve"> PAGEREF _Toc210195438 \h </w:instrText>
            </w:r>
            <w:r w:rsidRPr="00F1119D">
              <w:rPr>
                <w:noProof/>
                <w:webHidden/>
              </w:rPr>
            </w:r>
            <w:r w:rsidRPr="00F1119D">
              <w:rPr>
                <w:noProof/>
                <w:webHidden/>
              </w:rPr>
              <w:fldChar w:fldCharType="separate"/>
            </w:r>
            <w:r w:rsidRPr="00F1119D">
              <w:rPr>
                <w:noProof/>
                <w:webHidden/>
              </w:rPr>
              <w:t>16</w:t>
            </w:r>
            <w:r w:rsidRPr="00F1119D">
              <w:rPr>
                <w:noProof/>
                <w:webHidden/>
              </w:rPr>
              <w:fldChar w:fldCharType="end"/>
            </w:r>
          </w:hyperlink>
        </w:p>
        <w:p w14:paraId="38379FA2" w14:textId="63647CFB" w:rsidR="002E01F4" w:rsidRPr="00F1119D" w:rsidRDefault="002E01F4">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0195439" w:history="1">
            <w:r w:rsidRPr="00F1119D">
              <w:rPr>
                <w:rStyle w:val="Hyperlink"/>
                <w:noProof/>
              </w:rPr>
              <w:t>8</w:t>
            </w:r>
            <w:r w:rsidRPr="00F1119D">
              <w:rPr>
                <w:rFonts w:asciiTheme="minorHAnsi" w:eastAsiaTheme="minorEastAsia" w:hAnsiTheme="minorHAnsi" w:cstheme="minorBidi"/>
                <w:noProof/>
                <w:kern w:val="2"/>
                <w14:ligatures w14:val="standardContextual"/>
              </w:rPr>
              <w:tab/>
            </w:r>
            <w:r w:rsidRPr="00F1119D">
              <w:rPr>
                <w:rStyle w:val="Hyperlink"/>
                <w:noProof/>
              </w:rPr>
              <w:t>References</w:t>
            </w:r>
            <w:r w:rsidRPr="00F1119D">
              <w:rPr>
                <w:noProof/>
                <w:webHidden/>
              </w:rPr>
              <w:tab/>
            </w:r>
            <w:r w:rsidRPr="00F1119D">
              <w:rPr>
                <w:noProof/>
                <w:webHidden/>
              </w:rPr>
              <w:fldChar w:fldCharType="begin"/>
            </w:r>
            <w:r w:rsidRPr="00F1119D">
              <w:rPr>
                <w:noProof/>
                <w:webHidden/>
              </w:rPr>
              <w:instrText xml:space="preserve"> PAGEREF _Toc210195439 \h </w:instrText>
            </w:r>
            <w:r w:rsidRPr="00F1119D">
              <w:rPr>
                <w:noProof/>
                <w:webHidden/>
              </w:rPr>
            </w:r>
            <w:r w:rsidRPr="00F1119D">
              <w:rPr>
                <w:noProof/>
                <w:webHidden/>
              </w:rPr>
              <w:fldChar w:fldCharType="separate"/>
            </w:r>
            <w:r w:rsidRPr="00F1119D">
              <w:rPr>
                <w:noProof/>
                <w:webHidden/>
              </w:rPr>
              <w:t>16</w:t>
            </w:r>
            <w:r w:rsidRPr="00F1119D">
              <w:rPr>
                <w:noProof/>
                <w:webHidden/>
              </w:rPr>
              <w:fldChar w:fldCharType="end"/>
            </w:r>
          </w:hyperlink>
        </w:p>
        <w:p w14:paraId="4FD5D06F" w14:textId="48F3E7A9" w:rsidR="00F93F21" w:rsidRPr="00F1119D" w:rsidRDefault="00F93F21">
          <w:r w:rsidRPr="00F1119D">
            <w:rPr>
              <w:b/>
              <w:bCs/>
              <w:noProof/>
            </w:rPr>
            <w:fldChar w:fldCharType="end"/>
          </w:r>
        </w:p>
      </w:sdtContent>
    </w:sdt>
    <w:p w14:paraId="027CA6BB" w14:textId="77777777" w:rsidR="007400D7" w:rsidRPr="00F1119D" w:rsidRDefault="007400D7" w:rsidP="00F93F21">
      <w:pPr>
        <w:pStyle w:val="NICEnormal"/>
      </w:pPr>
    </w:p>
    <w:p w14:paraId="3F490E6B" w14:textId="77777777" w:rsidR="00F93F21" w:rsidRPr="00F1119D" w:rsidRDefault="00F93F21" w:rsidP="00F93F21">
      <w:pPr>
        <w:pStyle w:val="NICEnormal"/>
      </w:pPr>
    </w:p>
    <w:p w14:paraId="3EF041FA" w14:textId="77777777" w:rsidR="00F93F21" w:rsidRPr="00F1119D" w:rsidRDefault="00F93F21" w:rsidP="006E462F">
      <w:pPr>
        <w:pStyle w:val="Paragraph"/>
        <w:sectPr w:rsidR="00F93F21" w:rsidRPr="00F1119D" w:rsidSect="002B4F3E">
          <w:headerReference w:type="default" r:id="rId12"/>
          <w:pgSz w:w="11906" w:h="16838"/>
          <w:pgMar w:top="1440" w:right="1800" w:bottom="1440" w:left="1800" w:header="708" w:footer="708" w:gutter="0"/>
          <w:cols w:space="708"/>
          <w:docGrid w:linePitch="360"/>
        </w:sectPr>
      </w:pPr>
    </w:p>
    <w:p w14:paraId="21767837" w14:textId="460AC4BD" w:rsidR="006A14A8" w:rsidRPr="00F1119D" w:rsidRDefault="00FC448C" w:rsidP="00F93F21">
      <w:pPr>
        <w:pStyle w:val="Numberedheading1"/>
      </w:pPr>
      <w:bookmarkStart w:id="21" w:name="_Toc210195406"/>
      <w:r w:rsidRPr="00F1119D">
        <w:t>Purpose and scope</w:t>
      </w:r>
      <w:bookmarkEnd w:id="21"/>
    </w:p>
    <w:p w14:paraId="2BA8881B" w14:textId="72BDAB5B" w:rsidR="001D7F66" w:rsidRPr="00F1119D" w:rsidRDefault="001D7F66" w:rsidP="001D7F66">
      <w:pPr>
        <w:pStyle w:val="Paragraph"/>
      </w:pPr>
      <w:r w:rsidRPr="00F1119D">
        <w:t xml:space="preserve">This appendix documents stakeholder engagement </w:t>
      </w:r>
      <w:r w:rsidR="003332C5">
        <w:t>in</w:t>
      </w:r>
      <w:r w:rsidRPr="00F1119D">
        <w:t xml:space="preserve"> the project and how inputs informed the findings and recommendations in the main report. It sets out who was involved, how evidence from the workshops was captured and analysed, and how insights were synthesised into options for testing.</w:t>
      </w:r>
    </w:p>
    <w:p w14:paraId="0BF5AB43" w14:textId="7B7A2B54" w:rsidR="006E6625" w:rsidRPr="00F1119D" w:rsidRDefault="001D7F66" w:rsidP="001D7F66">
      <w:pPr>
        <w:pStyle w:val="Paragraph"/>
      </w:pPr>
      <w:r w:rsidRPr="00F1119D">
        <w:t>The appendix provides the full underpinning detail from the workshops. A summary of the key themes is presented in the main report in table form.</w:t>
      </w:r>
    </w:p>
    <w:p w14:paraId="35E48CD1" w14:textId="17ED8086" w:rsidR="00C41A0D" w:rsidRPr="00F1119D" w:rsidRDefault="00FC448C" w:rsidP="00F93F21">
      <w:pPr>
        <w:pStyle w:val="Numberedheading1"/>
      </w:pPr>
      <w:bookmarkStart w:id="22" w:name="_Toc210195407"/>
      <w:r w:rsidRPr="00F1119D">
        <w:t>Methods</w:t>
      </w:r>
      <w:bookmarkEnd w:id="22"/>
    </w:p>
    <w:p w14:paraId="7F3A5A97" w14:textId="68506F6B" w:rsidR="002F1481" w:rsidRPr="00F1119D" w:rsidRDefault="0032651A" w:rsidP="0032651A">
      <w:pPr>
        <w:pStyle w:val="Heading2"/>
        <w:numPr>
          <w:ilvl w:val="1"/>
          <w:numId w:val="35"/>
        </w:numPr>
        <w:rPr>
          <w:color w:val="000000" w:themeColor="text1"/>
        </w:rPr>
      </w:pPr>
      <w:bookmarkStart w:id="23" w:name="_Toc210195408"/>
      <w:r w:rsidRPr="00F1119D">
        <w:rPr>
          <w:color w:val="000000" w:themeColor="text1"/>
        </w:rPr>
        <w:t>Engagement design</w:t>
      </w:r>
      <w:bookmarkEnd w:id="23"/>
    </w:p>
    <w:p w14:paraId="3BBEA8A7" w14:textId="193D6BD1" w:rsidR="00757EAD" w:rsidRPr="00F1119D" w:rsidRDefault="00DA0A02" w:rsidP="00757EAD">
      <w:pPr>
        <w:pStyle w:val="Paragraph"/>
      </w:pPr>
      <w:r w:rsidRPr="00F1119D">
        <w:t xml:space="preserve">The engagement was designed to include perspectives from across the system and to follow a consistent structure. Four workshops were held, each with a </w:t>
      </w:r>
      <w:r w:rsidR="003D3DF9">
        <w:t>specific participant group</w:t>
      </w:r>
      <w:r w:rsidRPr="00F1119D">
        <w:t>:</w:t>
      </w:r>
    </w:p>
    <w:p w14:paraId="1C58E07E" w14:textId="0B6CEDED" w:rsidR="00757EAD" w:rsidRPr="00F1119D" w:rsidRDefault="00757EAD" w:rsidP="00757EAD">
      <w:pPr>
        <w:pStyle w:val="Bullets"/>
      </w:pPr>
      <w:r w:rsidRPr="00F1119D">
        <w:rPr>
          <w:b/>
          <w:bCs/>
        </w:rPr>
        <w:t>Workshop 1. Clinical and system stakeholders</w:t>
      </w:r>
      <w:r w:rsidR="006C3F4A" w:rsidRPr="00F1119D">
        <w:rPr>
          <w:b/>
          <w:bCs/>
        </w:rPr>
        <w:t xml:space="preserve"> – </w:t>
      </w:r>
      <w:r w:rsidR="0043180D" w:rsidRPr="00F1119D">
        <w:t>NHS</w:t>
      </w:r>
      <w:r w:rsidR="006C3F4A" w:rsidRPr="00F1119D">
        <w:t xml:space="preserve"> </w:t>
      </w:r>
      <w:r w:rsidR="0043180D" w:rsidRPr="00F1119D">
        <w:t>clinicians, NHS England,</w:t>
      </w:r>
      <w:r w:rsidR="00391CFB">
        <w:t xml:space="preserve"> Medicines and Healthcare products Regulatory Agency</w:t>
      </w:r>
      <w:r w:rsidR="0043180D" w:rsidRPr="00F1119D">
        <w:t xml:space="preserve"> </w:t>
      </w:r>
      <w:r w:rsidR="00391CFB">
        <w:t>(</w:t>
      </w:r>
      <w:r w:rsidR="0043180D" w:rsidRPr="00F1119D">
        <w:t>MHRA</w:t>
      </w:r>
      <w:r w:rsidR="00391CFB">
        <w:t>)</w:t>
      </w:r>
      <w:r w:rsidR="0043180D" w:rsidRPr="00F1119D">
        <w:t xml:space="preserve"> and </w:t>
      </w:r>
      <w:r w:rsidR="00FF0D44">
        <w:t xml:space="preserve">Department of Health and </w:t>
      </w:r>
      <w:r w:rsidR="003A6B94">
        <w:t>Social Care</w:t>
      </w:r>
      <w:r w:rsidR="00391CFB">
        <w:t xml:space="preserve"> (</w:t>
      </w:r>
      <w:r w:rsidR="0043180D" w:rsidRPr="00F1119D">
        <w:t>DHSC</w:t>
      </w:r>
      <w:r w:rsidR="00391CFB">
        <w:t>)</w:t>
      </w:r>
      <w:r w:rsidR="0043180D" w:rsidRPr="00F1119D">
        <w:t xml:space="preserve"> representatives, Genetic Alliance UK, Genomics England, and clinicians from specialist centres. Patient voice was represented through Genetic Alliance UK.</w:t>
      </w:r>
    </w:p>
    <w:p w14:paraId="18A902BD" w14:textId="645DECCB" w:rsidR="00757EAD" w:rsidRPr="00F1119D" w:rsidRDefault="00757EAD" w:rsidP="00757EAD">
      <w:pPr>
        <w:pStyle w:val="Bullets"/>
      </w:pPr>
      <w:r w:rsidRPr="00F1119D">
        <w:rPr>
          <w:b/>
          <w:bCs/>
        </w:rPr>
        <w:t>Workshop 2. Internal NICE staff</w:t>
      </w:r>
      <w:r w:rsidR="00E47858" w:rsidRPr="00F1119D">
        <w:rPr>
          <w:b/>
          <w:bCs/>
        </w:rPr>
        <w:t xml:space="preserve"> </w:t>
      </w:r>
      <w:r w:rsidR="006C3F4A" w:rsidRPr="00F1119D">
        <w:rPr>
          <w:b/>
          <w:bCs/>
        </w:rPr>
        <w:t xml:space="preserve">– </w:t>
      </w:r>
      <w:r w:rsidR="006C3F4A" w:rsidRPr="00F1119D">
        <w:t>participants from the Medicines Evaluation, NICE Advice and Managed Access teams.</w:t>
      </w:r>
    </w:p>
    <w:p w14:paraId="26DAD2A5" w14:textId="0252069C" w:rsidR="00757EAD" w:rsidRPr="00F1119D" w:rsidRDefault="00757EAD" w:rsidP="00757EAD">
      <w:pPr>
        <w:pStyle w:val="Bullets"/>
      </w:pPr>
      <w:r w:rsidRPr="00F1119D">
        <w:rPr>
          <w:b/>
          <w:bCs/>
        </w:rPr>
        <w:t>Workshop 3. Academic methods and decision making</w:t>
      </w:r>
      <w:r w:rsidR="00E47858" w:rsidRPr="00F1119D">
        <w:rPr>
          <w:b/>
          <w:bCs/>
        </w:rPr>
        <w:t xml:space="preserve"> </w:t>
      </w:r>
      <w:r w:rsidR="00ED6A1B" w:rsidRPr="00F1119D">
        <w:rPr>
          <w:b/>
          <w:bCs/>
        </w:rPr>
        <w:t>–</w:t>
      </w:r>
      <w:r w:rsidR="00ED6A1B" w:rsidRPr="00F1119D">
        <w:t xml:space="preserve"> </w:t>
      </w:r>
      <w:r w:rsidRPr="00F1119D">
        <w:t>Evidence</w:t>
      </w:r>
      <w:r w:rsidR="00ED6A1B" w:rsidRPr="00F1119D">
        <w:t xml:space="preserve"> </w:t>
      </w:r>
      <w:r w:rsidRPr="00F1119D">
        <w:t xml:space="preserve">Assessment Group academics and </w:t>
      </w:r>
      <w:r w:rsidR="00037641">
        <w:t>evaluation</w:t>
      </w:r>
      <w:r w:rsidR="00037641" w:rsidRPr="00F1119D">
        <w:t xml:space="preserve"> </w:t>
      </w:r>
      <w:r w:rsidRPr="00F1119D">
        <w:t>committee chairs.</w:t>
      </w:r>
    </w:p>
    <w:p w14:paraId="33CFD072" w14:textId="1B3C2B69" w:rsidR="00757EAD" w:rsidRPr="00F1119D" w:rsidRDefault="00757EAD" w:rsidP="00757EAD">
      <w:pPr>
        <w:pStyle w:val="Bullets"/>
        <w:spacing w:after="240"/>
      </w:pPr>
      <w:r w:rsidRPr="00F1119D">
        <w:rPr>
          <w:b/>
          <w:bCs/>
        </w:rPr>
        <w:t>Workshop 4. Industry</w:t>
      </w:r>
      <w:r w:rsidR="00ED6A1B" w:rsidRPr="00F1119D">
        <w:rPr>
          <w:b/>
          <w:bCs/>
        </w:rPr>
        <w:t xml:space="preserve"> </w:t>
      </w:r>
      <w:r w:rsidR="00982599" w:rsidRPr="00F1119D">
        <w:rPr>
          <w:b/>
          <w:bCs/>
        </w:rPr>
        <w:t>–</w:t>
      </w:r>
      <w:r w:rsidR="00ED6A1B" w:rsidRPr="00F1119D">
        <w:rPr>
          <w:b/>
          <w:bCs/>
        </w:rPr>
        <w:t xml:space="preserve"> </w:t>
      </w:r>
      <w:r w:rsidR="00982599" w:rsidRPr="00F1119D">
        <w:t>d</w:t>
      </w:r>
      <w:r w:rsidRPr="00F1119D">
        <w:t>evelopers</w:t>
      </w:r>
      <w:r w:rsidR="00982599" w:rsidRPr="00F1119D">
        <w:t xml:space="preserve"> </w:t>
      </w:r>
      <w:r w:rsidRPr="00F1119D">
        <w:t>of individualised or platform-based medicines.</w:t>
      </w:r>
    </w:p>
    <w:p w14:paraId="31EB8862" w14:textId="1FD44080" w:rsidR="0032651A" w:rsidRPr="00F1119D" w:rsidRDefault="007F6612" w:rsidP="00757EAD">
      <w:pPr>
        <w:pStyle w:val="NICEnormal"/>
      </w:pPr>
      <w:r w:rsidRPr="00F1119D">
        <w:t>Each workshop followed a common discussion guide</w:t>
      </w:r>
      <w:r w:rsidR="00D4515A" w:rsidRPr="00F1119D">
        <w:t xml:space="preserve"> and introductory slides, developed from the horizon scan and literature review. </w:t>
      </w:r>
      <w:r w:rsidR="008F076E" w:rsidRPr="00F1119D">
        <w:t xml:space="preserve">Discussions focused on </w:t>
      </w:r>
      <w:r w:rsidR="00C71E54">
        <w:t>3</w:t>
      </w:r>
      <w:r w:rsidR="00C71E54" w:rsidRPr="00F1119D">
        <w:t xml:space="preserve"> </w:t>
      </w:r>
      <w:r w:rsidR="008F076E" w:rsidRPr="00F1119D">
        <w:t>areas: key challenges, potential solutions, and ideas to be de-prioritised</w:t>
      </w:r>
      <w:r w:rsidR="00D4515A" w:rsidRPr="00F1119D">
        <w:t>.</w:t>
      </w:r>
    </w:p>
    <w:p w14:paraId="17DFE4CE" w14:textId="26F26D7F" w:rsidR="0032651A" w:rsidRPr="00F1119D" w:rsidRDefault="00583B9C" w:rsidP="0032651A">
      <w:pPr>
        <w:pStyle w:val="Heading2"/>
        <w:numPr>
          <w:ilvl w:val="1"/>
          <w:numId w:val="35"/>
        </w:numPr>
        <w:rPr>
          <w:color w:val="000000" w:themeColor="text1"/>
        </w:rPr>
      </w:pPr>
      <w:bookmarkStart w:id="24" w:name="_Toc210195409"/>
      <w:r w:rsidRPr="00F1119D">
        <w:rPr>
          <w:color w:val="000000" w:themeColor="text1"/>
        </w:rPr>
        <w:t>Data sources and materials</w:t>
      </w:r>
      <w:bookmarkEnd w:id="24"/>
    </w:p>
    <w:p w14:paraId="04CE747F" w14:textId="61FB375C" w:rsidR="009469D3" w:rsidRPr="00F1119D" w:rsidRDefault="009469D3" w:rsidP="009469D3">
      <w:pPr>
        <w:pStyle w:val="NICEnormal"/>
      </w:pPr>
      <w:r w:rsidRPr="00F1119D">
        <w:t>Workshops were recorded with participants’ consent to support accurate capture of discussions. Recordings were used alongside facilitator notes and live note-</w:t>
      </w:r>
      <w:proofErr w:type="gramStart"/>
      <w:r w:rsidRPr="00F1119D">
        <w:t>taking, and</w:t>
      </w:r>
      <w:proofErr w:type="gramEnd"/>
      <w:r w:rsidRPr="00F1119D">
        <w:t xml:space="preserve"> were not retained beyond the project.</w:t>
      </w:r>
    </w:p>
    <w:p w14:paraId="67784F3C" w14:textId="179A140A" w:rsidR="009469D3" w:rsidRPr="00F1119D" w:rsidRDefault="009469D3" w:rsidP="009469D3">
      <w:pPr>
        <w:pStyle w:val="NICEnormal"/>
      </w:pPr>
      <w:r w:rsidRPr="00F1119D">
        <w:t>After each workshop</w:t>
      </w:r>
      <w:r w:rsidR="007828DF">
        <w:t>,</w:t>
      </w:r>
      <w:r w:rsidRPr="00F1119D">
        <w:t xml:space="preserve"> the project team </w:t>
      </w:r>
      <w:r w:rsidR="00AA3DA9">
        <w:t>had</w:t>
      </w:r>
      <w:r w:rsidR="00AA3DA9" w:rsidRPr="00F1119D">
        <w:t xml:space="preserve"> </w:t>
      </w:r>
      <w:r w:rsidRPr="00F1119D">
        <w:t xml:space="preserve">a debrief </w:t>
      </w:r>
      <w:r w:rsidR="00AA3DA9">
        <w:t xml:space="preserve">meeting </w:t>
      </w:r>
      <w:r w:rsidRPr="00F1119D">
        <w:t xml:space="preserve">to confirm the main points and highlight areas of agreement or divergence. </w:t>
      </w:r>
      <w:r w:rsidR="00B179A6">
        <w:t>They contacted p</w:t>
      </w:r>
      <w:r w:rsidRPr="00F1119D">
        <w:t>articipants by email if clarification was needed.</w:t>
      </w:r>
    </w:p>
    <w:p w14:paraId="7CAEC8F7" w14:textId="0D8492BB" w:rsidR="0006390C" w:rsidRPr="00F1119D" w:rsidRDefault="009469D3" w:rsidP="009469D3">
      <w:pPr>
        <w:pStyle w:val="NICEnormal"/>
      </w:pPr>
      <w:r w:rsidRPr="00F1119D">
        <w:t>These steps ensured that the evidence was captured accurately and in sufficient detail to support subsequent analysis.</w:t>
      </w:r>
    </w:p>
    <w:p w14:paraId="7DE5AB72" w14:textId="55B90C9B" w:rsidR="00583B9C" w:rsidRPr="00F1119D" w:rsidRDefault="00583B9C" w:rsidP="00583B9C">
      <w:pPr>
        <w:pStyle w:val="Heading2"/>
        <w:numPr>
          <w:ilvl w:val="1"/>
          <w:numId w:val="35"/>
        </w:numPr>
        <w:rPr>
          <w:color w:val="000000" w:themeColor="text1"/>
        </w:rPr>
      </w:pPr>
      <w:bookmarkStart w:id="25" w:name="_Toc210195410"/>
      <w:r w:rsidRPr="00F1119D">
        <w:rPr>
          <w:color w:val="000000" w:themeColor="text1"/>
        </w:rPr>
        <w:t>Analytic framework</w:t>
      </w:r>
      <w:bookmarkEnd w:id="25"/>
    </w:p>
    <w:p w14:paraId="6D37FAF8" w14:textId="7F0CB47D" w:rsidR="00DD328B" w:rsidRPr="00F1119D" w:rsidRDefault="00DD328B" w:rsidP="00DD328B">
      <w:pPr>
        <w:pStyle w:val="Paragraph"/>
      </w:pPr>
      <w:r w:rsidRPr="00F1119D">
        <w:t xml:space="preserve">Notes from each workshop were grouped into themes informed by the horizon scan and literature review. New themes were added </w:t>
      </w:r>
      <w:r w:rsidR="0094576C">
        <w:t>when</w:t>
      </w:r>
      <w:r w:rsidR="0094576C" w:rsidRPr="00F1119D">
        <w:t xml:space="preserve"> </w:t>
      </w:r>
      <w:r w:rsidRPr="00F1119D">
        <w:t>participants raised issues not covered by the initial framework</w:t>
      </w:r>
      <w:r w:rsidR="00C33A70">
        <w:t>. These included</w:t>
      </w:r>
      <w:r w:rsidRPr="00F1119D">
        <w:t xml:space="preserve"> pre-competitive collaboration or </w:t>
      </w:r>
      <w:r w:rsidR="00C33A70">
        <w:t>using</w:t>
      </w:r>
      <w:r w:rsidR="00C33A70" w:rsidRPr="00F1119D">
        <w:t xml:space="preserve"> </w:t>
      </w:r>
      <w:r w:rsidRPr="00F1119D">
        <w:t>information across appraisals.</w:t>
      </w:r>
    </w:p>
    <w:p w14:paraId="7515319C" w14:textId="25751E31" w:rsidR="00583B9C" w:rsidRPr="00F1119D" w:rsidRDefault="00DD328B" w:rsidP="00DD328B">
      <w:pPr>
        <w:pStyle w:val="Paragraph"/>
      </w:pPr>
      <w:r w:rsidRPr="00F1119D">
        <w:t xml:space="preserve">All notes were reviewed and coded by </w:t>
      </w:r>
      <w:r w:rsidR="00C33A70">
        <w:t>1</w:t>
      </w:r>
      <w:r w:rsidR="00C33A70" w:rsidRPr="00F1119D">
        <w:t xml:space="preserve"> </w:t>
      </w:r>
      <w:r w:rsidRPr="00F1119D">
        <w:t>analyst. Coding decisions were documented during the process and discussed with the wider project team in debrief meetings. Summaries for each workshop were then prepared, followed by a cross-cutting synthesis that distinguished between</w:t>
      </w:r>
      <w:r w:rsidR="00DE4925" w:rsidRPr="00F1119D">
        <w:t>:</w:t>
      </w:r>
    </w:p>
    <w:p w14:paraId="363842E6" w14:textId="2281B87D" w:rsidR="005866C5" w:rsidRPr="00F1119D" w:rsidRDefault="001B7DA5" w:rsidP="005866C5">
      <w:pPr>
        <w:pStyle w:val="Bullets"/>
      </w:pPr>
      <w:r w:rsidRPr="00F1119D">
        <w:t>options suitable for piloting under HTA Lab</w:t>
      </w:r>
    </w:p>
    <w:p w14:paraId="58554917" w14:textId="69B401C4" w:rsidR="005866C5" w:rsidRPr="00F1119D" w:rsidRDefault="003A1548" w:rsidP="005866C5">
      <w:pPr>
        <w:pStyle w:val="Bullets"/>
      </w:pPr>
      <w:r w:rsidRPr="00F1119D">
        <w:t>activities that sit within NICE but outside HTA Lab</w:t>
      </w:r>
    </w:p>
    <w:p w14:paraId="2456FA83" w14:textId="280A3A6E" w:rsidR="005866C5" w:rsidRPr="00F1119D" w:rsidRDefault="003A1548" w:rsidP="005866C5">
      <w:pPr>
        <w:pStyle w:val="Bullets"/>
      </w:pPr>
      <w:r w:rsidRPr="00F1119D">
        <w:t>wider system-level dependencies</w:t>
      </w:r>
    </w:p>
    <w:p w14:paraId="7F339F05" w14:textId="6F866A6E" w:rsidR="00583B9C" w:rsidRPr="00F1119D" w:rsidRDefault="00A539ED" w:rsidP="00583B9C">
      <w:pPr>
        <w:pStyle w:val="Heading2"/>
        <w:numPr>
          <w:ilvl w:val="1"/>
          <w:numId w:val="35"/>
        </w:numPr>
        <w:rPr>
          <w:color w:val="000000" w:themeColor="text1"/>
        </w:rPr>
      </w:pPr>
      <w:bookmarkStart w:id="26" w:name="_Toc210195411"/>
      <w:r w:rsidRPr="00F1119D">
        <w:rPr>
          <w:color w:val="000000" w:themeColor="text1"/>
        </w:rPr>
        <w:t>Assurance and consistency</w:t>
      </w:r>
      <w:bookmarkEnd w:id="26"/>
    </w:p>
    <w:p w14:paraId="5CA8906D" w14:textId="5817C263" w:rsidR="001D5E55" w:rsidRPr="00F1119D" w:rsidRDefault="001D5E55" w:rsidP="001D5E55">
      <w:pPr>
        <w:pStyle w:val="Paragraph"/>
      </w:pPr>
      <w:r w:rsidRPr="00F1119D">
        <w:t>Consistency was promoted by using the same discussion guide and facilitation team across all workshops. Debriefs after each session allowed the team to check interpretation and agree priorities for synthesis.</w:t>
      </w:r>
    </w:p>
    <w:p w14:paraId="44A58800" w14:textId="49B97D30" w:rsidR="00A539ED" w:rsidRPr="00F1119D" w:rsidRDefault="001D5E55" w:rsidP="001D5E55">
      <w:pPr>
        <w:pStyle w:val="Paragraph"/>
      </w:pPr>
      <w:r w:rsidRPr="00F1119D">
        <w:t>Themes were reviewed across the project team to support accuracy in reporting stakeholder views.</w:t>
      </w:r>
    </w:p>
    <w:p w14:paraId="68348062" w14:textId="724D15F9" w:rsidR="00A539ED" w:rsidRPr="00F1119D" w:rsidRDefault="00A539ED" w:rsidP="00A539ED">
      <w:pPr>
        <w:pStyle w:val="Heading2"/>
        <w:numPr>
          <w:ilvl w:val="1"/>
          <w:numId w:val="35"/>
        </w:numPr>
        <w:rPr>
          <w:color w:val="000000" w:themeColor="text1"/>
        </w:rPr>
      </w:pPr>
      <w:bookmarkStart w:id="27" w:name="_Toc210195412"/>
      <w:r w:rsidRPr="00F1119D">
        <w:rPr>
          <w:color w:val="000000" w:themeColor="text1"/>
        </w:rPr>
        <w:t>Definin</w:t>
      </w:r>
      <w:r w:rsidR="00B84BC2" w:rsidRPr="00F1119D">
        <w:rPr>
          <w:color w:val="000000" w:themeColor="text1"/>
        </w:rPr>
        <w:t>g</w:t>
      </w:r>
      <w:r w:rsidRPr="00F1119D">
        <w:rPr>
          <w:color w:val="000000" w:themeColor="text1"/>
        </w:rPr>
        <w:t xml:space="preserve"> </w:t>
      </w:r>
      <w:r w:rsidR="00B84BC2" w:rsidRPr="00F1119D">
        <w:rPr>
          <w:color w:val="000000" w:themeColor="text1"/>
        </w:rPr>
        <w:t>the</w:t>
      </w:r>
      <w:r w:rsidRPr="00F1119D">
        <w:rPr>
          <w:color w:val="000000" w:themeColor="text1"/>
        </w:rPr>
        <w:t xml:space="preserve"> </w:t>
      </w:r>
      <w:r w:rsidR="006B374E" w:rsidRPr="00F1119D">
        <w:rPr>
          <w:color w:val="000000" w:themeColor="text1"/>
        </w:rPr>
        <w:t>evidence</w:t>
      </w:r>
      <w:bookmarkEnd w:id="27"/>
    </w:p>
    <w:p w14:paraId="153BE724" w14:textId="4742C575" w:rsidR="009F65AE" w:rsidRPr="00F1119D" w:rsidRDefault="009A2FDF" w:rsidP="009F65AE">
      <w:pPr>
        <w:pStyle w:val="Paragraph"/>
      </w:pPr>
      <w:r w:rsidRPr="00F1119D">
        <w:t>For the purposes of this appendix, evidence refers to the views and insights shared by stakeholders during the workshops and debriefs. Points are reported as themes rather than individual comments. Illustrative statements have been paraphrased to preserve anonymity and reflect the overall sense of discussions</w:t>
      </w:r>
      <w:r w:rsidR="009F65AE" w:rsidRPr="00F1119D">
        <w:t>.</w:t>
      </w:r>
    </w:p>
    <w:bookmarkStart w:id="28" w:name="_Toc210195413"/>
    <w:p w14:paraId="127EA055" w14:textId="2CDD4CFC" w:rsidR="002B66B6" w:rsidRPr="00F1119D" w:rsidRDefault="00000000" w:rsidP="00F93F21">
      <w:pPr>
        <w:pStyle w:val="Numberedheading1"/>
      </w:pPr>
      <w:sdt>
        <w:sdtPr>
          <w:id w:val="1371190021"/>
          <w:placeholder>
            <w:docPart w:val="FB7A5EF0EE184221BB11A440B2A509AE"/>
          </w:placeholder>
          <w:text/>
        </w:sdtPr>
        <w:sdtContent>
          <w:r w:rsidR="00B30371" w:rsidRPr="00F1119D">
            <w:t>Workshop summaries</w:t>
          </w:r>
        </w:sdtContent>
      </w:sdt>
      <w:bookmarkEnd w:id="28"/>
    </w:p>
    <w:p w14:paraId="4A95EB95" w14:textId="0C42F675" w:rsidR="00B30371" w:rsidRPr="00F1119D" w:rsidRDefault="001D6F2E" w:rsidP="00D96057">
      <w:pPr>
        <w:pStyle w:val="Heading2"/>
        <w:numPr>
          <w:ilvl w:val="1"/>
          <w:numId w:val="35"/>
        </w:numPr>
        <w:rPr>
          <w:color w:val="000000" w:themeColor="text1"/>
        </w:rPr>
      </w:pPr>
      <w:bookmarkStart w:id="29" w:name="_Toc210195414"/>
      <w:r w:rsidRPr="00F1119D">
        <w:rPr>
          <w:color w:val="000000" w:themeColor="text1"/>
        </w:rPr>
        <w:t>Workshop 1: Clinical and system stakeholders</w:t>
      </w:r>
      <w:bookmarkEnd w:id="29"/>
    </w:p>
    <w:p w14:paraId="6338E7DF" w14:textId="2B4928C7" w:rsidR="00B3653D" w:rsidRPr="00F1119D" w:rsidRDefault="00B3653D" w:rsidP="00B3653D">
      <w:pPr>
        <w:pStyle w:val="Heading3"/>
        <w:numPr>
          <w:ilvl w:val="2"/>
          <w:numId w:val="38"/>
        </w:numPr>
      </w:pPr>
      <w:bookmarkStart w:id="30" w:name="_Toc210195415"/>
      <w:r w:rsidRPr="00F1119D">
        <w:t>Participants</w:t>
      </w:r>
      <w:bookmarkEnd w:id="30"/>
    </w:p>
    <w:p w14:paraId="21A920DA" w14:textId="72A362BE" w:rsidR="00B3653D" w:rsidRPr="00F1119D" w:rsidRDefault="004E31F0" w:rsidP="00B3653D">
      <w:pPr>
        <w:pStyle w:val="Paragraph"/>
      </w:pPr>
      <w:r w:rsidRPr="00F1119D">
        <w:t>Th</w:t>
      </w:r>
      <w:r w:rsidR="00C747DC" w:rsidRPr="00F1119D">
        <w:t>i</w:t>
      </w:r>
      <w:r w:rsidRPr="00F1119D">
        <w:t xml:space="preserve">s workshop </w:t>
      </w:r>
      <w:r w:rsidR="00C747DC" w:rsidRPr="00F1119D">
        <w:t>involved</w:t>
      </w:r>
      <w:r w:rsidRPr="00F1119D">
        <w:t xml:space="preserve"> </w:t>
      </w:r>
      <w:r w:rsidR="00271831" w:rsidRPr="00F1119D">
        <w:t>NHS clinicians, NHS England, MHRA and DHSC representatives, Genomics England, and patient organisations</w:t>
      </w:r>
      <w:r w:rsidRPr="00F1119D">
        <w:t xml:space="preserve">. Clinicians included specialists from both paediatric and adult services, reflecting the range of conditions </w:t>
      </w:r>
      <w:r w:rsidR="0094576C">
        <w:t>in which</w:t>
      </w:r>
      <w:r w:rsidR="0094576C" w:rsidRPr="00F1119D">
        <w:t xml:space="preserve"> </w:t>
      </w:r>
      <w:r w:rsidRPr="00F1119D">
        <w:t>individualised therapies are being developed.</w:t>
      </w:r>
    </w:p>
    <w:p w14:paraId="10FE84BF" w14:textId="260BAE11" w:rsidR="003475D3" w:rsidRPr="00F1119D" w:rsidRDefault="003475D3" w:rsidP="003475D3">
      <w:pPr>
        <w:pStyle w:val="Heading3"/>
        <w:numPr>
          <w:ilvl w:val="2"/>
          <w:numId w:val="38"/>
        </w:numPr>
      </w:pPr>
      <w:bookmarkStart w:id="31" w:name="_Toc210195416"/>
      <w:r w:rsidRPr="00F1119D">
        <w:t>Main themes</w:t>
      </w:r>
      <w:bookmarkEnd w:id="31"/>
    </w:p>
    <w:p w14:paraId="04E78B1E" w14:textId="30B79347" w:rsidR="003475D3" w:rsidRPr="00F1119D" w:rsidRDefault="005C0D00" w:rsidP="005C0D00">
      <w:pPr>
        <w:pStyle w:val="Heading4"/>
        <w:rPr>
          <w:color w:val="000000" w:themeColor="text1"/>
        </w:rPr>
      </w:pPr>
      <w:r w:rsidRPr="00F1119D">
        <w:rPr>
          <w:color w:val="000000" w:themeColor="text1"/>
        </w:rPr>
        <w:t>Generalisability and natural history evidence</w:t>
      </w:r>
    </w:p>
    <w:p w14:paraId="0E9944FF" w14:textId="7C6955F5" w:rsidR="005C0D00" w:rsidRPr="00F1119D" w:rsidRDefault="009821AC" w:rsidP="005C0D00">
      <w:pPr>
        <w:pStyle w:val="Paragraph"/>
        <w:rPr>
          <w:color w:val="000000" w:themeColor="text1"/>
        </w:rPr>
      </w:pPr>
      <w:r w:rsidRPr="00F1119D">
        <w:t xml:space="preserve">Participants highlighted that natural history data are often limited or absent for rare and ultra-rare conditions. This makes it difficult to contextualise treatment </w:t>
      </w:r>
      <w:r w:rsidRPr="00F1119D">
        <w:rPr>
          <w:color w:val="000000" w:themeColor="text1"/>
        </w:rPr>
        <w:t>effects and model long-term outcomes. They noted that variability in disease progression, particularly for paediatric neurological conditions, adds to this uncertainty.</w:t>
      </w:r>
    </w:p>
    <w:p w14:paraId="2E05F311" w14:textId="667DB304" w:rsidR="009821AC" w:rsidRPr="00F1119D" w:rsidRDefault="009821AC" w:rsidP="009821AC">
      <w:pPr>
        <w:pStyle w:val="Heading4"/>
        <w:rPr>
          <w:color w:val="000000" w:themeColor="text1"/>
        </w:rPr>
      </w:pPr>
      <w:r w:rsidRPr="00F1119D">
        <w:rPr>
          <w:color w:val="000000" w:themeColor="text1"/>
        </w:rPr>
        <w:t>Trial design and feasibility</w:t>
      </w:r>
    </w:p>
    <w:p w14:paraId="44FBB1D8" w14:textId="7BBE16B5" w:rsidR="009821AC" w:rsidRPr="00F1119D" w:rsidRDefault="009821AC" w:rsidP="009821AC">
      <w:pPr>
        <w:pStyle w:val="Paragraph"/>
        <w:rPr>
          <w:color w:val="000000" w:themeColor="text1"/>
        </w:rPr>
      </w:pPr>
      <w:r w:rsidRPr="00F1119D">
        <w:rPr>
          <w:color w:val="000000" w:themeColor="text1"/>
        </w:rPr>
        <w:t>Several stakeholders stressed that conventional randomised controlled trials may be unfeasible for small patient populations, and that single-arm studies are likely to remain common. They emphasised the importance of early dialogue with regulators and NICE to agree on feasible designs and appropriate comparators.</w:t>
      </w:r>
    </w:p>
    <w:p w14:paraId="01D389BA" w14:textId="77777777" w:rsidR="008508B6" w:rsidRPr="00F1119D" w:rsidRDefault="008508B6" w:rsidP="008508B6">
      <w:pPr>
        <w:pStyle w:val="Heading4"/>
        <w:rPr>
          <w:color w:val="000000" w:themeColor="text1"/>
        </w:rPr>
      </w:pPr>
      <w:r w:rsidRPr="00F1119D">
        <w:rPr>
          <w:color w:val="000000" w:themeColor="text1"/>
        </w:rPr>
        <w:t>Costs and service delivery</w:t>
      </w:r>
    </w:p>
    <w:p w14:paraId="4DAC1AA2" w14:textId="6042CF4D" w:rsidR="008508B6" w:rsidRPr="00F1119D" w:rsidRDefault="008508B6" w:rsidP="008508B6">
      <w:pPr>
        <w:pStyle w:val="Paragraph"/>
        <w:rPr>
          <w:color w:val="000000" w:themeColor="text1"/>
        </w:rPr>
      </w:pPr>
      <w:r w:rsidRPr="00F1119D">
        <w:rPr>
          <w:color w:val="000000" w:themeColor="text1"/>
        </w:rPr>
        <w:t>Participants noted that introducing individualised therapies could have wider system implications such as diagnostic infrastructure, staff training and service redesign. These costs are not always fully captured in submissions but may have significant consequences for NHS planning.</w:t>
      </w:r>
    </w:p>
    <w:p w14:paraId="5E86923D" w14:textId="77777777" w:rsidR="008508B6" w:rsidRPr="00F1119D" w:rsidRDefault="008508B6" w:rsidP="008508B6">
      <w:pPr>
        <w:pStyle w:val="Heading4"/>
        <w:rPr>
          <w:color w:val="000000" w:themeColor="text1"/>
        </w:rPr>
      </w:pPr>
      <w:r w:rsidRPr="00F1119D">
        <w:rPr>
          <w:color w:val="000000" w:themeColor="text1"/>
        </w:rPr>
        <w:t>Grouping related therapies</w:t>
      </w:r>
    </w:p>
    <w:p w14:paraId="3932EB81" w14:textId="7E17AE1D" w:rsidR="008508B6" w:rsidRPr="00F1119D" w:rsidRDefault="008508B6" w:rsidP="008508B6">
      <w:pPr>
        <w:pStyle w:val="Paragraph"/>
        <w:rPr>
          <w:color w:val="000000" w:themeColor="text1"/>
        </w:rPr>
      </w:pPr>
      <w:r w:rsidRPr="00F1119D">
        <w:rPr>
          <w:color w:val="000000" w:themeColor="text1"/>
        </w:rPr>
        <w:t>There was interest in approaches that allow related therapies to be assessed together to avoid duplication and reduce variation between appraisals.</w:t>
      </w:r>
      <w:r w:rsidR="00E7799A">
        <w:rPr>
          <w:color w:val="000000" w:themeColor="text1"/>
        </w:rPr>
        <w:t xml:space="preserve"> But</w:t>
      </w:r>
      <w:r w:rsidRPr="00F1119D">
        <w:rPr>
          <w:color w:val="000000" w:themeColor="text1"/>
        </w:rPr>
        <w:t xml:space="preserve"> stakeholders cautioned that grouping must take account of clinical heterogeneity, otherwise results could be misleading.</w:t>
      </w:r>
    </w:p>
    <w:p w14:paraId="71817FEA" w14:textId="77777777" w:rsidR="008508B6" w:rsidRPr="00F1119D" w:rsidRDefault="008508B6" w:rsidP="008508B6">
      <w:pPr>
        <w:pStyle w:val="Heading4"/>
        <w:rPr>
          <w:color w:val="000000" w:themeColor="text1"/>
        </w:rPr>
      </w:pPr>
      <w:r w:rsidRPr="00F1119D">
        <w:rPr>
          <w:color w:val="000000" w:themeColor="text1"/>
        </w:rPr>
        <w:t>System-wide dependencies</w:t>
      </w:r>
    </w:p>
    <w:p w14:paraId="10151BDD" w14:textId="33D564F2" w:rsidR="008508B6" w:rsidRPr="00F1119D" w:rsidRDefault="008508B6" w:rsidP="008508B6">
      <w:pPr>
        <w:pStyle w:val="Paragraph"/>
        <w:rPr>
          <w:color w:val="000000" w:themeColor="text1"/>
        </w:rPr>
      </w:pPr>
      <w:r w:rsidRPr="00F1119D">
        <w:rPr>
          <w:color w:val="000000" w:themeColor="text1"/>
        </w:rPr>
        <w:t>Stakeholders emphasised that some issues</w:t>
      </w:r>
      <w:r w:rsidR="000B3A9C" w:rsidRPr="000B3A9C">
        <w:rPr>
          <w:color w:val="000000" w:themeColor="text1"/>
        </w:rPr>
        <w:t xml:space="preserve"> </w:t>
      </w:r>
      <w:r w:rsidR="000B3A9C" w:rsidRPr="00F1119D">
        <w:rPr>
          <w:color w:val="000000" w:themeColor="text1"/>
        </w:rPr>
        <w:t>cannot be addressed by NICE alone</w:t>
      </w:r>
      <w:r w:rsidR="000B3A9C">
        <w:rPr>
          <w:color w:val="000000" w:themeColor="text1"/>
        </w:rPr>
        <w:t>.</w:t>
      </w:r>
      <w:r w:rsidRPr="00F1119D">
        <w:rPr>
          <w:color w:val="000000" w:themeColor="text1"/>
        </w:rPr>
        <w:t xml:space="preserve"> </w:t>
      </w:r>
      <w:r w:rsidR="000B3A9C">
        <w:rPr>
          <w:color w:val="000000" w:themeColor="text1"/>
        </w:rPr>
        <w:t>These include</w:t>
      </w:r>
      <w:r w:rsidRPr="00F1119D">
        <w:rPr>
          <w:color w:val="000000" w:themeColor="text1"/>
        </w:rPr>
        <w:t xml:space="preserve"> gaps in UK real-world data infrastructure and the need for long-term outcome registries. One participant suggested that the outputs of this project could contribute to a wider system taskforce on rare diseases, building on initiatives such as those proposed by </w:t>
      </w:r>
      <w:proofErr w:type="spellStart"/>
      <w:r w:rsidRPr="00F1119D">
        <w:rPr>
          <w:color w:val="000000" w:themeColor="text1"/>
        </w:rPr>
        <w:t>LifeArc</w:t>
      </w:r>
      <w:proofErr w:type="spellEnd"/>
      <w:r w:rsidRPr="00F1119D">
        <w:rPr>
          <w:color w:val="000000" w:themeColor="text1"/>
        </w:rPr>
        <w:t>.</w:t>
      </w:r>
    </w:p>
    <w:p w14:paraId="0A2283F0" w14:textId="737A5030" w:rsidR="001D6F2E" w:rsidRPr="00F1119D" w:rsidRDefault="001D6F2E" w:rsidP="00CA57C2">
      <w:pPr>
        <w:pStyle w:val="Heading2"/>
        <w:numPr>
          <w:ilvl w:val="1"/>
          <w:numId w:val="35"/>
        </w:numPr>
        <w:rPr>
          <w:color w:val="000000" w:themeColor="text1"/>
        </w:rPr>
      </w:pPr>
      <w:bookmarkStart w:id="32" w:name="_Toc210195417"/>
      <w:r w:rsidRPr="00F1119D">
        <w:rPr>
          <w:color w:val="000000" w:themeColor="text1"/>
        </w:rPr>
        <w:t>Workshop 2: Internal NICE staff</w:t>
      </w:r>
      <w:bookmarkEnd w:id="32"/>
    </w:p>
    <w:p w14:paraId="4051F718" w14:textId="7374341C" w:rsidR="001D6F2E" w:rsidRPr="00F1119D" w:rsidRDefault="00BF0DB1" w:rsidP="00B22046">
      <w:pPr>
        <w:pStyle w:val="Heading3"/>
        <w:numPr>
          <w:ilvl w:val="2"/>
          <w:numId w:val="35"/>
        </w:numPr>
        <w:rPr>
          <w:color w:val="000000" w:themeColor="text1"/>
        </w:rPr>
      </w:pPr>
      <w:bookmarkStart w:id="33" w:name="_Toc210195418"/>
      <w:r w:rsidRPr="00F1119D">
        <w:rPr>
          <w:color w:val="000000" w:themeColor="text1"/>
        </w:rPr>
        <w:t>Participants</w:t>
      </w:r>
      <w:bookmarkEnd w:id="33"/>
    </w:p>
    <w:p w14:paraId="3808ADD6" w14:textId="1C9B2E39" w:rsidR="00BF0DB1" w:rsidRPr="00F1119D" w:rsidRDefault="00C91706" w:rsidP="00BF0DB1">
      <w:pPr>
        <w:pStyle w:val="Paragraph"/>
        <w:rPr>
          <w:color w:val="000000" w:themeColor="text1"/>
        </w:rPr>
      </w:pPr>
      <w:r w:rsidRPr="00F1119D">
        <w:rPr>
          <w:color w:val="000000" w:themeColor="text1"/>
        </w:rPr>
        <w:t>This workshop involved staff from NICE’s Medicines Evaluation</w:t>
      </w:r>
      <w:r w:rsidR="00E22A55">
        <w:rPr>
          <w:color w:val="000000" w:themeColor="text1"/>
        </w:rPr>
        <w:t>,</w:t>
      </w:r>
      <w:r w:rsidRPr="00F1119D">
        <w:rPr>
          <w:color w:val="000000" w:themeColor="text1"/>
        </w:rPr>
        <w:t xml:space="preserve"> Advice</w:t>
      </w:r>
      <w:r w:rsidR="00295E72">
        <w:rPr>
          <w:color w:val="000000" w:themeColor="text1"/>
        </w:rPr>
        <w:t>,</w:t>
      </w:r>
      <w:r w:rsidRPr="00F1119D">
        <w:rPr>
          <w:color w:val="000000" w:themeColor="text1"/>
        </w:rPr>
        <w:t xml:space="preserve"> and Managed Access teams</w:t>
      </w:r>
      <w:r w:rsidR="00BF0DB1" w:rsidRPr="00F1119D">
        <w:t xml:space="preserve">. These participants had direct experience of handling company submissions, working with committees, and managing </w:t>
      </w:r>
      <w:r w:rsidR="00BF0DB1" w:rsidRPr="00F1119D">
        <w:rPr>
          <w:color w:val="000000" w:themeColor="text1"/>
        </w:rPr>
        <w:t>data collection agreements.</w:t>
      </w:r>
    </w:p>
    <w:p w14:paraId="06C3FF4B" w14:textId="473A5B3F" w:rsidR="00B50B14" w:rsidRPr="00F1119D" w:rsidRDefault="00B50B14" w:rsidP="00B50B14">
      <w:pPr>
        <w:pStyle w:val="Heading3"/>
        <w:numPr>
          <w:ilvl w:val="2"/>
          <w:numId w:val="39"/>
        </w:numPr>
        <w:rPr>
          <w:color w:val="000000" w:themeColor="text1"/>
        </w:rPr>
      </w:pPr>
      <w:bookmarkStart w:id="34" w:name="_Toc210195419"/>
      <w:r w:rsidRPr="00F1119D">
        <w:rPr>
          <w:color w:val="000000" w:themeColor="text1"/>
        </w:rPr>
        <w:t>Main themes</w:t>
      </w:r>
      <w:bookmarkEnd w:id="34"/>
    </w:p>
    <w:p w14:paraId="54620A16" w14:textId="77777777" w:rsidR="007F517B" w:rsidRPr="00F1119D" w:rsidRDefault="007F517B" w:rsidP="007F517B">
      <w:pPr>
        <w:pStyle w:val="Heading4"/>
        <w:rPr>
          <w:color w:val="000000" w:themeColor="text1"/>
        </w:rPr>
      </w:pPr>
      <w:r w:rsidRPr="00F1119D">
        <w:rPr>
          <w:color w:val="000000" w:themeColor="text1"/>
        </w:rPr>
        <w:t>Clarity of remit and routes</w:t>
      </w:r>
    </w:p>
    <w:p w14:paraId="5029CA3A" w14:textId="0849045F" w:rsidR="007F517B" w:rsidRPr="00F1119D" w:rsidRDefault="007F517B" w:rsidP="007F517B">
      <w:pPr>
        <w:pStyle w:val="Paragraph"/>
        <w:rPr>
          <w:color w:val="000000" w:themeColor="text1"/>
        </w:rPr>
      </w:pPr>
      <w:r w:rsidRPr="00F1119D">
        <w:rPr>
          <w:color w:val="000000" w:themeColor="text1"/>
        </w:rPr>
        <w:t xml:space="preserve">Staff highlighted the lack of clarity about how individualised therapies fit into NICE’s </w:t>
      </w:r>
      <w:r w:rsidR="00D60BB6">
        <w:rPr>
          <w:color w:val="000000" w:themeColor="text1"/>
        </w:rPr>
        <w:t>evaluation</w:t>
      </w:r>
      <w:r w:rsidRPr="00F1119D">
        <w:rPr>
          <w:color w:val="000000" w:themeColor="text1"/>
        </w:rPr>
        <w:t xml:space="preserve"> programmes. Some treatments fall outside existing criteria for the Highly Specialised Technologies programme but may not be well suited to standard Technology Appraisals. Clearer guidance for companies and committees was seen as necessary.</w:t>
      </w:r>
    </w:p>
    <w:p w14:paraId="28E2F09D" w14:textId="77777777" w:rsidR="007F517B" w:rsidRPr="00F1119D" w:rsidRDefault="007F517B" w:rsidP="007F517B">
      <w:pPr>
        <w:pStyle w:val="Heading4"/>
        <w:rPr>
          <w:color w:val="000000" w:themeColor="text1"/>
        </w:rPr>
      </w:pPr>
      <w:r w:rsidRPr="00F1119D">
        <w:rPr>
          <w:color w:val="000000" w:themeColor="text1"/>
        </w:rPr>
        <w:t>Consistency and institutional memory</w:t>
      </w:r>
    </w:p>
    <w:p w14:paraId="1314F246" w14:textId="58DD5129" w:rsidR="007F517B" w:rsidRPr="00F1119D" w:rsidRDefault="007F517B" w:rsidP="007F517B">
      <w:pPr>
        <w:pStyle w:val="Paragraph"/>
        <w:rPr>
          <w:color w:val="000000" w:themeColor="text1"/>
        </w:rPr>
      </w:pPr>
      <w:r w:rsidRPr="00F1119D">
        <w:rPr>
          <w:color w:val="000000" w:themeColor="text1"/>
        </w:rPr>
        <w:t xml:space="preserve">Participants noted that decisions about rare and ultra-rare therapies often involve similar issues but are not systematically captured across </w:t>
      </w:r>
      <w:r w:rsidR="00486513">
        <w:rPr>
          <w:color w:val="000000" w:themeColor="text1"/>
        </w:rPr>
        <w:t>evaluations</w:t>
      </w:r>
      <w:r w:rsidRPr="00F1119D">
        <w:rPr>
          <w:color w:val="000000" w:themeColor="text1"/>
        </w:rPr>
        <w:t>. This leads to duplication and inconsistency in how precedent is applied. A more structured approach to recording assumptions and committee</w:t>
      </w:r>
      <w:r w:rsidR="00486513">
        <w:rPr>
          <w:color w:val="000000" w:themeColor="text1"/>
        </w:rPr>
        <w:t>s’</w:t>
      </w:r>
      <w:r w:rsidRPr="00F1119D">
        <w:rPr>
          <w:color w:val="000000" w:themeColor="text1"/>
        </w:rPr>
        <w:t xml:space="preserve"> </w:t>
      </w:r>
      <w:r w:rsidR="0060110B">
        <w:rPr>
          <w:color w:val="000000" w:themeColor="text1"/>
        </w:rPr>
        <w:t>decisions</w:t>
      </w:r>
      <w:r w:rsidR="0060110B" w:rsidRPr="00F1119D">
        <w:rPr>
          <w:color w:val="000000" w:themeColor="text1"/>
        </w:rPr>
        <w:t xml:space="preserve"> </w:t>
      </w:r>
      <w:r w:rsidRPr="00F1119D">
        <w:rPr>
          <w:color w:val="000000" w:themeColor="text1"/>
        </w:rPr>
        <w:t>could improve efficiency and coherence.</w:t>
      </w:r>
    </w:p>
    <w:p w14:paraId="259F2818" w14:textId="77777777" w:rsidR="007F517B" w:rsidRPr="00F1119D" w:rsidRDefault="007F517B" w:rsidP="007F517B">
      <w:pPr>
        <w:pStyle w:val="Heading4"/>
        <w:rPr>
          <w:color w:val="000000" w:themeColor="text1"/>
        </w:rPr>
      </w:pPr>
      <w:r w:rsidRPr="00F1119D">
        <w:rPr>
          <w:color w:val="000000" w:themeColor="text1"/>
        </w:rPr>
        <w:t>Surrogates and utilities</w:t>
      </w:r>
    </w:p>
    <w:p w14:paraId="421EC1C9" w14:textId="4122A763" w:rsidR="007F517B" w:rsidRPr="00F1119D" w:rsidRDefault="007F517B" w:rsidP="007F517B">
      <w:pPr>
        <w:pStyle w:val="Paragraph"/>
        <w:rPr>
          <w:color w:val="000000" w:themeColor="text1"/>
        </w:rPr>
      </w:pPr>
      <w:r w:rsidRPr="00F1119D">
        <w:rPr>
          <w:color w:val="000000" w:themeColor="text1"/>
        </w:rPr>
        <w:t>Staff discussed difficulties with inconsistent use of surrogate endpoints and health-related quality of life data. They noted that each case often involves debate over the same issues, which could be addressed by more standardised approaches or reference points.</w:t>
      </w:r>
    </w:p>
    <w:p w14:paraId="30FD25D2" w14:textId="77777777" w:rsidR="007F517B" w:rsidRPr="00F1119D" w:rsidRDefault="007F517B" w:rsidP="007F517B">
      <w:pPr>
        <w:pStyle w:val="Heading4"/>
        <w:rPr>
          <w:color w:val="000000" w:themeColor="text1"/>
        </w:rPr>
      </w:pPr>
      <w:r w:rsidRPr="00F1119D">
        <w:rPr>
          <w:color w:val="000000" w:themeColor="text1"/>
        </w:rPr>
        <w:t>Process feasibility</w:t>
      </w:r>
    </w:p>
    <w:p w14:paraId="556DAA76" w14:textId="14BE2F23" w:rsidR="00B50B14" w:rsidRPr="00F1119D" w:rsidRDefault="007F517B" w:rsidP="007F517B">
      <w:pPr>
        <w:pStyle w:val="Paragraph"/>
        <w:rPr>
          <w:color w:val="000000" w:themeColor="text1"/>
        </w:rPr>
      </w:pPr>
      <w:r w:rsidRPr="00F1119D">
        <w:rPr>
          <w:color w:val="000000" w:themeColor="text1"/>
        </w:rPr>
        <w:t>There was recognition that some proposed solutions, such as piloting multi-indication appraisals, could place a heavy resource burden on NICE. Staff emphasised the importance of focusing on a small number of feasible pilots rather than spreading efforts too thinly.</w:t>
      </w:r>
    </w:p>
    <w:p w14:paraId="2E10F4DF" w14:textId="6E928266" w:rsidR="001D6F2E" w:rsidRPr="00F1119D" w:rsidRDefault="00CA57C2" w:rsidP="00CA57C2">
      <w:pPr>
        <w:pStyle w:val="Heading2"/>
        <w:numPr>
          <w:ilvl w:val="1"/>
          <w:numId w:val="35"/>
        </w:numPr>
        <w:rPr>
          <w:color w:val="000000" w:themeColor="text1"/>
        </w:rPr>
      </w:pPr>
      <w:bookmarkStart w:id="35" w:name="_Toc210195420"/>
      <w:r w:rsidRPr="00F1119D">
        <w:rPr>
          <w:color w:val="000000" w:themeColor="text1"/>
        </w:rPr>
        <w:t xml:space="preserve">Workshop 3: Committee </w:t>
      </w:r>
      <w:r w:rsidR="003A6B94">
        <w:rPr>
          <w:color w:val="000000" w:themeColor="text1"/>
        </w:rPr>
        <w:t>c</w:t>
      </w:r>
      <w:r w:rsidRPr="00F1119D">
        <w:rPr>
          <w:color w:val="000000" w:themeColor="text1"/>
        </w:rPr>
        <w:t xml:space="preserve">hairs and </w:t>
      </w:r>
      <w:r w:rsidR="003A6B94">
        <w:rPr>
          <w:color w:val="000000" w:themeColor="text1"/>
        </w:rPr>
        <w:t>e</w:t>
      </w:r>
      <w:r w:rsidRPr="00F1119D">
        <w:rPr>
          <w:color w:val="000000" w:themeColor="text1"/>
        </w:rPr>
        <w:t xml:space="preserve">xternal </w:t>
      </w:r>
      <w:r w:rsidR="003A6B94">
        <w:rPr>
          <w:color w:val="000000" w:themeColor="text1"/>
        </w:rPr>
        <w:t>a</w:t>
      </w:r>
      <w:r w:rsidRPr="00F1119D">
        <w:rPr>
          <w:color w:val="000000" w:themeColor="text1"/>
        </w:rPr>
        <w:t xml:space="preserve">ssessment </w:t>
      </w:r>
      <w:r w:rsidR="003A6B94">
        <w:rPr>
          <w:color w:val="000000" w:themeColor="text1"/>
        </w:rPr>
        <w:t>g</w:t>
      </w:r>
      <w:r w:rsidRPr="00F1119D">
        <w:rPr>
          <w:color w:val="000000" w:themeColor="text1"/>
        </w:rPr>
        <w:t>roups</w:t>
      </w:r>
      <w:bookmarkEnd w:id="35"/>
    </w:p>
    <w:p w14:paraId="50244046" w14:textId="583BE251" w:rsidR="00CA57C2" w:rsidRPr="00F1119D" w:rsidRDefault="00795B76" w:rsidP="00795B76">
      <w:pPr>
        <w:pStyle w:val="Heading3"/>
        <w:numPr>
          <w:ilvl w:val="2"/>
          <w:numId w:val="35"/>
        </w:numPr>
        <w:rPr>
          <w:color w:val="000000" w:themeColor="text1"/>
        </w:rPr>
      </w:pPr>
      <w:bookmarkStart w:id="36" w:name="_Toc210195421"/>
      <w:r w:rsidRPr="00F1119D">
        <w:rPr>
          <w:color w:val="000000" w:themeColor="text1"/>
        </w:rPr>
        <w:t>Par</w:t>
      </w:r>
      <w:r w:rsidR="0048540F" w:rsidRPr="00F1119D">
        <w:rPr>
          <w:color w:val="000000" w:themeColor="text1"/>
        </w:rPr>
        <w:t>ticipants</w:t>
      </w:r>
      <w:bookmarkEnd w:id="36"/>
    </w:p>
    <w:p w14:paraId="41D2D145" w14:textId="44F88095" w:rsidR="0048540F" w:rsidRPr="00F1119D" w:rsidRDefault="0048540F" w:rsidP="0048540F">
      <w:pPr>
        <w:pStyle w:val="Paragraph"/>
        <w:rPr>
          <w:color w:val="000000" w:themeColor="text1"/>
        </w:rPr>
      </w:pPr>
      <w:r w:rsidRPr="00F1119D">
        <w:rPr>
          <w:color w:val="000000" w:themeColor="text1"/>
        </w:rPr>
        <w:t>Th</w:t>
      </w:r>
      <w:r w:rsidR="00A652D8" w:rsidRPr="00F1119D">
        <w:rPr>
          <w:color w:val="000000" w:themeColor="text1"/>
        </w:rPr>
        <w:t>is</w:t>
      </w:r>
      <w:r w:rsidRPr="00F1119D">
        <w:rPr>
          <w:color w:val="000000" w:themeColor="text1"/>
        </w:rPr>
        <w:t xml:space="preserve"> workshop involved members of Evidence Assessment Groups (EAGs) with experience of economic modelling for NICE, alongside </w:t>
      </w:r>
      <w:r w:rsidR="00D82861">
        <w:rPr>
          <w:color w:val="000000" w:themeColor="text1"/>
        </w:rPr>
        <w:t xml:space="preserve">evaluation </w:t>
      </w:r>
      <w:r w:rsidRPr="00F1119D">
        <w:rPr>
          <w:color w:val="000000" w:themeColor="text1"/>
        </w:rPr>
        <w:t>committee chairs with direct experience of decision making. This group brought both technical expertise and insight into how evidence is considered in practice.</w:t>
      </w:r>
    </w:p>
    <w:p w14:paraId="4FB329E5" w14:textId="77777777" w:rsidR="0048540F" w:rsidRPr="00F1119D" w:rsidRDefault="0048540F" w:rsidP="0048540F">
      <w:pPr>
        <w:pStyle w:val="Heading3"/>
        <w:numPr>
          <w:ilvl w:val="2"/>
          <w:numId w:val="40"/>
        </w:numPr>
        <w:rPr>
          <w:color w:val="000000" w:themeColor="text1"/>
        </w:rPr>
      </w:pPr>
      <w:bookmarkStart w:id="37" w:name="_Toc210195422"/>
      <w:r w:rsidRPr="00F1119D">
        <w:rPr>
          <w:color w:val="000000" w:themeColor="text1"/>
        </w:rPr>
        <w:t>Main themes</w:t>
      </w:r>
      <w:bookmarkEnd w:id="37"/>
    </w:p>
    <w:p w14:paraId="6AA57E89" w14:textId="77777777" w:rsidR="0048540F" w:rsidRPr="00F1119D" w:rsidRDefault="0048540F" w:rsidP="0048540F">
      <w:pPr>
        <w:pStyle w:val="Heading4"/>
        <w:rPr>
          <w:color w:val="000000" w:themeColor="text1"/>
        </w:rPr>
      </w:pPr>
      <w:r w:rsidRPr="00F1119D">
        <w:rPr>
          <w:color w:val="000000" w:themeColor="text1"/>
        </w:rPr>
        <w:t>Transportability of information</w:t>
      </w:r>
    </w:p>
    <w:p w14:paraId="581EAC24" w14:textId="2B881F41" w:rsidR="0048540F" w:rsidRPr="00F1119D" w:rsidRDefault="0048540F" w:rsidP="0048540F">
      <w:pPr>
        <w:pStyle w:val="Paragraph"/>
        <w:rPr>
          <w:color w:val="000000" w:themeColor="text1"/>
        </w:rPr>
      </w:pPr>
      <w:r w:rsidRPr="00F1119D">
        <w:rPr>
          <w:color w:val="000000" w:themeColor="text1"/>
        </w:rPr>
        <w:t xml:space="preserve">Participants discussed whether assumptions or data from one appraisal could be re-used in others </w:t>
      </w:r>
      <w:r w:rsidR="00E428B0">
        <w:rPr>
          <w:color w:val="000000" w:themeColor="text1"/>
        </w:rPr>
        <w:t>when</w:t>
      </w:r>
      <w:r w:rsidR="00E428B0" w:rsidRPr="00F1119D">
        <w:rPr>
          <w:color w:val="000000" w:themeColor="text1"/>
        </w:rPr>
        <w:t xml:space="preserve"> </w:t>
      </w:r>
      <w:r w:rsidRPr="00F1119D">
        <w:rPr>
          <w:color w:val="000000" w:themeColor="text1"/>
        </w:rPr>
        <w:t>technologies share common features. They agreed this could improve efficiency but cautioned that clear rules would be needed to manage differences between populations and trial designs.</w:t>
      </w:r>
    </w:p>
    <w:p w14:paraId="2BBED5D1" w14:textId="77777777" w:rsidR="0048540F" w:rsidRPr="00F1119D" w:rsidRDefault="0048540F" w:rsidP="0048540F">
      <w:pPr>
        <w:pStyle w:val="Heading4"/>
        <w:rPr>
          <w:color w:val="000000" w:themeColor="text1"/>
        </w:rPr>
      </w:pPr>
      <w:r w:rsidRPr="00F1119D">
        <w:rPr>
          <w:color w:val="000000" w:themeColor="text1"/>
        </w:rPr>
        <w:t>Structured threshold analysis</w:t>
      </w:r>
    </w:p>
    <w:p w14:paraId="2FA84D23" w14:textId="2023B896" w:rsidR="0048540F" w:rsidRPr="00F1119D" w:rsidRDefault="0048540F" w:rsidP="0048540F">
      <w:pPr>
        <w:pStyle w:val="Paragraph"/>
        <w:rPr>
          <w:color w:val="000000" w:themeColor="text1"/>
        </w:rPr>
      </w:pPr>
      <w:r w:rsidRPr="00F1119D">
        <w:rPr>
          <w:color w:val="000000" w:themeColor="text1"/>
        </w:rPr>
        <w:t xml:space="preserve">There was support for exploring threshold analyses as a way of presenting uncertainty, particularly for single-arm or small trials. Academics noted that presenting ranges alongside structured expert elicitation could help committees make more balanced judgements. </w:t>
      </w:r>
      <w:r w:rsidR="00AB0365">
        <w:rPr>
          <w:color w:val="000000" w:themeColor="text1"/>
        </w:rPr>
        <w:t xml:space="preserve">But </w:t>
      </w:r>
      <w:r w:rsidRPr="00F1119D">
        <w:rPr>
          <w:color w:val="000000" w:themeColor="text1"/>
        </w:rPr>
        <w:t>they also warned that without guidance, committees may default to pessimistic assumptions.</w:t>
      </w:r>
    </w:p>
    <w:p w14:paraId="66A3F2FB" w14:textId="77777777" w:rsidR="0048540F" w:rsidRPr="00F1119D" w:rsidRDefault="0048540F" w:rsidP="0048540F">
      <w:pPr>
        <w:pStyle w:val="Heading4"/>
        <w:rPr>
          <w:color w:val="000000" w:themeColor="text1"/>
        </w:rPr>
      </w:pPr>
      <w:r w:rsidRPr="00F1119D">
        <w:rPr>
          <w:color w:val="000000" w:themeColor="text1"/>
        </w:rPr>
        <w:t>Institutional memory</w:t>
      </w:r>
    </w:p>
    <w:p w14:paraId="2C5567FA" w14:textId="2341421B" w:rsidR="0048540F" w:rsidRPr="00F1119D" w:rsidRDefault="0048540F" w:rsidP="0048540F">
      <w:pPr>
        <w:pStyle w:val="Paragraph"/>
        <w:rPr>
          <w:color w:val="000000" w:themeColor="text1"/>
        </w:rPr>
      </w:pPr>
      <w:r w:rsidRPr="00F1119D">
        <w:rPr>
          <w:color w:val="000000" w:themeColor="text1"/>
        </w:rPr>
        <w:t>Several participants highlighted that assumptions and decisions often vary between appraisals without clear justification. They suggested that developing a register of precedent values, model structures and committee responses could support greater consistency.</w:t>
      </w:r>
    </w:p>
    <w:p w14:paraId="6382B0A5" w14:textId="77777777" w:rsidR="0048540F" w:rsidRPr="00F1119D" w:rsidRDefault="0048540F" w:rsidP="0048540F">
      <w:pPr>
        <w:pStyle w:val="Heading4"/>
        <w:rPr>
          <w:color w:val="000000" w:themeColor="text1"/>
        </w:rPr>
      </w:pPr>
      <w:r w:rsidRPr="00F1119D">
        <w:rPr>
          <w:color w:val="000000" w:themeColor="text1"/>
        </w:rPr>
        <w:t>Risks and safeguards</w:t>
      </w:r>
    </w:p>
    <w:p w14:paraId="48010A8D" w14:textId="76F7624E" w:rsidR="0048540F" w:rsidRPr="00F1119D" w:rsidRDefault="0048540F" w:rsidP="0048540F">
      <w:pPr>
        <w:pStyle w:val="Paragraph"/>
        <w:rPr>
          <w:color w:val="000000" w:themeColor="text1"/>
        </w:rPr>
      </w:pPr>
      <w:r w:rsidRPr="00F1119D">
        <w:rPr>
          <w:color w:val="000000" w:themeColor="text1"/>
        </w:rPr>
        <w:t>Concerns were raised about appeal risk and equality issues if new approaches are introduced without clear rules. Participants stressed the importance of transparency and safeguards to maintain confidence in NICE’s processes.</w:t>
      </w:r>
    </w:p>
    <w:p w14:paraId="08D453E5" w14:textId="6F9D9F01" w:rsidR="00CA57C2" w:rsidRPr="00F1119D" w:rsidRDefault="00871D53" w:rsidP="00871D53">
      <w:pPr>
        <w:pStyle w:val="Heading2"/>
        <w:numPr>
          <w:ilvl w:val="1"/>
          <w:numId w:val="35"/>
        </w:numPr>
        <w:rPr>
          <w:color w:val="000000" w:themeColor="text1"/>
        </w:rPr>
      </w:pPr>
      <w:bookmarkStart w:id="38" w:name="_Toc210195423"/>
      <w:r w:rsidRPr="00F1119D">
        <w:rPr>
          <w:color w:val="000000" w:themeColor="text1"/>
        </w:rPr>
        <w:t>Workshop 4: Industry representatives</w:t>
      </w:r>
      <w:bookmarkEnd w:id="38"/>
    </w:p>
    <w:p w14:paraId="31C20A34" w14:textId="40F23FA6" w:rsidR="00674886" w:rsidRPr="00F1119D" w:rsidRDefault="00674886" w:rsidP="00F20C9B">
      <w:pPr>
        <w:pStyle w:val="Heading3"/>
        <w:numPr>
          <w:ilvl w:val="2"/>
          <w:numId w:val="35"/>
        </w:numPr>
        <w:rPr>
          <w:color w:val="000000" w:themeColor="text1"/>
        </w:rPr>
      </w:pPr>
      <w:bookmarkStart w:id="39" w:name="_Toc210195424"/>
      <w:r w:rsidRPr="00F1119D">
        <w:rPr>
          <w:color w:val="000000" w:themeColor="text1"/>
        </w:rPr>
        <w:t>Participants</w:t>
      </w:r>
      <w:bookmarkEnd w:id="39"/>
    </w:p>
    <w:p w14:paraId="499FB269" w14:textId="612585BE" w:rsidR="00674886" w:rsidRPr="00F1119D" w:rsidRDefault="00A652D8" w:rsidP="00674886">
      <w:pPr>
        <w:pStyle w:val="Paragraph"/>
        <w:rPr>
          <w:color w:val="000000" w:themeColor="text1"/>
        </w:rPr>
      </w:pPr>
      <w:r w:rsidRPr="00F1119D">
        <w:rPr>
          <w:color w:val="000000" w:themeColor="text1"/>
        </w:rPr>
        <w:t>This workshop involved representatives from companies developing individualised or platform-based medicines, including both large pharmaceutical and smaller biotechnology firms</w:t>
      </w:r>
      <w:r w:rsidR="00674886" w:rsidRPr="00F1119D">
        <w:rPr>
          <w:color w:val="000000" w:themeColor="text1"/>
        </w:rPr>
        <w:t>.</w:t>
      </w:r>
    </w:p>
    <w:p w14:paraId="3357910D" w14:textId="243F5D01" w:rsidR="00674886" w:rsidRPr="00F1119D" w:rsidRDefault="00674886" w:rsidP="00F20C9B">
      <w:pPr>
        <w:pStyle w:val="Heading3"/>
        <w:numPr>
          <w:ilvl w:val="2"/>
          <w:numId w:val="41"/>
        </w:numPr>
        <w:rPr>
          <w:color w:val="000000" w:themeColor="text1"/>
        </w:rPr>
      </w:pPr>
      <w:bookmarkStart w:id="40" w:name="_Toc210195425"/>
      <w:r w:rsidRPr="00F1119D">
        <w:rPr>
          <w:color w:val="000000" w:themeColor="text1"/>
        </w:rPr>
        <w:t>Main themes</w:t>
      </w:r>
      <w:bookmarkEnd w:id="40"/>
    </w:p>
    <w:p w14:paraId="41646ABA" w14:textId="77777777" w:rsidR="00674886" w:rsidRPr="00F1119D" w:rsidRDefault="00674886" w:rsidP="00F20C9B">
      <w:pPr>
        <w:pStyle w:val="Heading4"/>
        <w:rPr>
          <w:color w:val="000000" w:themeColor="text1"/>
        </w:rPr>
      </w:pPr>
      <w:r w:rsidRPr="00F1119D">
        <w:rPr>
          <w:color w:val="000000" w:themeColor="text1"/>
        </w:rPr>
        <w:t>Threshold analysis</w:t>
      </w:r>
    </w:p>
    <w:p w14:paraId="13716897" w14:textId="32E99E5E" w:rsidR="00674886" w:rsidRPr="00F1119D" w:rsidRDefault="00674886" w:rsidP="00674886">
      <w:pPr>
        <w:pStyle w:val="Paragraph"/>
        <w:rPr>
          <w:color w:val="000000" w:themeColor="text1"/>
        </w:rPr>
      </w:pPr>
      <w:r w:rsidRPr="00F1119D">
        <w:rPr>
          <w:color w:val="000000" w:themeColor="text1"/>
        </w:rPr>
        <w:t>There was interest in piloting threshold analyses, but some participants were concerned that committees might focus on pessimistic scenarios if ranges are presented without clear guidance. They emphasised the importance of expert elicitation to define plausible ranges and avoid misinterpretation.</w:t>
      </w:r>
    </w:p>
    <w:p w14:paraId="00C61345" w14:textId="77777777" w:rsidR="00674886" w:rsidRPr="00F1119D" w:rsidRDefault="00674886" w:rsidP="00F20C9B">
      <w:pPr>
        <w:pStyle w:val="Heading4"/>
        <w:rPr>
          <w:color w:val="000000" w:themeColor="text1"/>
        </w:rPr>
      </w:pPr>
      <w:r w:rsidRPr="00F1119D">
        <w:rPr>
          <w:color w:val="000000" w:themeColor="text1"/>
        </w:rPr>
        <w:t>Multi-indication and platform appraisals</w:t>
      </w:r>
    </w:p>
    <w:p w14:paraId="616E7FD7" w14:textId="167BBF60" w:rsidR="00674886" w:rsidRPr="00F1119D" w:rsidRDefault="00674886" w:rsidP="00674886">
      <w:pPr>
        <w:pStyle w:val="Paragraph"/>
        <w:rPr>
          <w:color w:val="000000" w:themeColor="text1"/>
        </w:rPr>
      </w:pPr>
      <w:r w:rsidRPr="00F1119D">
        <w:rPr>
          <w:color w:val="000000" w:themeColor="text1"/>
        </w:rPr>
        <w:t xml:space="preserve">Industry stakeholders recognised the potential value of assessing related indications together but highlighted practical challenges. These included differing timelines for licence submissions and reduced company control over shared models or cost structures. Stakeholders suggested that </w:t>
      </w:r>
      <w:r w:rsidR="002C2A05">
        <w:rPr>
          <w:color w:val="000000" w:themeColor="text1"/>
        </w:rPr>
        <w:t>although</w:t>
      </w:r>
      <w:r w:rsidR="002C2A05" w:rsidRPr="00F1119D">
        <w:rPr>
          <w:color w:val="000000" w:themeColor="text1"/>
        </w:rPr>
        <w:t xml:space="preserve"> </w:t>
      </w:r>
      <w:r w:rsidRPr="00F1119D">
        <w:rPr>
          <w:color w:val="000000" w:themeColor="text1"/>
        </w:rPr>
        <w:t>valuable in principle, such approaches may be difficult to operationalise in practice.</w:t>
      </w:r>
    </w:p>
    <w:p w14:paraId="672B5430" w14:textId="77777777" w:rsidR="00674886" w:rsidRPr="00F1119D" w:rsidRDefault="00674886" w:rsidP="00F20C9B">
      <w:pPr>
        <w:pStyle w:val="Heading4"/>
        <w:rPr>
          <w:color w:val="000000" w:themeColor="text1"/>
        </w:rPr>
      </w:pPr>
      <w:r w:rsidRPr="00F1119D">
        <w:rPr>
          <w:color w:val="000000" w:themeColor="text1"/>
        </w:rPr>
        <w:t>Rewarding robust evidence generation</w:t>
      </w:r>
    </w:p>
    <w:p w14:paraId="1818454A" w14:textId="24698438" w:rsidR="00674886" w:rsidRPr="00F1119D" w:rsidRDefault="00674886" w:rsidP="00674886">
      <w:pPr>
        <w:pStyle w:val="Paragraph"/>
        <w:rPr>
          <w:color w:val="000000" w:themeColor="text1"/>
        </w:rPr>
      </w:pPr>
      <w:r w:rsidRPr="00F1119D">
        <w:rPr>
          <w:color w:val="000000" w:themeColor="text1"/>
        </w:rPr>
        <w:t xml:space="preserve">Some participants noted that relaxing evidence requirements for very small populations could reduce the incentive for companies to invest in higher-quality randomised controlled trials. They suggested that any new methods should continue to recognise and reward robust trial design </w:t>
      </w:r>
      <w:r w:rsidR="00E428B0">
        <w:rPr>
          <w:color w:val="000000" w:themeColor="text1"/>
        </w:rPr>
        <w:t>when</w:t>
      </w:r>
      <w:r w:rsidR="00E428B0" w:rsidRPr="00F1119D">
        <w:rPr>
          <w:color w:val="000000" w:themeColor="text1"/>
        </w:rPr>
        <w:t xml:space="preserve"> </w:t>
      </w:r>
      <w:r w:rsidRPr="00F1119D">
        <w:rPr>
          <w:color w:val="000000" w:themeColor="text1"/>
        </w:rPr>
        <w:t>it is feasible.</w:t>
      </w:r>
    </w:p>
    <w:p w14:paraId="7626F8E1" w14:textId="77777777" w:rsidR="00674886" w:rsidRPr="00F1119D" w:rsidRDefault="00674886" w:rsidP="00F20C9B">
      <w:pPr>
        <w:pStyle w:val="Heading4"/>
        <w:rPr>
          <w:color w:val="000000" w:themeColor="text1"/>
        </w:rPr>
      </w:pPr>
      <w:r w:rsidRPr="00F1119D">
        <w:rPr>
          <w:color w:val="000000" w:themeColor="text1"/>
        </w:rPr>
        <w:t>System-level considerations</w:t>
      </w:r>
    </w:p>
    <w:p w14:paraId="784CAD07" w14:textId="0D4440B0" w:rsidR="00674886" w:rsidRPr="00F1119D" w:rsidRDefault="00674886" w:rsidP="00674886">
      <w:pPr>
        <w:pStyle w:val="Paragraph"/>
        <w:rPr>
          <w:color w:val="000000" w:themeColor="text1"/>
        </w:rPr>
      </w:pPr>
      <w:r w:rsidRPr="00F1119D">
        <w:rPr>
          <w:color w:val="000000" w:themeColor="text1"/>
        </w:rPr>
        <w:t xml:space="preserve">Stakeholders were also interested in NHS England’s position on implementation challenges such as staffing, diagnostic capacity and service readiness, and whether these should be factored into economic models. </w:t>
      </w:r>
      <w:r w:rsidR="00980637">
        <w:rPr>
          <w:color w:val="000000" w:themeColor="text1"/>
        </w:rPr>
        <w:t>Although</w:t>
      </w:r>
      <w:r w:rsidR="00980637" w:rsidRPr="00F1119D">
        <w:rPr>
          <w:color w:val="000000" w:themeColor="text1"/>
        </w:rPr>
        <w:t xml:space="preserve"> </w:t>
      </w:r>
      <w:r w:rsidRPr="00F1119D">
        <w:rPr>
          <w:color w:val="000000" w:themeColor="text1"/>
        </w:rPr>
        <w:t>this sits outside NICE’s remit, participants felt it was important for wider system discussions.</w:t>
      </w:r>
    </w:p>
    <w:p w14:paraId="76EBA9F2" w14:textId="062C0964" w:rsidR="00373E7F" w:rsidRPr="00F1119D" w:rsidRDefault="00871D53" w:rsidP="00F93F21">
      <w:pPr>
        <w:pStyle w:val="Numberedheading1"/>
        <w:rPr>
          <w:color w:val="000000" w:themeColor="text1"/>
        </w:rPr>
      </w:pPr>
      <w:bookmarkStart w:id="41" w:name="_Toc210195426"/>
      <w:r w:rsidRPr="00F1119D">
        <w:rPr>
          <w:color w:val="000000" w:themeColor="text1"/>
        </w:rPr>
        <w:t>Synthesis</w:t>
      </w:r>
      <w:bookmarkEnd w:id="41"/>
    </w:p>
    <w:p w14:paraId="1AF64BE3" w14:textId="53A3536B" w:rsidR="005A31A0" w:rsidRPr="00F1119D" w:rsidRDefault="006A2C57" w:rsidP="00373E7F">
      <w:pPr>
        <w:pStyle w:val="Paragraph"/>
        <w:rPr>
          <w:color w:val="000000" w:themeColor="text1"/>
        </w:rPr>
      </w:pPr>
      <w:r w:rsidRPr="00F1119D">
        <w:rPr>
          <w:color w:val="000000" w:themeColor="text1"/>
        </w:rPr>
        <w:t xml:space="preserve">Across the </w:t>
      </w:r>
      <w:r w:rsidR="008044E8">
        <w:rPr>
          <w:color w:val="000000" w:themeColor="text1"/>
        </w:rPr>
        <w:t>4</w:t>
      </w:r>
      <w:r w:rsidR="008044E8" w:rsidRPr="00F1119D">
        <w:rPr>
          <w:color w:val="000000" w:themeColor="text1"/>
        </w:rPr>
        <w:t xml:space="preserve"> </w:t>
      </w:r>
      <w:r w:rsidRPr="00F1119D">
        <w:rPr>
          <w:color w:val="000000" w:themeColor="text1"/>
        </w:rPr>
        <w:t>workshops, there was convergence on the methodological challenges facing NICE in appraising individualised therapies. Participants identified opportunities for improvement but also emphasised the need to distinguish between what NICE could pilot through the HTA Lab, what might sit within NICE but outside the Lab, and what would require wider system collaboration.</w:t>
      </w:r>
    </w:p>
    <w:p w14:paraId="52F607C4" w14:textId="77777777" w:rsidR="009B7736" w:rsidRPr="00F1119D" w:rsidRDefault="009B7736" w:rsidP="00484037">
      <w:pPr>
        <w:pStyle w:val="Heading2"/>
        <w:numPr>
          <w:ilvl w:val="1"/>
          <w:numId w:val="35"/>
        </w:numPr>
        <w:rPr>
          <w:color w:val="000000" w:themeColor="text1"/>
        </w:rPr>
      </w:pPr>
      <w:bookmarkStart w:id="42" w:name="_Toc210195427"/>
      <w:r w:rsidRPr="00F1119D">
        <w:rPr>
          <w:color w:val="000000" w:themeColor="text1"/>
        </w:rPr>
        <w:t>Evidence and uncertainty</w:t>
      </w:r>
      <w:bookmarkEnd w:id="42"/>
    </w:p>
    <w:p w14:paraId="3BAABD42" w14:textId="3BC41E8A" w:rsidR="009B7736" w:rsidRPr="00F1119D" w:rsidRDefault="006A2C57" w:rsidP="009B7736">
      <w:pPr>
        <w:pStyle w:val="Paragraph"/>
        <w:rPr>
          <w:color w:val="000000" w:themeColor="text1"/>
        </w:rPr>
      </w:pPr>
      <w:r w:rsidRPr="00F1119D">
        <w:rPr>
          <w:color w:val="000000" w:themeColor="text1"/>
        </w:rPr>
        <w:t xml:space="preserve">Evidence for individualised therapies is often limited, non-comparative and highly uncertain. Across groups there was support for piloting structured threshold analysis </w:t>
      </w:r>
      <w:proofErr w:type="gramStart"/>
      <w:r w:rsidRPr="00F1119D">
        <w:rPr>
          <w:color w:val="000000" w:themeColor="text1"/>
        </w:rPr>
        <w:t>as a way to</w:t>
      </w:r>
      <w:proofErr w:type="gramEnd"/>
      <w:r w:rsidRPr="00F1119D">
        <w:rPr>
          <w:color w:val="000000" w:themeColor="text1"/>
        </w:rPr>
        <w:t xml:space="preserve"> handle this uncertainty. Presenting cost-effectiveness ranges, alongside structured expert input, was seen </w:t>
      </w:r>
      <w:proofErr w:type="gramStart"/>
      <w:r w:rsidRPr="00F1119D">
        <w:rPr>
          <w:color w:val="000000" w:themeColor="text1"/>
        </w:rPr>
        <w:t>as a way to</w:t>
      </w:r>
      <w:proofErr w:type="gramEnd"/>
      <w:r w:rsidRPr="00F1119D">
        <w:rPr>
          <w:color w:val="000000" w:themeColor="text1"/>
        </w:rPr>
        <w:t xml:space="preserve"> improve transparency and consistency without altering the reference case threshold.</w:t>
      </w:r>
    </w:p>
    <w:p w14:paraId="39C40C3D" w14:textId="77777777" w:rsidR="009B7736" w:rsidRPr="00F1119D" w:rsidRDefault="009B7736" w:rsidP="00484037">
      <w:pPr>
        <w:pStyle w:val="Heading2"/>
        <w:numPr>
          <w:ilvl w:val="1"/>
          <w:numId w:val="35"/>
        </w:numPr>
        <w:rPr>
          <w:color w:val="000000" w:themeColor="text1"/>
        </w:rPr>
      </w:pPr>
      <w:bookmarkStart w:id="43" w:name="_Toc210195428"/>
      <w:r w:rsidRPr="00F1119D">
        <w:rPr>
          <w:color w:val="000000" w:themeColor="text1"/>
        </w:rPr>
        <w:t>Natural history and generalisability</w:t>
      </w:r>
      <w:bookmarkEnd w:id="43"/>
    </w:p>
    <w:p w14:paraId="4233FBEA" w14:textId="4678B499" w:rsidR="009B7736" w:rsidRPr="00F1119D" w:rsidRDefault="006A2C57" w:rsidP="009B7736">
      <w:pPr>
        <w:pStyle w:val="Paragraph"/>
        <w:rPr>
          <w:color w:val="000000" w:themeColor="text1"/>
        </w:rPr>
      </w:pPr>
      <w:r w:rsidRPr="00F1119D">
        <w:rPr>
          <w:color w:val="000000" w:themeColor="text1"/>
        </w:rPr>
        <w:t xml:space="preserve">Natural history data were described as essential but often limited, inconsistent or not representative. Stakeholders agreed that consistent standards are needed for data quality and representativeness. They also discussed the potential to reuse assumptions across appraisals </w:t>
      </w:r>
      <w:r w:rsidR="00E428B0">
        <w:rPr>
          <w:color w:val="000000" w:themeColor="text1"/>
        </w:rPr>
        <w:t>when</w:t>
      </w:r>
      <w:r w:rsidR="00E428B0" w:rsidRPr="00F1119D">
        <w:rPr>
          <w:color w:val="000000" w:themeColor="text1"/>
        </w:rPr>
        <w:t xml:space="preserve"> </w:t>
      </w:r>
      <w:r w:rsidRPr="00F1119D">
        <w:rPr>
          <w:color w:val="000000" w:themeColor="text1"/>
        </w:rPr>
        <w:t xml:space="preserve">technologies share </w:t>
      </w:r>
      <w:proofErr w:type="gramStart"/>
      <w:r w:rsidRPr="00F1119D">
        <w:rPr>
          <w:color w:val="000000" w:themeColor="text1"/>
        </w:rPr>
        <w:t xml:space="preserve">features, </w:t>
      </w:r>
      <w:r w:rsidR="00EA4130">
        <w:rPr>
          <w:color w:val="000000" w:themeColor="text1"/>
        </w:rPr>
        <w:t>but</w:t>
      </w:r>
      <w:proofErr w:type="gramEnd"/>
      <w:r w:rsidR="00EA4130" w:rsidRPr="00F1119D">
        <w:rPr>
          <w:color w:val="000000" w:themeColor="text1"/>
        </w:rPr>
        <w:t xml:space="preserve"> </w:t>
      </w:r>
      <w:r w:rsidRPr="00F1119D">
        <w:rPr>
          <w:color w:val="000000" w:themeColor="text1"/>
        </w:rPr>
        <w:t>cautioned this would require clear rules to avoid overstating generalisability.</w:t>
      </w:r>
    </w:p>
    <w:p w14:paraId="35CFC9C4" w14:textId="77777777" w:rsidR="009B7736" w:rsidRPr="00F1119D" w:rsidRDefault="009B7736" w:rsidP="00484037">
      <w:pPr>
        <w:pStyle w:val="Heading2"/>
        <w:numPr>
          <w:ilvl w:val="1"/>
          <w:numId w:val="35"/>
        </w:numPr>
        <w:rPr>
          <w:color w:val="000000" w:themeColor="text1"/>
        </w:rPr>
      </w:pPr>
      <w:bookmarkStart w:id="44" w:name="_Toc210195429"/>
      <w:r w:rsidRPr="00F1119D">
        <w:rPr>
          <w:color w:val="000000" w:themeColor="text1"/>
        </w:rPr>
        <w:t>Surrogate endpoints and outcomes</w:t>
      </w:r>
      <w:bookmarkEnd w:id="44"/>
    </w:p>
    <w:p w14:paraId="5D1CF564" w14:textId="361A800D" w:rsidR="009B7736" w:rsidRPr="00F1119D" w:rsidRDefault="00E75954" w:rsidP="009B7736">
      <w:pPr>
        <w:pStyle w:val="Paragraph"/>
        <w:rPr>
          <w:color w:val="000000" w:themeColor="text1"/>
        </w:rPr>
      </w:pPr>
      <w:r w:rsidRPr="00F1119D">
        <w:rPr>
          <w:color w:val="000000" w:themeColor="text1"/>
        </w:rPr>
        <w:t>Stakeholders recognised that surrogate endpoints are frequently used in trials of rare and individualised therapies. They highlighted the need for clear standards for when surrogates can be accepted and how validity should be assessed. Several participants also noted the importance of outcomes that reflect what matters to patients and families, not only clinical measures.</w:t>
      </w:r>
    </w:p>
    <w:p w14:paraId="5E3DD688" w14:textId="77777777" w:rsidR="009B7736" w:rsidRPr="00F1119D" w:rsidRDefault="009B7736" w:rsidP="00484037">
      <w:pPr>
        <w:pStyle w:val="Heading2"/>
        <w:numPr>
          <w:ilvl w:val="1"/>
          <w:numId w:val="35"/>
        </w:numPr>
        <w:rPr>
          <w:color w:val="000000" w:themeColor="text1"/>
        </w:rPr>
      </w:pPr>
      <w:bookmarkStart w:id="45" w:name="_Toc210195430"/>
      <w:r w:rsidRPr="00F1119D">
        <w:rPr>
          <w:color w:val="000000" w:themeColor="text1"/>
        </w:rPr>
        <w:t>Institutional memory</w:t>
      </w:r>
      <w:bookmarkEnd w:id="45"/>
    </w:p>
    <w:p w14:paraId="3794D39B" w14:textId="75DD2320" w:rsidR="009B7736" w:rsidRPr="00F1119D" w:rsidRDefault="00E75954" w:rsidP="009B7736">
      <w:pPr>
        <w:pStyle w:val="Paragraph"/>
        <w:rPr>
          <w:color w:val="000000" w:themeColor="text1"/>
        </w:rPr>
      </w:pPr>
      <w:r w:rsidRPr="00F1119D">
        <w:rPr>
          <w:color w:val="000000" w:themeColor="text1"/>
        </w:rPr>
        <w:t xml:space="preserve">A recurring theme was duplication across appraisals. Participants felt that key assumptions and committee reflections are not systematically captured, leading to inconsistency. A structured register was proposed </w:t>
      </w:r>
      <w:proofErr w:type="gramStart"/>
      <w:r w:rsidRPr="00F1119D">
        <w:rPr>
          <w:color w:val="000000" w:themeColor="text1"/>
        </w:rPr>
        <w:t>as a way to</w:t>
      </w:r>
      <w:proofErr w:type="gramEnd"/>
      <w:r w:rsidRPr="00F1119D">
        <w:rPr>
          <w:color w:val="000000" w:themeColor="text1"/>
        </w:rPr>
        <w:t xml:space="preserve"> support greater efficiency and coherence in decision making.</w:t>
      </w:r>
    </w:p>
    <w:p w14:paraId="437E6A33" w14:textId="77777777" w:rsidR="009B7736" w:rsidRPr="00F1119D" w:rsidRDefault="009B7736" w:rsidP="00484037">
      <w:pPr>
        <w:pStyle w:val="Heading2"/>
        <w:numPr>
          <w:ilvl w:val="1"/>
          <w:numId w:val="35"/>
        </w:numPr>
        <w:rPr>
          <w:color w:val="000000" w:themeColor="text1"/>
        </w:rPr>
      </w:pPr>
      <w:bookmarkStart w:id="46" w:name="_Toc210195431"/>
      <w:r w:rsidRPr="00F1119D">
        <w:rPr>
          <w:color w:val="000000" w:themeColor="text1"/>
        </w:rPr>
        <w:t>Pre-competitive collaboration</w:t>
      </w:r>
      <w:bookmarkEnd w:id="46"/>
    </w:p>
    <w:p w14:paraId="46953A56" w14:textId="1FB536BD" w:rsidR="009B7736" w:rsidRPr="00F1119D" w:rsidRDefault="009D15F1" w:rsidP="009B7736">
      <w:pPr>
        <w:pStyle w:val="Paragraph"/>
        <w:rPr>
          <w:color w:val="000000" w:themeColor="text1"/>
        </w:rPr>
      </w:pPr>
      <w:r w:rsidRPr="00F1119D">
        <w:rPr>
          <w:color w:val="000000" w:themeColor="text1"/>
        </w:rPr>
        <w:t xml:space="preserve">There was broad agreement that pre-competitive collaboration could help align assumptions and methods </w:t>
      </w:r>
      <w:r w:rsidR="00E428B0">
        <w:rPr>
          <w:color w:val="000000" w:themeColor="text1"/>
        </w:rPr>
        <w:t>when</w:t>
      </w:r>
      <w:r w:rsidR="00E428B0" w:rsidRPr="00F1119D">
        <w:rPr>
          <w:color w:val="000000" w:themeColor="text1"/>
        </w:rPr>
        <w:t xml:space="preserve"> </w:t>
      </w:r>
      <w:r w:rsidRPr="00F1119D">
        <w:rPr>
          <w:color w:val="000000" w:themeColor="text1"/>
        </w:rPr>
        <w:t>multiple products share common features. Participants suggested NICE could play a convening role, with feasibility depending on scope, governance and resources.</w:t>
      </w:r>
    </w:p>
    <w:p w14:paraId="65EBD932" w14:textId="77777777" w:rsidR="009B7736" w:rsidRPr="00F1119D" w:rsidRDefault="009B7736" w:rsidP="00484037">
      <w:pPr>
        <w:pStyle w:val="Heading2"/>
        <w:numPr>
          <w:ilvl w:val="1"/>
          <w:numId w:val="35"/>
        </w:numPr>
        <w:rPr>
          <w:color w:val="000000" w:themeColor="text1"/>
        </w:rPr>
      </w:pPr>
      <w:bookmarkStart w:id="47" w:name="_Toc210195432"/>
      <w:r w:rsidRPr="00F1119D">
        <w:rPr>
          <w:color w:val="000000" w:themeColor="text1"/>
        </w:rPr>
        <w:t>Platform and multi-indication appraisals</w:t>
      </w:r>
      <w:bookmarkEnd w:id="47"/>
    </w:p>
    <w:p w14:paraId="04A97C9B" w14:textId="1A047C11" w:rsidR="009B7736" w:rsidRPr="00F1119D" w:rsidRDefault="009D15F1" w:rsidP="009B7736">
      <w:pPr>
        <w:pStyle w:val="Paragraph"/>
        <w:rPr>
          <w:color w:val="000000" w:themeColor="text1"/>
        </w:rPr>
      </w:pPr>
      <w:r w:rsidRPr="00F1119D">
        <w:rPr>
          <w:color w:val="000000" w:themeColor="text1"/>
        </w:rPr>
        <w:t>Some participants supported piloting appraisals that span multiple related indications, particularly for platform technologies. They saw potential benefits in consistency and efficiency but also noted challenges such as differing timelines, variation in natural history, and the risk of resource intensity. Careful grouping of conditions was viewed as essential.</w:t>
      </w:r>
    </w:p>
    <w:p w14:paraId="1A1B64A9" w14:textId="77777777" w:rsidR="009B7736" w:rsidRPr="00F1119D" w:rsidRDefault="009B7736" w:rsidP="00484037">
      <w:pPr>
        <w:pStyle w:val="Heading2"/>
        <w:numPr>
          <w:ilvl w:val="1"/>
          <w:numId w:val="35"/>
        </w:numPr>
        <w:rPr>
          <w:color w:val="000000" w:themeColor="text1"/>
        </w:rPr>
      </w:pPr>
      <w:bookmarkStart w:id="48" w:name="_Toc210195433"/>
      <w:r w:rsidRPr="00F1119D">
        <w:rPr>
          <w:color w:val="000000" w:themeColor="text1"/>
        </w:rPr>
        <w:t>System-wide dependencies</w:t>
      </w:r>
      <w:bookmarkEnd w:id="48"/>
    </w:p>
    <w:p w14:paraId="3F933956" w14:textId="093ED62A" w:rsidR="009B7736" w:rsidRPr="00F1119D" w:rsidRDefault="00132466" w:rsidP="009B7736">
      <w:pPr>
        <w:pStyle w:val="Paragraph"/>
        <w:rPr>
          <w:color w:val="000000" w:themeColor="text1"/>
        </w:rPr>
      </w:pPr>
      <w:r w:rsidRPr="00F1119D">
        <w:rPr>
          <w:color w:val="000000" w:themeColor="text1"/>
        </w:rPr>
        <w:t>Stakeholders consistently emphasised that some challenges cannot be resolved by NICE alone. These include national coordination of data infrastructure, long-term outcome registries and NHS service readiness. While NICE could contribute, these issues require collective action across regulators, funders, the NHS and patient organisations.</w:t>
      </w:r>
    </w:p>
    <w:p w14:paraId="2D0D0887" w14:textId="0DF1F877" w:rsidR="095528BD" w:rsidRPr="00F1119D" w:rsidRDefault="004022CC" w:rsidP="00F93F21">
      <w:pPr>
        <w:pStyle w:val="Numberedheading1"/>
        <w:rPr>
          <w:color w:val="000000" w:themeColor="text1"/>
        </w:rPr>
      </w:pPr>
      <w:bookmarkStart w:id="49" w:name="_Toc210195435"/>
      <w:r w:rsidRPr="00F1119D">
        <w:rPr>
          <w:color w:val="000000" w:themeColor="text1"/>
        </w:rPr>
        <w:t>Limitations</w:t>
      </w:r>
      <w:bookmarkEnd w:id="49"/>
      <w:r w:rsidR="095528BD" w:rsidRPr="00F1119D">
        <w:rPr>
          <w:color w:val="000000" w:themeColor="text1"/>
        </w:rPr>
        <w:t xml:space="preserve"> </w:t>
      </w:r>
    </w:p>
    <w:p w14:paraId="126E0B13" w14:textId="4ECFB352" w:rsidR="00373E7F" w:rsidRPr="00F1119D" w:rsidRDefault="00751D3B" w:rsidP="00F14A4E">
      <w:pPr>
        <w:pStyle w:val="NICEnormal"/>
        <w:rPr>
          <w:color w:val="000000" w:themeColor="text1"/>
        </w:rPr>
      </w:pPr>
      <w:r w:rsidRPr="00F1119D">
        <w:rPr>
          <w:color w:val="000000" w:themeColor="text1"/>
        </w:rPr>
        <w:t xml:space="preserve">The workshops provided </w:t>
      </w:r>
      <w:r w:rsidR="000C1D26" w:rsidRPr="00F1119D">
        <w:rPr>
          <w:color w:val="000000" w:themeColor="text1"/>
        </w:rPr>
        <w:t>valuable</w:t>
      </w:r>
      <w:r w:rsidRPr="00F1119D">
        <w:rPr>
          <w:color w:val="000000" w:themeColor="text1"/>
        </w:rPr>
        <w:t xml:space="preserve"> insights from a broad range of perspectives, but several limitations should be noted:</w:t>
      </w:r>
    </w:p>
    <w:p w14:paraId="165BE912" w14:textId="4AAAC354" w:rsidR="00293EB6" w:rsidRPr="00F1119D" w:rsidRDefault="00293EB6" w:rsidP="00293EB6">
      <w:pPr>
        <w:pStyle w:val="Bullets"/>
        <w:rPr>
          <w:color w:val="000000" w:themeColor="text1"/>
        </w:rPr>
      </w:pPr>
      <w:r w:rsidRPr="00F1119D">
        <w:rPr>
          <w:b/>
          <w:bCs/>
          <w:color w:val="000000" w:themeColor="text1"/>
        </w:rPr>
        <w:t>Representation:</w:t>
      </w:r>
      <w:r w:rsidRPr="00F1119D">
        <w:rPr>
          <w:color w:val="000000" w:themeColor="text1"/>
        </w:rPr>
        <w:t xml:space="preserve"> Each workshop was time-limited and involved a small number of participants. </w:t>
      </w:r>
      <w:r w:rsidR="00175255">
        <w:rPr>
          <w:color w:val="000000" w:themeColor="text1"/>
        </w:rPr>
        <w:t>Although</w:t>
      </w:r>
      <w:r w:rsidR="00175255" w:rsidRPr="00F1119D">
        <w:rPr>
          <w:color w:val="000000" w:themeColor="text1"/>
        </w:rPr>
        <w:t xml:space="preserve"> </w:t>
      </w:r>
      <w:r w:rsidRPr="00F1119D">
        <w:rPr>
          <w:color w:val="000000" w:themeColor="text1"/>
        </w:rPr>
        <w:t>efforts were made to include diverse perspectives, the views reported here cannot represent all stakeholders across the system.</w:t>
      </w:r>
    </w:p>
    <w:p w14:paraId="7804151D" w14:textId="77777777" w:rsidR="00293EB6" w:rsidRPr="00F1119D" w:rsidRDefault="00293EB6" w:rsidP="00293EB6">
      <w:pPr>
        <w:pStyle w:val="Bullets"/>
        <w:rPr>
          <w:color w:val="000000" w:themeColor="text1"/>
        </w:rPr>
      </w:pPr>
      <w:r w:rsidRPr="00F1119D">
        <w:rPr>
          <w:b/>
          <w:bCs/>
          <w:color w:val="000000" w:themeColor="text1"/>
        </w:rPr>
        <w:t>Recording and reporting:</w:t>
      </w:r>
      <w:r w:rsidRPr="00F1119D">
        <w:rPr>
          <w:color w:val="000000" w:themeColor="text1"/>
        </w:rPr>
        <w:t xml:space="preserve"> Discussions were recorded with consent and summarised through notes and debriefs rather than verbatim transcripts. Illustrative statements have been paraphrased to preserve anonymity and reflect the overall sense of discussions.</w:t>
      </w:r>
    </w:p>
    <w:p w14:paraId="6DEAF171" w14:textId="14143E97" w:rsidR="00293EB6" w:rsidRPr="00F1119D" w:rsidRDefault="00293EB6" w:rsidP="00293EB6">
      <w:pPr>
        <w:pStyle w:val="Bullets"/>
        <w:rPr>
          <w:color w:val="000000" w:themeColor="text1"/>
        </w:rPr>
      </w:pPr>
      <w:r w:rsidRPr="00F1119D">
        <w:rPr>
          <w:b/>
          <w:bCs/>
          <w:color w:val="000000" w:themeColor="text1"/>
        </w:rPr>
        <w:t>Scope:</w:t>
      </w:r>
      <w:r w:rsidRPr="00F1119D">
        <w:rPr>
          <w:color w:val="000000" w:themeColor="text1"/>
        </w:rPr>
        <w:t xml:space="preserve"> Some issues raised, such as wider societal impacts or national data infrastructure, extend beyond the remit of the HTA Lab and are noted here as context rather than areas for direct follow</w:t>
      </w:r>
      <w:r w:rsidR="0094576C">
        <w:rPr>
          <w:color w:val="000000" w:themeColor="text1"/>
        </w:rPr>
        <w:t xml:space="preserve"> </w:t>
      </w:r>
      <w:r w:rsidRPr="00F1119D">
        <w:rPr>
          <w:color w:val="000000" w:themeColor="text1"/>
        </w:rPr>
        <w:t>up.</w:t>
      </w:r>
    </w:p>
    <w:p w14:paraId="1D426BDB" w14:textId="7395E0CF" w:rsidR="00751D3B" w:rsidRPr="00F1119D" w:rsidRDefault="00293EB6" w:rsidP="00293EB6">
      <w:pPr>
        <w:pStyle w:val="Bullets"/>
        <w:spacing w:after="240"/>
        <w:rPr>
          <w:color w:val="000000" w:themeColor="text1"/>
        </w:rPr>
      </w:pPr>
      <w:r w:rsidRPr="00F1119D">
        <w:rPr>
          <w:b/>
          <w:bCs/>
          <w:color w:val="000000" w:themeColor="text1"/>
        </w:rPr>
        <w:t>Depth of exploration:</w:t>
      </w:r>
      <w:r w:rsidRPr="00F1119D">
        <w:rPr>
          <w:color w:val="000000" w:themeColor="text1"/>
        </w:rPr>
        <w:t xml:space="preserve"> Workshops focused on surfacing key challenges and opportunities rather than developing detailed solutions. Further work would be needed to operationalise the ideas put forward.</w:t>
      </w:r>
    </w:p>
    <w:p w14:paraId="060E21AD" w14:textId="3728789C" w:rsidR="00293EB6" w:rsidRPr="00F1119D" w:rsidRDefault="00293EB6" w:rsidP="00293EB6">
      <w:pPr>
        <w:pStyle w:val="NICEnormal"/>
        <w:rPr>
          <w:color w:val="000000" w:themeColor="text1"/>
        </w:rPr>
      </w:pPr>
      <w:r w:rsidRPr="00F1119D">
        <w:rPr>
          <w:color w:val="000000" w:themeColor="text1"/>
        </w:rPr>
        <w:t>These limitations mean the findings should be seen as indicative of stakeholder views, rather than exhaustive. They nonetheless provided a valuable foundation for identifying feasible pilots and informing the recommendations set out in the main report.</w:t>
      </w:r>
    </w:p>
    <w:p w14:paraId="1A603F12" w14:textId="56D54F6E" w:rsidR="081B0BAA" w:rsidRPr="00F1119D" w:rsidRDefault="001A208C" w:rsidP="00F14A4E">
      <w:pPr>
        <w:pStyle w:val="Numberedheading1"/>
        <w:rPr>
          <w:color w:val="000000" w:themeColor="text1"/>
        </w:rPr>
      </w:pPr>
      <w:bookmarkStart w:id="50" w:name="_Toc210195436"/>
      <w:r w:rsidRPr="00F1119D">
        <w:rPr>
          <w:color w:val="000000" w:themeColor="text1"/>
        </w:rPr>
        <w:t>Conclusion</w:t>
      </w:r>
      <w:bookmarkEnd w:id="50"/>
      <w:r w:rsidRPr="00F1119D">
        <w:rPr>
          <w:color w:val="000000" w:themeColor="text1"/>
        </w:rPr>
        <w:t xml:space="preserve"> </w:t>
      </w:r>
    </w:p>
    <w:p w14:paraId="104F78C6" w14:textId="5D58D91E" w:rsidR="00C4497C" w:rsidRPr="00F1119D" w:rsidRDefault="000B11ED" w:rsidP="00C4497C">
      <w:pPr>
        <w:pStyle w:val="NICEnormal"/>
        <w:rPr>
          <w:rStyle w:val="Heading1Char"/>
          <w:rFonts w:cs="Times New Roman"/>
          <w:b w:val="0"/>
          <w:bCs w:val="0"/>
          <w:kern w:val="0"/>
          <w:sz w:val="24"/>
          <w:szCs w:val="24"/>
        </w:rPr>
      </w:pPr>
      <w:r w:rsidRPr="00F1119D">
        <w:rPr>
          <w:color w:val="000000" w:themeColor="text1"/>
        </w:rPr>
        <w:t>The stakeholder workshops highlighted both the methodological challenges within NICE’s remit and the wider system dependencies that require collective solutions. The synthesis of these insights informed the prioritisation of pilot options for the HTA Lab and clarified which areas fall outside NICE’s scope. This engagement provides a foundation for the recommendations in the main report and will inform future work in this area.</w:t>
      </w:r>
    </w:p>
    <w:p w14:paraId="215236DA" w14:textId="77777777" w:rsidR="009476C2" w:rsidRPr="00F1119D" w:rsidRDefault="009476C2">
      <w:pPr>
        <w:rPr>
          <w:rFonts w:ascii="Arial" w:hAnsi="Arial" w:cs="Arial"/>
          <w:b/>
          <w:bCs/>
          <w:kern w:val="32"/>
          <w:sz w:val="32"/>
          <w:highlight w:val="lightGray"/>
          <w:lang w:eastAsia="en-US"/>
        </w:rPr>
      </w:pPr>
      <w:r w:rsidRPr="00F1119D">
        <w:rPr>
          <w:highlight w:val="lightGray"/>
        </w:rPr>
        <w:br w:type="page"/>
      </w:r>
    </w:p>
    <w:p w14:paraId="5C0FB48F" w14:textId="5146B9C9" w:rsidR="006A14A8" w:rsidRPr="00F1119D" w:rsidRDefault="00E57AE6" w:rsidP="009476C2">
      <w:pPr>
        <w:pStyle w:val="Numberedheading1"/>
        <w:numPr>
          <w:ilvl w:val="0"/>
          <w:numId w:val="0"/>
        </w:numPr>
      </w:pPr>
      <w:bookmarkStart w:id="51" w:name="_Toc210195437"/>
      <w:r w:rsidRPr="00F1119D">
        <w:t>Project team</w:t>
      </w:r>
      <w:bookmarkEnd w:id="51"/>
      <w:r w:rsidRPr="00F1119D">
        <w:t xml:space="preserve"> </w:t>
      </w:r>
    </w:p>
    <w:p w14:paraId="055360BC" w14:textId="77777777" w:rsidR="00D62444" w:rsidRPr="00F1119D" w:rsidRDefault="00D62444" w:rsidP="00D62444">
      <w:pPr>
        <w:pStyle w:val="NICEnormal"/>
        <w:rPr>
          <w:rFonts w:cs="Arial"/>
        </w:rPr>
      </w:pPr>
      <w:r w:rsidRPr="00F1119D">
        <w:rPr>
          <w:rFonts w:cs="Arial"/>
        </w:rPr>
        <w:t>Oghenekevwe Okoro, scientific adviser</w:t>
      </w:r>
    </w:p>
    <w:p w14:paraId="6462F865" w14:textId="77777777" w:rsidR="00D62444" w:rsidRPr="00F1119D" w:rsidRDefault="00D62444" w:rsidP="00D62444">
      <w:pPr>
        <w:pStyle w:val="NICEnormal"/>
        <w:rPr>
          <w:rFonts w:cs="Arial"/>
        </w:rPr>
      </w:pPr>
      <w:r w:rsidRPr="00F1119D">
        <w:rPr>
          <w:rFonts w:cs="Arial"/>
        </w:rPr>
        <w:t>Michael Bell, senior analyst</w:t>
      </w:r>
    </w:p>
    <w:p w14:paraId="0AD60529" w14:textId="77777777" w:rsidR="00D62444" w:rsidRPr="00F1119D" w:rsidRDefault="00D62444" w:rsidP="00D62444">
      <w:pPr>
        <w:pStyle w:val="NICEnormal"/>
        <w:rPr>
          <w:rFonts w:cs="Arial"/>
        </w:rPr>
      </w:pPr>
      <w:r w:rsidRPr="00F1119D">
        <w:rPr>
          <w:rFonts w:cs="Arial"/>
        </w:rPr>
        <w:t>Kieron Smith, coordinator</w:t>
      </w:r>
    </w:p>
    <w:p w14:paraId="7EC0D085" w14:textId="77777777" w:rsidR="00D62444" w:rsidRPr="00F1119D" w:rsidRDefault="00D62444" w:rsidP="00D62444">
      <w:pPr>
        <w:pStyle w:val="NICEnormal"/>
        <w:rPr>
          <w:rFonts w:cs="Arial"/>
        </w:rPr>
      </w:pPr>
      <w:r w:rsidRPr="00F1119D">
        <w:rPr>
          <w:rFonts w:cs="Arial"/>
        </w:rPr>
        <w:t>Jamie Elvidge, senior scientific adviser</w:t>
      </w:r>
    </w:p>
    <w:p w14:paraId="253CC297" w14:textId="4F90BD73" w:rsidR="00AD3B77" w:rsidRPr="00F1119D" w:rsidRDefault="00D62444" w:rsidP="00D62444">
      <w:pPr>
        <w:pStyle w:val="NICEnormal"/>
      </w:pPr>
      <w:r w:rsidRPr="00F1119D">
        <w:rPr>
          <w:rFonts w:cs="Arial"/>
        </w:rPr>
        <w:t>Jeanette Kusel, programme director for methods, research and health economics</w:t>
      </w:r>
    </w:p>
    <w:p w14:paraId="14C3C19A" w14:textId="70161CC0" w:rsidR="00E57AE6" w:rsidRPr="00F1119D" w:rsidRDefault="00E57AE6" w:rsidP="00F93F21">
      <w:pPr>
        <w:pStyle w:val="Numberedheading1"/>
      </w:pPr>
      <w:bookmarkStart w:id="52" w:name="_Toc210195438"/>
      <w:r w:rsidRPr="00F1119D">
        <w:t>Acknowledgements</w:t>
      </w:r>
      <w:bookmarkEnd w:id="52"/>
      <w:r w:rsidRPr="00F1119D">
        <w:t xml:space="preserve"> </w:t>
      </w:r>
    </w:p>
    <w:p w14:paraId="401B239B" w14:textId="7E933E49" w:rsidR="00E84D54" w:rsidRPr="00F1119D" w:rsidRDefault="00397658" w:rsidP="00E84D54">
      <w:pPr>
        <w:pStyle w:val="NICEnormal"/>
      </w:pPr>
      <w:r w:rsidRPr="00F1119D">
        <w:t>The project team would like to thank the Individualised Therapies project working group, Horizon Scanning and Information Services teams for their input into the activities carried out as part of this project. Furthermore, the team would like to thank all the internal and external stakeholders who participated in interviews and workshops and advised on the recommendations outlined in the draft version of this report.</w:t>
      </w:r>
    </w:p>
    <w:sectPr w:rsidR="00E84D54" w:rsidRPr="00F1119D" w:rsidSect="002B4F3E">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E896" w14:textId="77777777" w:rsidR="00B47AE9" w:rsidRDefault="00B47AE9" w:rsidP="00446BEE">
      <w:r>
        <w:separator/>
      </w:r>
    </w:p>
  </w:endnote>
  <w:endnote w:type="continuationSeparator" w:id="0">
    <w:p w14:paraId="51C14623" w14:textId="77777777" w:rsidR="00B47AE9" w:rsidRDefault="00B47AE9" w:rsidP="00446BEE">
      <w:r>
        <w:continuationSeparator/>
      </w:r>
    </w:p>
  </w:endnote>
  <w:endnote w:type="continuationNotice" w:id="1">
    <w:p w14:paraId="3D453527" w14:textId="77777777" w:rsidR="00B47AE9" w:rsidRDefault="00B47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lang w:eastAsia="en-US"/>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3F353929" w:rsidR="007400D7" w:rsidRPr="007400D7" w:rsidRDefault="42753707" w:rsidP="00E57AE6">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rsidR="5DD8AEA6">
      <w:tab/>
    </w:r>
  </w:p>
  <w:p w14:paraId="51812566" w14:textId="67B1EEDC" w:rsidR="002E01F4" w:rsidRPr="002E01F4" w:rsidRDefault="002E01F4" w:rsidP="002E01F4">
    <w:pPr>
      <w:tabs>
        <w:tab w:val="right" w:pos="8306"/>
      </w:tabs>
      <w:rPr>
        <w:rFonts w:ascii="Arial" w:hAnsi="Arial"/>
        <w:color w:val="000000" w:themeColor="text1"/>
        <w:sz w:val="18"/>
        <w:szCs w:val="18"/>
        <w:lang w:eastAsia="en-US"/>
      </w:rPr>
    </w:pPr>
    <w:r w:rsidRPr="002E01F4">
      <w:rPr>
        <w:rFonts w:ascii="Arial" w:hAnsi="Arial"/>
        <w:color w:val="000000" w:themeColor="text1"/>
        <w:sz w:val="18"/>
        <w:szCs w:val="18"/>
        <w:lang w:eastAsia="en-US"/>
      </w:rPr>
      <w:t xml:space="preserve">Individualised therapies and platform technologies: </w:t>
    </w:r>
    <w:r w:rsidR="00821BD9">
      <w:rPr>
        <w:rFonts w:ascii="Arial" w:hAnsi="Arial"/>
        <w:color w:val="000000" w:themeColor="text1"/>
        <w:sz w:val="18"/>
        <w:szCs w:val="18"/>
        <w:lang w:eastAsia="en-US"/>
      </w:rPr>
      <w:t>e</w:t>
    </w:r>
    <w:r w:rsidRPr="002E01F4">
      <w:rPr>
        <w:rFonts w:ascii="Arial" w:hAnsi="Arial"/>
        <w:color w:val="000000" w:themeColor="text1"/>
        <w:sz w:val="18"/>
        <w:szCs w:val="18"/>
        <w:lang w:eastAsia="en-US"/>
      </w:rPr>
      <w:t>xploring methodological challenges for NICE</w:t>
    </w:r>
  </w:p>
  <w:p w14:paraId="25B6DD2A" w14:textId="77777777" w:rsidR="002E01F4" w:rsidRDefault="002E01F4" w:rsidP="002E01F4">
    <w:pPr>
      <w:pStyle w:val="Footer"/>
      <w:rPr>
        <w:color w:val="000000" w:themeColor="text1"/>
        <w:sz w:val="18"/>
        <w:szCs w:val="18"/>
        <w:lang w:eastAsia="en-US"/>
      </w:rPr>
    </w:pPr>
    <w:r w:rsidRPr="002E01F4">
      <w:rPr>
        <w:color w:val="000000" w:themeColor="text1"/>
        <w:sz w:val="18"/>
        <w:szCs w:val="18"/>
        <w:lang w:eastAsia="en-US"/>
      </w:rPr>
      <w:t>Appendix C – Stakeholder engagement</w:t>
    </w:r>
  </w:p>
  <w:p w14:paraId="339F88C0" w14:textId="46055227" w:rsidR="00E57AE6" w:rsidRPr="00E57AE6" w:rsidRDefault="08F5C78A" w:rsidP="08F5C78A">
    <w:pPr>
      <w:pStyle w:val="Footer"/>
      <w:rPr>
        <w:sz w:val="12"/>
        <w:szCs w:val="12"/>
        <w:lang w:eastAsia="en-US"/>
      </w:rPr>
    </w:pPr>
    <w:r w:rsidRPr="08F5C78A">
      <w:rPr>
        <w:color w:val="000000" w:themeColor="text1"/>
        <w:sz w:val="18"/>
        <w:szCs w:val="18"/>
        <w:lang w:eastAsia="en-US"/>
      </w:rPr>
      <w:t>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Default="008E7826" w:rsidP="0007747A">
    <w:pPr>
      <w:pStyle w:val="Footer"/>
      <w:jc w:val="center"/>
    </w:pP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8265" w14:textId="77777777" w:rsidR="00B47AE9" w:rsidRDefault="00B47AE9" w:rsidP="00446BEE">
      <w:r>
        <w:separator/>
      </w:r>
    </w:p>
  </w:footnote>
  <w:footnote w:type="continuationSeparator" w:id="0">
    <w:p w14:paraId="2DAE611E" w14:textId="77777777" w:rsidR="00B47AE9" w:rsidRDefault="00B47AE9" w:rsidP="00446BEE">
      <w:r>
        <w:continuationSeparator/>
      </w:r>
    </w:p>
  </w:footnote>
  <w:footnote w:type="continuationNotice" w:id="1">
    <w:p w14:paraId="7A13B31C" w14:textId="77777777" w:rsidR="00B47AE9" w:rsidRDefault="00B47A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424FB41D"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77777777"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455931429" name="Picture 455931429"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2F94956F" w:rsidR="5DD8AEA6" w:rsidRDefault="5DD8AEA6" w:rsidP="5DD8AEA6">
          <w:pPr>
            <w:pStyle w:val="Header"/>
            <w:ind w:left="-115"/>
          </w:pP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46F0"/>
    <w:multiLevelType w:val="hybridMultilevel"/>
    <w:tmpl w:val="6D5E52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BE34E8"/>
    <w:multiLevelType w:val="hybridMultilevel"/>
    <w:tmpl w:val="3A842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20765"/>
    <w:multiLevelType w:val="hybridMultilevel"/>
    <w:tmpl w:val="1946F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A51AF7"/>
    <w:multiLevelType w:val="hybridMultilevel"/>
    <w:tmpl w:val="AF5042C6"/>
    <w:lvl w:ilvl="0" w:tplc="3C142DA0">
      <w:start w:val="1"/>
      <w:numFmt w:val="bullet"/>
      <w:lvlText w:val="-"/>
      <w:lvlJc w:val="left"/>
      <w:pPr>
        <w:ind w:left="720" w:hanging="360"/>
      </w:pPr>
      <w:rPr>
        <w:rFonts w:ascii="Calibri" w:hAnsi="Calibri" w:hint="default"/>
      </w:rPr>
    </w:lvl>
    <w:lvl w:ilvl="1" w:tplc="B7B2C1CC">
      <w:start w:val="1"/>
      <w:numFmt w:val="bullet"/>
      <w:lvlText w:val="o"/>
      <w:lvlJc w:val="left"/>
      <w:pPr>
        <w:ind w:left="1440" w:hanging="360"/>
      </w:pPr>
      <w:rPr>
        <w:rFonts w:ascii="Courier New" w:hAnsi="Courier New" w:hint="default"/>
      </w:rPr>
    </w:lvl>
    <w:lvl w:ilvl="2" w:tplc="4670BBEC">
      <w:start w:val="1"/>
      <w:numFmt w:val="bullet"/>
      <w:lvlText w:val=""/>
      <w:lvlJc w:val="left"/>
      <w:pPr>
        <w:ind w:left="2160" w:hanging="360"/>
      </w:pPr>
      <w:rPr>
        <w:rFonts w:ascii="Wingdings" w:hAnsi="Wingdings" w:hint="default"/>
      </w:rPr>
    </w:lvl>
    <w:lvl w:ilvl="3" w:tplc="04F2F41A">
      <w:start w:val="1"/>
      <w:numFmt w:val="bullet"/>
      <w:lvlText w:val=""/>
      <w:lvlJc w:val="left"/>
      <w:pPr>
        <w:ind w:left="2880" w:hanging="360"/>
      </w:pPr>
      <w:rPr>
        <w:rFonts w:ascii="Symbol" w:hAnsi="Symbol" w:hint="default"/>
      </w:rPr>
    </w:lvl>
    <w:lvl w:ilvl="4" w:tplc="29062304">
      <w:start w:val="1"/>
      <w:numFmt w:val="bullet"/>
      <w:lvlText w:val="o"/>
      <w:lvlJc w:val="left"/>
      <w:pPr>
        <w:ind w:left="3600" w:hanging="360"/>
      </w:pPr>
      <w:rPr>
        <w:rFonts w:ascii="Courier New" w:hAnsi="Courier New" w:hint="default"/>
      </w:rPr>
    </w:lvl>
    <w:lvl w:ilvl="5" w:tplc="B8E602E6">
      <w:start w:val="1"/>
      <w:numFmt w:val="bullet"/>
      <w:lvlText w:val=""/>
      <w:lvlJc w:val="left"/>
      <w:pPr>
        <w:ind w:left="4320" w:hanging="360"/>
      </w:pPr>
      <w:rPr>
        <w:rFonts w:ascii="Wingdings" w:hAnsi="Wingdings" w:hint="default"/>
      </w:rPr>
    </w:lvl>
    <w:lvl w:ilvl="6" w:tplc="6FD6D436">
      <w:start w:val="1"/>
      <w:numFmt w:val="bullet"/>
      <w:lvlText w:val=""/>
      <w:lvlJc w:val="left"/>
      <w:pPr>
        <w:ind w:left="5040" w:hanging="360"/>
      </w:pPr>
      <w:rPr>
        <w:rFonts w:ascii="Symbol" w:hAnsi="Symbol" w:hint="default"/>
      </w:rPr>
    </w:lvl>
    <w:lvl w:ilvl="7" w:tplc="CAF0FE4C">
      <w:start w:val="1"/>
      <w:numFmt w:val="bullet"/>
      <w:lvlText w:val="o"/>
      <w:lvlJc w:val="left"/>
      <w:pPr>
        <w:ind w:left="5760" w:hanging="360"/>
      </w:pPr>
      <w:rPr>
        <w:rFonts w:ascii="Courier New" w:hAnsi="Courier New" w:hint="default"/>
      </w:rPr>
    </w:lvl>
    <w:lvl w:ilvl="8" w:tplc="5854065E">
      <w:start w:val="1"/>
      <w:numFmt w:val="bullet"/>
      <w:lvlText w:val=""/>
      <w:lvlJc w:val="left"/>
      <w:pPr>
        <w:ind w:left="6480" w:hanging="360"/>
      </w:pPr>
      <w:rPr>
        <w:rFonts w:ascii="Wingdings" w:hAnsi="Wingdings" w:hint="default"/>
      </w:rPr>
    </w:lvl>
  </w:abstractNum>
  <w:abstractNum w:abstractNumId="14" w15:restartNumberingAfterBreak="0">
    <w:nsid w:val="1F4C5CCB"/>
    <w:multiLevelType w:val="hybridMultilevel"/>
    <w:tmpl w:val="7A8CB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4CC8F740"/>
    <w:lvl w:ilvl="0">
      <w:start w:val="1"/>
      <w:numFmt w:val="decimal"/>
      <w:pStyle w:val="Numberedheading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353D24FC"/>
    <w:multiLevelType w:val="hybridMultilevel"/>
    <w:tmpl w:val="1B6C7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52FAB7"/>
    <w:multiLevelType w:val="hybridMultilevel"/>
    <w:tmpl w:val="51AA6B4A"/>
    <w:lvl w:ilvl="0" w:tplc="5CA82F18">
      <w:start w:val="1"/>
      <w:numFmt w:val="bullet"/>
      <w:lvlText w:val="-"/>
      <w:lvlJc w:val="left"/>
      <w:pPr>
        <w:ind w:left="720" w:hanging="360"/>
      </w:pPr>
      <w:rPr>
        <w:rFonts w:ascii="Calibri" w:hAnsi="Calibri" w:hint="default"/>
      </w:rPr>
    </w:lvl>
    <w:lvl w:ilvl="1" w:tplc="38603EDC">
      <w:start w:val="1"/>
      <w:numFmt w:val="bullet"/>
      <w:lvlText w:val="o"/>
      <w:lvlJc w:val="left"/>
      <w:pPr>
        <w:ind w:left="1440" w:hanging="360"/>
      </w:pPr>
      <w:rPr>
        <w:rFonts w:ascii="Courier New" w:hAnsi="Courier New" w:hint="default"/>
      </w:rPr>
    </w:lvl>
    <w:lvl w:ilvl="2" w:tplc="FBA69648">
      <w:start w:val="1"/>
      <w:numFmt w:val="bullet"/>
      <w:lvlText w:val=""/>
      <w:lvlJc w:val="left"/>
      <w:pPr>
        <w:ind w:left="2160" w:hanging="360"/>
      </w:pPr>
      <w:rPr>
        <w:rFonts w:ascii="Wingdings" w:hAnsi="Wingdings" w:hint="default"/>
      </w:rPr>
    </w:lvl>
    <w:lvl w:ilvl="3" w:tplc="CA76C530">
      <w:start w:val="1"/>
      <w:numFmt w:val="bullet"/>
      <w:lvlText w:val=""/>
      <w:lvlJc w:val="left"/>
      <w:pPr>
        <w:ind w:left="2880" w:hanging="360"/>
      </w:pPr>
      <w:rPr>
        <w:rFonts w:ascii="Symbol" w:hAnsi="Symbol" w:hint="default"/>
      </w:rPr>
    </w:lvl>
    <w:lvl w:ilvl="4" w:tplc="51EC3DF6">
      <w:start w:val="1"/>
      <w:numFmt w:val="bullet"/>
      <w:lvlText w:val="o"/>
      <w:lvlJc w:val="left"/>
      <w:pPr>
        <w:ind w:left="3600" w:hanging="360"/>
      </w:pPr>
      <w:rPr>
        <w:rFonts w:ascii="Courier New" w:hAnsi="Courier New" w:hint="default"/>
      </w:rPr>
    </w:lvl>
    <w:lvl w:ilvl="5" w:tplc="6C72ABAA">
      <w:start w:val="1"/>
      <w:numFmt w:val="bullet"/>
      <w:lvlText w:val=""/>
      <w:lvlJc w:val="left"/>
      <w:pPr>
        <w:ind w:left="4320" w:hanging="360"/>
      </w:pPr>
      <w:rPr>
        <w:rFonts w:ascii="Wingdings" w:hAnsi="Wingdings" w:hint="default"/>
      </w:rPr>
    </w:lvl>
    <w:lvl w:ilvl="6" w:tplc="0584D508">
      <w:start w:val="1"/>
      <w:numFmt w:val="bullet"/>
      <w:lvlText w:val=""/>
      <w:lvlJc w:val="left"/>
      <w:pPr>
        <w:ind w:left="5040" w:hanging="360"/>
      </w:pPr>
      <w:rPr>
        <w:rFonts w:ascii="Symbol" w:hAnsi="Symbol" w:hint="default"/>
      </w:rPr>
    </w:lvl>
    <w:lvl w:ilvl="7" w:tplc="3692D488">
      <w:start w:val="1"/>
      <w:numFmt w:val="bullet"/>
      <w:lvlText w:val="o"/>
      <w:lvlJc w:val="left"/>
      <w:pPr>
        <w:ind w:left="5760" w:hanging="360"/>
      </w:pPr>
      <w:rPr>
        <w:rFonts w:ascii="Courier New" w:hAnsi="Courier New" w:hint="default"/>
      </w:rPr>
    </w:lvl>
    <w:lvl w:ilvl="8" w:tplc="00701548">
      <w:start w:val="1"/>
      <w:numFmt w:val="bullet"/>
      <w:lvlText w:val=""/>
      <w:lvlJc w:val="left"/>
      <w:pPr>
        <w:ind w:left="6480" w:hanging="360"/>
      </w:pPr>
      <w:rPr>
        <w:rFonts w:ascii="Wingdings" w:hAnsi="Wingdings" w:hint="default"/>
      </w:rPr>
    </w:lvl>
  </w:abstractNum>
  <w:abstractNum w:abstractNumId="19" w15:restartNumberingAfterBreak="0">
    <w:nsid w:val="5704A4C3"/>
    <w:multiLevelType w:val="hybridMultilevel"/>
    <w:tmpl w:val="B616ECC4"/>
    <w:lvl w:ilvl="0" w:tplc="A0349782">
      <w:start w:val="1"/>
      <w:numFmt w:val="bullet"/>
      <w:lvlText w:val="-"/>
      <w:lvlJc w:val="left"/>
      <w:pPr>
        <w:ind w:left="720" w:hanging="360"/>
      </w:pPr>
      <w:rPr>
        <w:rFonts w:ascii="Calibri" w:hAnsi="Calibri" w:hint="default"/>
      </w:rPr>
    </w:lvl>
    <w:lvl w:ilvl="1" w:tplc="CF184F74">
      <w:start w:val="1"/>
      <w:numFmt w:val="bullet"/>
      <w:lvlText w:val="o"/>
      <w:lvlJc w:val="left"/>
      <w:pPr>
        <w:ind w:left="1440" w:hanging="360"/>
      </w:pPr>
      <w:rPr>
        <w:rFonts w:ascii="Courier New" w:hAnsi="Courier New" w:hint="default"/>
      </w:rPr>
    </w:lvl>
    <w:lvl w:ilvl="2" w:tplc="68D061D4">
      <w:start w:val="1"/>
      <w:numFmt w:val="bullet"/>
      <w:lvlText w:val=""/>
      <w:lvlJc w:val="left"/>
      <w:pPr>
        <w:ind w:left="2160" w:hanging="360"/>
      </w:pPr>
      <w:rPr>
        <w:rFonts w:ascii="Wingdings" w:hAnsi="Wingdings" w:hint="default"/>
      </w:rPr>
    </w:lvl>
    <w:lvl w:ilvl="3" w:tplc="8B20E59E">
      <w:start w:val="1"/>
      <w:numFmt w:val="bullet"/>
      <w:lvlText w:val=""/>
      <w:lvlJc w:val="left"/>
      <w:pPr>
        <w:ind w:left="2880" w:hanging="360"/>
      </w:pPr>
      <w:rPr>
        <w:rFonts w:ascii="Symbol" w:hAnsi="Symbol" w:hint="default"/>
      </w:rPr>
    </w:lvl>
    <w:lvl w:ilvl="4" w:tplc="6298D8B8">
      <w:start w:val="1"/>
      <w:numFmt w:val="bullet"/>
      <w:lvlText w:val="o"/>
      <w:lvlJc w:val="left"/>
      <w:pPr>
        <w:ind w:left="3600" w:hanging="360"/>
      </w:pPr>
      <w:rPr>
        <w:rFonts w:ascii="Courier New" w:hAnsi="Courier New" w:hint="default"/>
      </w:rPr>
    </w:lvl>
    <w:lvl w:ilvl="5" w:tplc="9E62A812">
      <w:start w:val="1"/>
      <w:numFmt w:val="bullet"/>
      <w:lvlText w:val=""/>
      <w:lvlJc w:val="left"/>
      <w:pPr>
        <w:ind w:left="4320" w:hanging="360"/>
      </w:pPr>
      <w:rPr>
        <w:rFonts w:ascii="Wingdings" w:hAnsi="Wingdings" w:hint="default"/>
      </w:rPr>
    </w:lvl>
    <w:lvl w:ilvl="6" w:tplc="510A4938">
      <w:start w:val="1"/>
      <w:numFmt w:val="bullet"/>
      <w:lvlText w:val=""/>
      <w:lvlJc w:val="left"/>
      <w:pPr>
        <w:ind w:left="5040" w:hanging="360"/>
      </w:pPr>
      <w:rPr>
        <w:rFonts w:ascii="Symbol" w:hAnsi="Symbol" w:hint="default"/>
      </w:rPr>
    </w:lvl>
    <w:lvl w:ilvl="7" w:tplc="5E08EB36">
      <w:start w:val="1"/>
      <w:numFmt w:val="bullet"/>
      <w:lvlText w:val="o"/>
      <w:lvlJc w:val="left"/>
      <w:pPr>
        <w:ind w:left="5760" w:hanging="360"/>
      </w:pPr>
      <w:rPr>
        <w:rFonts w:ascii="Courier New" w:hAnsi="Courier New" w:hint="default"/>
      </w:rPr>
    </w:lvl>
    <w:lvl w:ilvl="8" w:tplc="1D1E8218">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C27EEC"/>
    <w:multiLevelType w:val="hybridMultilevel"/>
    <w:tmpl w:val="882A5464"/>
    <w:lvl w:ilvl="0" w:tplc="65CCC2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5" w15:restartNumberingAfterBreak="0">
    <w:nsid w:val="7FE84C00"/>
    <w:multiLevelType w:val="hybridMultilevel"/>
    <w:tmpl w:val="CCD0B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8505914">
    <w:abstractNumId w:val="19"/>
  </w:num>
  <w:num w:numId="2" w16cid:durableId="1215891292">
    <w:abstractNumId w:val="18"/>
  </w:num>
  <w:num w:numId="3" w16cid:durableId="53815730">
    <w:abstractNumId w:val="13"/>
  </w:num>
  <w:num w:numId="4" w16cid:durableId="63384370">
    <w:abstractNumId w:val="20"/>
  </w:num>
  <w:num w:numId="5" w16cid:durableId="1271931310">
    <w:abstractNumId w:val="23"/>
  </w:num>
  <w:num w:numId="6" w16cid:durableId="987441700">
    <w:abstractNumId w:val="23"/>
    <w:lvlOverride w:ilvl="0">
      <w:startOverride w:val="1"/>
    </w:lvlOverride>
  </w:num>
  <w:num w:numId="7" w16cid:durableId="1499422565">
    <w:abstractNumId w:val="23"/>
    <w:lvlOverride w:ilvl="0">
      <w:startOverride w:val="1"/>
    </w:lvlOverride>
  </w:num>
  <w:num w:numId="8" w16cid:durableId="2069916214">
    <w:abstractNumId w:val="23"/>
    <w:lvlOverride w:ilvl="0">
      <w:startOverride w:val="1"/>
    </w:lvlOverride>
  </w:num>
  <w:num w:numId="9" w16cid:durableId="1714303981">
    <w:abstractNumId w:val="23"/>
    <w:lvlOverride w:ilvl="0">
      <w:startOverride w:val="1"/>
    </w:lvlOverride>
  </w:num>
  <w:num w:numId="10" w16cid:durableId="1383334273">
    <w:abstractNumId w:val="23"/>
    <w:lvlOverride w:ilvl="0">
      <w:startOverride w:val="1"/>
    </w:lvlOverride>
  </w:num>
  <w:num w:numId="11" w16cid:durableId="1773280767">
    <w:abstractNumId w:val="9"/>
  </w:num>
  <w:num w:numId="12" w16cid:durableId="25370262">
    <w:abstractNumId w:val="7"/>
  </w:num>
  <w:num w:numId="13" w16cid:durableId="631717178">
    <w:abstractNumId w:val="6"/>
  </w:num>
  <w:num w:numId="14" w16cid:durableId="229852498">
    <w:abstractNumId w:val="5"/>
  </w:num>
  <w:num w:numId="15" w16cid:durableId="619150223">
    <w:abstractNumId w:val="4"/>
  </w:num>
  <w:num w:numId="16" w16cid:durableId="1727877967">
    <w:abstractNumId w:val="8"/>
  </w:num>
  <w:num w:numId="17" w16cid:durableId="1039671961">
    <w:abstractNumId w:val="3"/>
  </w:num>
  <w:num w:numId="18" w16cid:durableId="1876431772">
    <w:abstractNumId w:val="2"/>
  </w:num>
  <w:num w:numId="19" w16cid:durableId="1799951448">
    <w:abstractNumId w:val="1"/>
  </w:num>
  <w:num w:numId="20" w16cid:durableId="960921361">
    <w:abstractNumId w:val="0"/>
  </w:num>
  <w:num w:numId="21" w16cid:durableId="250091122">
    <w:abstractNumId w:val="15"/>
  </w:num>
  <w:num w:numId="22" w16cid:durableId="1373924523">
    <w:abstractNumId w:val="15"/>
    <w:lvlOverride w:ilvl="0">
      <w:startOverride w:val="1"/>
    </w:lvlOverride>
  </w:num>
  <w:num w:numId="23" w16cid:durableId="399716702">
    <w:abstractNumId w:val="20"/>
  </w:num>
  <w:num w:numId="24" w16cid:durableId="1595244151">
    <w:abstractNumId w:val="23"/>
  </w:num>
  <w:num w:numId="25" w16cid:durableId="368646558">
    <w:abstractNumId w:val="15"/>
  </w:num>
  <w:num w:numId="26" w16cid:durableId="534393170">
    <w:abstractNumId w:val="22"/>
  </w:num>
  <w:num w:numId="27" w16cid:durableId="609512517">
    <w:abstractNumId w:val="24"/>
  </w:num>
  <w:num w:numId="28" w16cid:durableId="1752120768">
    <w:abstractNumId w:val="21"/>
  </w:num>
  <w:num w:numId="29" w16cid:durableId="527569269">
    <w:abstractNumId w:val="12"/>
  </w:num>
  <w:num w:numId="30" w16cid:durableId="341933083">
    <w:abstractNumId w:val="10"/>
  </w:num>
  <w:num w:numId="31" w16cid:durableId="1373649310">
    <w:abstractNumId w:val="11"/>
  </w:num>
  <w:num w:numId="32" w16cid:durableId="1111901251">
    <w:abstractNumId w:val="25"/>
  </w:num>
  <w:num w:numId="33" w16cid:durableId="1466505542">
    <w:abstractNumId w:val="14"/>
  </w:num>
  <w:num w:numId="34" w16cid:durableId="1646274476">
    <w:abstractNumId w:val="16"/>
  </w:num>
  <w:num w:numId="35" w16cid:durableId="1428035579">
    <w:abstractNumId w:val="16"/>
  </w:num>
  <w:num w:numId="36" w16cid:durableId="42681909">
    <w:abstractNumId w:val="17"/>
  </w:num>
  <w:num w:numId="37" w16cid:durableId="222983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5784492">
    <w:abstractNumId w:val="16"/>
  </w:num>
  <w:num w:numId="39" w16cid:durableId="13402345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37023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75389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53F8"/>
    <w:rsid w:val="0000797C"/>
    <w:rsid w:val="00024D0A"/>
    <w:rsid w:val="00037641"/>
    <w:rsid w:val="000634C1"/>
    <w:rsid w:val="0006390C"/>
    <w:rsid w:val="000653DD"/>
    <w:rsid w:val="00070065"/>
    <w:rsid w:val="00071C6B"/>
    <w:rsid w:val="0007747A"/>
    <w:rsid w:val="000801BC"/>
    <w:rsid w:val="000918F2"/>
    <w:rsid w:val="00096014"/>
    <w:rsid w:val="000A4FEE"/>
    <w:rsid w:val="000B11ED"/>
    <w:rsid w:val="000B2F1D"/>
    <w:rsid w:val="000B3A9C"/>
    <w:rsid w:val="000B5939"/>
    <w:rsid w:val="000B781A"/>
    <w:rsid w:val="000C1D26"/>
    <w:rsid w:val="000E7288"/>
    <w:rsid w:val="001050B5"/>
    <w:rsid w:val="00107122"/>
    <w:rsid w:val="00112889"/>
    <w:rsid w:val="001134E7"/>
    <w:rsid w:val="0011544F"/>
    <w:rsid w:val="001160A2"/>
    <w:rsid w:val="00121290"/>
    <w:rsid w:val="001261CA"/>
    <w:rsid w:val="00132466"/>
    <w:rsid w:val="001336FF"/>
    <w:rsid w:val="00136206"/>
    <w:rsid w:val="00140286"/>
    <w:rsid w:val="00150EA5"/>
    <w:rsid w:val="00157BBE"/>
    <w:rsid w:val="001602B9"/>
    <w:rsid w:val="0017062A"/>
    <w:rsid w:val="0017169E"/>
    <w:rsid w:val="00173D4C"/>
    <w:rsid w:val="00175255"/>
    <w:rsid w:val="00177CF1"/>
    <w:rsid w:val="001A208C"/>
    <w:rsid w:val="001A6635"/>
    <w:rsid w:val="001B0EE9"/>
    <w:rsid w:val="001B43CC"/>
    <w:rsid w:val="001B65B3"/>
    <w:rsid w:val="001B7DA5"/>
    <w:rsid w:val="001C1B06"/>
    <w:rsid w:val="001D2044"/>
    <w:rsid w:val="001D5E55"/>
    <w:rsid w:val="001D6F2E"/>
    <w:rsid w:val="001D7202"/>
    <w:rsid w:val="001D7F66"/>
    <w:rsid w:val="001E60D6"/>
    <w:rsid w:val="001F475D"/>
    <w:rsid w:val="001F55A6"/>
    <w:rsid w:val="001F670E"/>
    <w:rsid w:val="001F7178"/>
    <w:rsid w:val="002124D5"/>
    <w:rsid w:val="00213187"/>
    <w:rsid w:val="00215762"/>
    <w:rsid w:val="00222A26"/>
    <w:rsid w:val="002408EA"/>
    <w:rsid w:val="002544AD"/>
    <w:rsid w:val="0025603E"/>
    <w:rsid w:val="00271831"/>
    <w:rsid w:val="002819D7"/>
    <w:rsid w:val="00287008"/>
    <w:rsid w:val="002910D4"/>
    <w:rsid w:val="00293EB6"/>
    <w:rsid w:val="00294F60"/>
    <w:rsid w:val="00295E72"/>
    <w:rsid w:val="002B1DAE"/>
    <w:rsid w:val="002B4F3E"/>
    <w:rsid w:val="002B66B6"/>
    <w:rsid w:val="002C1A7E"/>
    <w:rsid w:val="002C2812"/>
    <w:rsid w:val="002C2A05"/>
    <w:rsid w:val="002D23A1"/>
    <w:rsid w:val="002D3376"/>
    <w:rsid w:val="002E01F4"/>
    <w:rsid w:val="002E2970"/>
    <w:rsid w:val="002F1481"/>
    <w:rsid w:val="00311ED0"/>
    <w:rsid w:val="00323174"/>
    <w:rsid w:val="00325353"/>
    <w:rsid w:val="0032651A"/>
    <w:rsid w:val="003332C5"/>
    <w:rsid w:val="003342E8"/>
    <w:rsid w:val="003475D3"/>
    <w:rsid w:val="003648C5"/>
    <w:rsid w:val="003722FA"/>
    <w:rsid w:val="00373E7F"/>
    <w:rsid w:val="00391CFB"/>
    <w:rsid w:val="00397383"/>
    <w:rsid w:val="00397658"/>
    <w:rsid w:val="003A1548"/>
    <w:rsid w:val="003A6B94"/>
    <w:rsid w:val="003B647B"/>
    <w:rsid w:val="003C7AAF"/>
    <w:rsid w:val="003D3DF9"/>
    <w:rsid w:val="003D6CDB"/>
    <w:rsid w:val="003E69B5"/>
    <w:rsid w:val="003E74E7"/>
    <w:rsid w:val="003E7AFE"/>
    <w:rsid w:val="003F0A04"/>
    <w:rsid w:val="003F1C1C"/>
    <w:rsid w:val="003F36DF"/>
    <w:rsid w:val="00401C03"/>
    <w:rsid w:val="004022CC"/>
    <w:rsid w:val="004075B6"/>
    <w:rsid w:val="00420952"/>
    <w:rsid w:val="00426032"/>
    <w:rsid w:val="0042620D"/>
    <w:rsid w:val="00426C41"/>
    <w:rsid w:val="0043180D"/>
    <w:rsid w:val="00446BEE"/>
    <w:rsid w:val="00467517"/>
    <w:rsid w:val="004753FB"/>
    <w:rsid w:val="00483787"/>
    <w:rsid w:val="00484037"/>
    <w:rsid w:val="0048540F"/>
    <w:rsid w:val="00486513"/>
    <w:rsid w:val="00494018"/>
    <w:rsid w:val="004A4B4F"/>
    <w:rsid w:val="004B377A"/>
    <w:rsid w:val="004B5C0D"/>
    <w:rsid w:val="004C0D7B"/>
    <w:rsid w:val="004C132A"/>
    <w:rsid w:val="004C4B42"/>
    <w:rsid w:val="004D10B4"/>
    <w:rsid w:val="004E31F0"/>
    <w:rsid w:val="004E671C"/>
    <w:rsid w:val="004F3270"/>
    <w:rsid w:val="005025A1"/>
    <w:rsid w:val="00534AFE"/>
    <w:rsid w:val="00535B56"/>
    <w:rsid w:val="00536896"/>
    <w:rsid w:val="00536AE0"/>
    <w:rsid w:val="0055173D"/>
    <w:rsid w:val="005539AC"/>
    <w:rsid w:val="00554E68"/>
    <w:rsid w:val="005557C0"/>
    <w:rsid w:val="00563574"/>
    <w:rsid w:val="0056788F"/>
    <w:rsid w:val="00583B9C"/>
    <w:rsid w:val="005866C5"/>
    <w:rsid w:val="00594C3A"/>
    <w:rsid w:val="005A02D5"/>
    <w:rsid w:val="005A2197"/>
    <w:rsid w:val="005A31A0"/>
    <w:rsid w:val="005C0D00"/>
    <w:rsid w:val="005C621C"/>
    <w:rsid w:val="005D21B3"/>
    <w:rsid w:val="005D52D0"/>
    <w:rsid w:val="0060110B"/>
    <w:rsid w:val="0061244E"/>
    <w:rsid w:val="0061262C"/>
    <w:rsid w:val="00624140"/>
    <w:rsid w:val="00630907"/>
    <w:rsid w:val="00637160"/>
    <w:rsid w:val="00641562"/>
    <w:rsid w:val="0065453C"/>
    <w:rsid w:val="006709A9"/>
    <w:rsid w:val="00674886"/>
    <w:rsid w:val="006775E5"/>
    <w:rsid w:val="006802A7"/>
    <w:rsid w:val="006844DE"/>
    <w:rsid w:val="006921E1"/>
    <w:rsid w:val="00696C0A"/>
    <w:rsid w:val="006A14A8"/>
    <w:rsid w:val="006A28FB"/>
    <w:rsid w:val="006A2C57"/>
    <w:rsid w:val="006B374E"/>
    <w:rsid w:val="006B3BE5"/>
    <w:rsid w:val="006C2A9F"/>
    <w:rsid w:val="006C3E12"/>
    <w:rsid w:val="006C3F4A"/>
    <w:rsid w:val="006D4C33"/>
    <w:rsid w:val="006E462F"/>
    <w:rsid w:val="006E53A7"/>
    <w:rsid w:val="006E6625"/>
    <w:rsid w:val="006F0265"/>
    <w:rsid w:val="006F7F5A"/>
    <w:rsid w:val="00706859"/>
    <w:rsid w:val="00707551"/>
    <w:rsid w:val="007156DB"/>
    <w:rsid w:val="00736348"/>
    <w:rsid w:val="007400D7"/>
    <w:rsid w:val="00747131"/>
    <w:rsid w:val="00751D3B"/>
    <w:rsid w:val="00757EAD"/>
    <w:rsid w:val="00771168"/>
    <w:rsid w:val="0077376B"/>
    <w:rsid w:val="00781C41"/>
    <w:rsid w:val="007828DF"/>
    <w:rsid w:val="00792564"/>
    <w:rsid w:val="00795B76"/>
    <w:rsid w:val="007C5857"/>
    <w:rsid w:val="007E0D14"/>
    <w:rsid w:val="007F517B"/>
    <w:rsid w:val="007F6612"/>
    <w:rsid w:val="008044E8"/>
    <w:rsid w:val="00821BD9"/>
    <w:rsid w:val="00830161"/>
    <w:rsid w:val="00833D8A"/>
    <w:rsid w:val="00845A78"/>
    <w:rsid w:val="008508B6"/>
    <w:rsid w:val="00861B92"/>
    <w:rsid w:val="00864446"/>
    <w:rsid w:val="00871D53"/>
    <w:rsid w:val="008814FB"/>
    <w:rsid w:val="00887E07"/>
    <w:rsid w:val="00896FEB"/>
    <w:rsid w:val="008A41BF"/>
    <w:rsid w:val="008A4E10"/>
    <w:rsid w:val="008B2877"/>
    <w:rsid w:val="008B29C5"/>
    <w:rsid w:val="008D140D"/>
    <w:rsid w:val="008E7826"/>
    <w:rsid w:val="008F076E"/>
    <w:rsid w:val="008F5E30"/>
    <w:rsid w:val="008F6FB7"/>
    <w:rsid w:val="00914D7F"/>
    <w:rsid w:val="009153FA"/>
    <w:rsid w:val="00922538"/>
    <w:rsid w:val="009347AC"/>
    <w:rsid w:val="0094576C"/>
    <w:rsid w:val="009464AC"/>
    <w:rsid w:val="00946980"/>
    <w:rsid w:val="009469D3"/>
    <w:rsid w:val="009476C2"/>
    <w:rsid w:val="0097265F"/>
    <w:rsid w:val="0097305A"/>
    <w:rsid w:val="00980637"/>
    <w:rsid w:val="009821AC"/>
    <w:rsid w:val="00982599"/>
    <w:rsid w:val="00994A0D"/>
    <w:rsid w:val="00995E21"/>
    <w:rsid w:val="009A25C5"/>
    <w:rsid w:val="009A2FDF"/>
    <w:rsid w:val="009A539A"/>
    <w:rsid w:val="009B50F5"/>
    <w:rsid w:val="009B7736"/>
    <w:rsid w:val="009B780D"/>
    <w:rsid w:val="009D15F1"/>
    <w:rsid w:val="009E10E8"/>
    <w:rsid w:val="009E30ED"/>
    <w:rsid w:val="009E4CFC"/>
    <w:rsid w:val="009E680B"/>
    <w:rsid w:val="009F65AE"/>
    <w:rsid w:val="00A06721"/>
    <w:rsid w:val="00A15A1F"/>
    <w:rsid w:val="00A3325A"/>
    <w:rsid w:val="00A36CA7"/>
    <w:rsid w:val="00A41641"/>
    <w:rsid w:val="00A416A5"/>
    <w:rsid w:val="00A43013"/>
    <w:rsid w:val="00A539ED"/>
    <w:rsid w:val="00A555F5"/>
    <w:rsid w:val="00A6167B"/>
    <w:rsid w:val="00A652D8"/>
    <w:rsid w:val="00A7290D"/>
    <w:rsid w:val="00AA3DA9"/>
    <w:rsid w:val="00AB0365"/>
    <w:rsid w:val="00AB4CB4"/>
    <w:rsid w:val="00AC1AB2"/>
    <w:rsid w:val="00AD3B77"/>
    <w:rsid w:val="00AD5EF3"/>
    <w:rsid w:val="00AF108A"/>
    <w:rsid w:val="00AF3B48"/>
    <w:rsid w:val="00B02E55"/>
    <w:rsid w:val="00B036C1"/>
    <w:rsid w:val="00B05FDC"/>
    <w:rsid w:val="00B0785D"/>
    <w:rsid w:val="00B11A12"/>
    <w:rsid w:val="00B16C9B"/>
    <w:rsid w:val="00B179A6"/>
    <w:rsid w:val="00B22046"/>
    <w:rsid w:val="00B24DAE"/>
    <w:rsid w:val="00B30371"/>
    <w:rsid w:val="00B3653D"/>
    <w:rsid w:val="00B47AE9"/>
    <w:rsid w:val="00B50B14"/>
    <w:rsid w:val="00B5431F"/>
    <w:rsid w:val="00B65A11"/>
    <w:rsid w:val="00B75946"/>
    <w:rsid w:val="00B75A1F"/>
    <w:rsid w:val="00B84BC2"/>
    <w:rsid w:val="00B85510"/>
    <w:rsid w:val="00B96CCA"/>
    <w:rsid w:val="00B9777D"/>
    <w:rsid w:val="00BA70FD"/>
    <w:rsid w:val="00BA74A0"/>
    <w:rsid w:val="00BC11BA"/>
    <w:rsid w:val="00BC184B"/>
    <w:rsid w:val="00BC3321"/>
    <w:rsid w:val="00BD44F4"/>
    <w:rsid w:val="00BD51B9"/>
    <w:rsid w:val="00BE0F05"/>
    <w:rsid w:val="00BF0DB1"/>
    <w:rsid w:val="00BF7FE0"/>
    <w:rsid w:val="00C2674C"/>
    <w:rsid w:val="00C33A70"/>
    <w:rsid w:val="00C3496C"/>
    <w:rsid w:val="00C36044"/>
    <w:rsid w:val="00C41A0D"/>
    <w:rsid w:val="00C4497C"/>
    <w:rsid w:val="00C70F32"/>
    <w:rsid w:val="00C71C93"/>
    <w:rsid w:val="00C71E54"/>
    <w:rsid w:val="00C747DC"/>
    <w:rsid w:val="00C77C66"/>
    <w:rsid w:val="00C81F4D"/>
    <w:rsid w:val="00C85682"/>
    <w:rsid w:val="00C91706"/>
    <w:rsid w:val="00C93336"/>
    <w:rsid w:val="00C96411"/>
    <w:rsid w:val="00CA57C2"/>
    <w:rsid w:val="00CA73F1"/>
    <w:rsid w:val="00CB06E9"/>
    <w:rsid w:val="00CB2369"/>
    <w:rsid w:val="00CC1751"/>
    <w:rsid w:val="00CC4722"/>
    <w:rsid w:val="00CE2607"/>
    <w:rsid w:val="00CF1395"/>
    <w:rsid w:val="00CF2E5C"/>
    <w:rsid w:val="00CF58B7"/>
    <w:rsid w:val="00D02A8F"/>
    <w:rsid w:val="00D129AC"/>
    <w:rsid w:val="00D1699D"/>
    <w:rsid w:val="00D351C1"/>
    <w:rsid w:val="00D35EFB"/>
    <w:rsid w:val="00D411FF"/>
    <w:rsid w:val="00D4515A"/>
    <w:rsid w:val="00D47D55"/>
    <w:rsid w:val="00D504B3"/>
    <w:rsid w:val="00D60BB6"/>
    <w:rsid w:val="00D62444"/>
    <w:rsid w:val="00D75C71"/>
    <w:rsid w:val="00D82861"/>
    <w:rsid w:val="00D85AB8"/>
    <w:rsid w:val="00D86BF0"/>
    <w:rsid w:val="00D96057"/>
    <w:rsid w:val="00DA0A02"/>
    <w:rsid w:val="00DA2133"/>
    <w:rsid w:val="00DA632C"/>
    <w:rsid w:val="00DB2161"/>
    <w:rsid w:val="00DB3ECC"/>
    <w:rsid w:val="00DC12BA"/>
    <w:rsid w:val="00DC4E10"/>
    <w:rsid w:val="00DD294C"/>
    <w:rsid w:val="00DD328B"/>
    <w:rsid w:val="00DD7966"/>
    <w:rsid w:val="00DE47F3"/>
    <w:rsid w:val="00DE4925"/>
    <w:rsid w:val="00E03ABF"/>
    <w:rsid w:val="00E1309C"/>
    <w:rsid w:val="00E22A55"/>
    <w:rsid w:val="00E243E7"/>
    <w:rsid w:val="00E332E4"/>
    <w:rsid w:val="00E34F99"/>
    <w:rsid w:val="00E428B0"/>
    <w:rsid w:val="00E47858"/>
    <w:rsid w:val="00E51079"/>
    <w:rsid w:val="00E51920"/>
    <w:rsid w:val="00E559BB"/>
    <w:rsid w:val="00E57AE6"/>
    <w:rsid w:val="00E64120"/>
    <w:rsid w:val="00E660A1"/>
    <w:rsid w:val="00E72AE9"/>
    <w:rsid w:val="00E72B2D"/>
    <w:rsid w:val="00E7415F"/>
    <w:rsid w:val="00E75954"/>
    <w:rsid w:val="00E7799A"/>
    <w:rsid w:val="00E84D54"/>
    <w:rsid w:val="00E851C4"/>
    <w:rsid w:val="00E86F2C"/>
    <w:rsid w:val="00E8742C"/>
    <w:rsid w:val="00EA4130"/>
    <w:rsid w:val="00EA5237"/>
    <w:rsid w:val="00EB096F"/>
    <w:rsid w:val="00EB244C"/>
    <w:rsid w:val="00ED6A1B"/>
    <w:rsid w:val="00EE0BBC"/>
    <w:rsid w:val="00EE26BE"/>
    <w:rsid w:val="00F055F1"/>
    <w:rsid w:val="00F1119D"/>
    <w:rsid w:val="00F14A4E"/>
    <w:rsid w:val="00F20C9B"/>
    <w:rsid w:val="00F24DEB"/>
    <w:rsid w:val="00F610AF"/>
    <w:rsid w:val="00F75A35"/>
    <w:rsid w:val="00F832E2"/>
    <w:rsid w:val="00F93F21"/>
    <w:rsid w:val="00FA2C5A"/>
    <w:rsid w:val="00FC1558"/>
    <w:rsid w:val="00FC2D11"/>
    <w:rsid w:val="00FC448C"/>
    <w:rsid w:val="00FC6230"/>
    <w:rsid w:val="00FD0DD2"/>
    <w:rsid w:val="00FF0D44"/>
    <w:rsid w:val="00FF5467"/>
    <w:rsid w:val="00FF61E7"/>
    <w:rsid w:val="00FF6A0C"/>
    <w:rsid w:val="01453781"/>
    <w:rsid w:val="01A149C0"/>
    <w:rsid w:val="051EF4F5"/>
    <w:rsid w:val="06A52601"/>
    <w:rsid w:val="081B0BAA"/>
    <w:rsid w:val="08F5C78A"/>
    <w:rsid w:val="095528BD"/>
    <w:rsid w:val="0C8DDB1F"/>
    <w:rsid w:val="0D27473E"/>
    <w:rsid w:val="0D91765D"/>
    <w:rsid w:val="10AB1DE4"/>
    <w:rsid w:val="12ADDAF3"/>
    <w:rsid w:val="167CBCA7"/>
    <w:rsid w:val="1950D7BC"/>
    <w:rsid w:val="19774A4F"/>
    <w:rsid w:val="197BC498"/>
    <w:rsid w:val="1AECA81D"/>
    <w:rsid w:val="1C88787E"/>
    <w:rsid w:val="1CA580C6"/>
    <w:rsid w:val="1D54FF6B"/>
    <w:rsid w:val="2523CEAD"/>
    <w:rsid w:val="253FBFEC"/>
    <w:rsid w:val="259C6A6C"/>
    <w:rsid w:val="25F49284"/>
    <w:rsid w:val="26100C44"/>
    <w:rsid w:val="26BF9F0E"/>
    <w:rsid w:val="26FCDE69"/>
    <w:rsid w:val="2704E292"/>
    <w:rsid w:val="27630944"/>
    <w:rsid w:val="27A7CBCF"/>
    <w:rsid w:val="27ABDCA5"/>
    <w:rsid w:val="27B69203"/>
    <w:rsid w:val="29F73FD0"/>
    <w:rsid w:val="2B931031"/>
    <w:rsid w:val="2C06F566"/>
    <w:rsid w:val="2C19FF59"/>
    <w:rsid w:val="30AAB17D"/>
    <w:rsid w:val="3392959B"/>
    <w:rsid w:val="348D6195"/>
    <w:rsid w:val="34BDEA88"/>
    <w:rsid w:val="36A62176"/>
    <w:rsid w:val="37F06CFE"/>
    <w:rsid w:val="3ADB1FFE"/>
    <w:rsid w:val="3AFF0B67"/>
    <w:rsid w:val="3B118447"/>
    <w:rsid w:val="3DFFF78B"/>
    <w:rsid w:val="3EBB115A"/>
    <w:rsid w:val="3FAAC695"/>
    <w:rsid w:val="41573FB4"/>
    <w:rsid w:val="42753707"/>
    <w:rsid w:val="45A25A13"/>
    <w:rsid w:val="462AB0D7"/>
    <w:rsid w:val="46722B29"/>
    <w:rsid w:val="47A2A68E"/>
    <w:rsid w:val="48AED26C"/>
    <w:rsid w:val="4AA46646"/>
    <w:rsid w:val="4C119B97"/>
    <w:rsid w:val="4C37E5CF"/>
    <w:rsid w:val="4DAD6BF8"/>
    <w:rsid w:val="4F3FB2BF"/>
    <w:rsid w:val="58D277C8"/>
    <w:rsid w:val="59300368"/>
    <w:rsid w:val="5936AC4B"/>
    <w:rsid w:val="5A537823"/>
    <w:rsid w:val="5ADFDFE3"/>
    <w:rsid w:val="5CB803AB"/>
    <w:rsid w:val="5CC86F6A"/>
    <w:rsid w:val="5DD8AEA6"/>
    <w:rsid w:val="5E261F86"/>
    <w:rsid w:val="5EC193F9"/>
    <w:rsid w:val="5F0E32E5"/>
    <w:rsid w:val="5FEFA46D"/>
    <w:rsid w:val="6117EF4E"/>
    <w:rsid w:val="61672D7E"/>
    <w:rsid w:val="64D00A47"/>
    <w:rsid w:val="6AB3B86C"/>
    <w:rsid w:val="6C8912E6"/>
    <w:rsid w:val="6FA9A750"/>
    <w:rsid w:val="6FED4026"/>
    <w:rsid w:val="7063392E"/>
    <w:rsid w:val="706F363C"/>
    <w:rsid w:val="74C1611F"/>
    <w:rsid w:val="770B4130"/>
    <w:rsid w:val="774FA451"/>
    <w:rsid w:val="7799CE02"/>
    <w:rsid w:val="792149D2"/>
    <w:rsid w:val="7DFDF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B4CB4"/>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3"/>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4"/>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5"/>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6"/>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7"/>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semiHidden/>
    <w:qFormat/>
    <w:rsid w:val="00A06721"/>
    <w:pPr>
      <w:ind w:left="720"/>
      <w:contextualSpacing/>
    </w:pPr>
  </w:style>
  <w:style w:type="paragraph" w:customStyle="1" w:styleId="NICEnormalsinglespacing">
    <w:name w:val="NICE normal single spacing"/>
    <w:basedOn w:val="Normal"/>
    <w:rsid w:val="007400D7"/>
    <w:pPr>
      <w:spacing w:after="240"/>
    </w:pPr>
    <w:rPr>
      <w:rFonts w:ascii="Arial" w:hAnsi="Arial"/>
      <w:lang w:eastAsia="en-US"/>
    </w:rPr>
  </w:style>
  <w:style w:type="paragraph" w:customStyle="1" w:styleId="NICEnormal">
    <w:name w:val="NICE normal"/>
    <w:link w:val="NICEnormalChar"/>
    <w:qFormat/>
    <w:rsid w:val="00AB4CB4"/>
    <w:pPr>
      <w:spacing w:after="240" w:line="360" w:lineRule="auto"/>
    </w:pPr>
    <w:rPr>
      <w:rFonts w:ascii="Arial" w:hAnsi="Arial"/>
      <w:sz w:val="24"/>
      <w:szCs w:val="24"/>
      <w:lang w:eastAsia="en-US"/>
    </w:rPr>
  </w:style>
  <w:style w:type="character" w:customStyle="1" w:styleId="NICEnormalChar">
    <w:name w:val="NICE normal Char"/>
    <w:link w:val="NICEnormal"/>
    <w:rsid w:val="00AB4CB4"/>
    <w:rPr>
      <w:rFonts w:ascii="Arial" w:hAnsi="Arial"/>
      <w:sz w:val="24"/>
      <w:szCs w:val="24"/>
      <w:lang w:eastAsia="en-US"/>
    </w:rPr>
  </w:style>
  <w:style w:type="paragraph" w:customStyle="1" w:styleId="Numberedheading1">
    <w:name w:val="Numbered heading 1"/>
    <w:basedOn w:val="Heading1"/>
    <w:next w:val="NICEnormal"/>
    <w:link w:val="Numberedheading1CharChar"/>
    <w:rsid w:val="00DA632C"/>
    <w:pPr>
      <w:numPr>
        <w:numId w:val="35"/>
      </w:numPr>
    </w:pPr>
    <w:rPr>
      <w:szCs w:val="24"/>
    </w:rPr>
  </w:style>
  <w:style w:type="character" w:customStyle="1" w:styleId="Numberedheading1CharChar">
    <w:name w:val="Numbered heading 1 Char Char"/>
    <w:link w:val="Numberedheading1"/>
    <w:rsid w:val="00DA632C"/>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DA632C"/>
  </w:style>
  <w:style w:type="character" w:customStyle="1" w:styleId="Numberedheading2Char">
    <w:name w:val="Numbered heading 2 Char"/>
    <w:basedOn w:val="Heading2Char"/>
    <w:link w:val="Numberedheading2"/>
    <w:rsid w:val="00DA632C"/>
    <w:rPr>
      <w:rFonts w:ascii="Arial" w:hAnsi="Arial" w:cs="Arial"/>
      <w:b/>
      <w:bCs/>
      <w:color w:val="228096"/>
      <w:sz w:val="28"/>
      <w:szCs w:val="28"/>
      <w:lang w:eastAsia="en-US"/>
    </w:rPr>
  </w:style>
  <w:style w:type="character" w:styleId="PlaceholderText">
    <w:name w:val="Placeholder Text"/>
    <w:basedOn w:val="DefaultParagraphFont"/>
    <w:uiPriority w:val="99"/>
    <w:semiHidden/>
    <w:rsid w:val="00EB244C"/>
    <w:rPr>
      <w:color w:val="666666"/>
    </w:rPr>
  </w:style>
  <w:style w:type="paragraph" w:customStyle="1" w:styleId="Title1">
    <w:name w:val="Title 1"/>
    <w:basedOn w:val="Normal"/>
    <w:qFormat/>
    <w:rsid w:val="00EB244C"/>
    <w:pPr>
      <w:keepNext/>
      <w:spacing w:before="240" w:after="240"/>
      <w:jc w:val="center"/>
      <w:outlineLvl w:val="0"/>
    </w:pPr>
    <w:rPr>
      <w:rFonts w:ascii="Arial" w:hAnsi="Arial" w:cs="Arial"/>
      <w:b/>
      <w:bCs/>
      <w:kern w:val="28"/>
      <w:sz w:val="4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1160A2"/>
    <w:rsid w:val="00150EA5"/>
    <w:rsid w:val="00217358"/>
    <w:rsid w:val="002544AD"/>
    <w:rsid w:val="00283A7B"/>
    <w:rsid w:val="002910D4"/>
    <w:rsid w:val="004D10B4"/>
    <w:rsid w:val="00534AFE"/>
    <w:rsid w:val="00535B56"/>
    <w:rsid w:val="00536896"/>
    <w:rsid w:val="00540DAF"/>
    <w:rsid w:val="0055173D"/>
    <w:rsid w:val="005B6BA3"/>
    <w:rsid w:val="005C621C"/>
    <w:rsid w:val="006C2A9F"/>
    <w:rsid w:val="007C5857"/>
    <w:rsid w:val="007E0D14"/>
    <w:rsid w:val="009F4FDF"/>
    <w:rsid w:val="00A416A5"/>
    <w:rsid w:val="00A7290D"/>
    <w:rsid w:val="00AE3134"/>
    <w:rsid w:val="00B3041B"/>
    <w:rsid w:val="00B654EE"/>
    <w:rsid w:val="00CE64A3"/>
    <w:rsid w:val="00D30924"/>
    <w:rsid w:val="00DB3ECC"/>
    <w:rsid w:val="00E93C06"/>
    <w:rsid w:val="00EC279B"/>
    <w:rsid w:val="00FF6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2744</Words>
  <Characters>17538</Characters>
  <Application>Microsoft Office Word</Application>
  <DocSecurity>0</DocSecurity>
  <Lines>398</Lines>
  <Paragraphs>131</Paragraphs>
  <ScaleCrop>false</ScaleCrop>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2025-12-09T10:47:00Z</dcterms:created>
  <dcterms:modified xsi:type="dcterms:W3CDTF">2025-12-09T11:15:00Z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2025-12-09T10:47:44Z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54b605ac-4a22-4f29-9344-b73be7797179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