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9B18" w14:textId="110DFFF1" w:rsidR="00C72082" w:rsidRDefault="00057044" w:rsidP="003C6903">
      <w:pPr>
        <w:pStyle w:val="Title1"/>
      </w:pPr>
      <w:r>
        <w:t xml:space="preserve">Board </w:t>
      </w:r>
      <w:r w:rsidRPr="003C6903">
        <w:t>meeting</w:t>
      </w:r>
      <w:r>
        <w:t xml:space="preserve"> </w:t>
      </w:r>
    </w:p>
    <w:p w14:paraId="7693BF28" w14:textId="431DCEDE" w:rsidR="004B4705" w:rsidRDefault="5A1ACB61" w:rsidP="00ED75EB">
      <w:pPr>
        <w:pStyle w:val="Title20"/>
      </w:pPr>
      <w:r>
        <w:t>10</w:t>
      </w:r>
      <w:r w:rsidR="00111FAC">
        <w:t xml:space="preserve"> December 202</w:t>
      </w:r>
      <w:r w:rsidR="374EABD2">
        <w:t>5</w:t>
      </w:r>
    </w:p>
    <w:p w14:paraId="1D1960C3" w14:textId="49248CC9" w:rsidR="00094B5D" w:rsidRPr="00CC09F1" w:rsidRDefault="00111FAC" w:rsidP="2D4BE5A6">
      <w:pPr>
        <w:pStyle w:val="Title1"/>
      </w:pPr>
      <w:r>
        <w:t>Annual report on patient safety</w:t>
      </w:r>
    </w:p>
    <w:p w14:paraId="71A1DCCC" w14:textId="77777777" w:rsidR="009B1D56" w:rsidRPr="00CC09F1" w:rsidRDefault="009B1D56" w:rsidP="003D3B28">
      <w:pPr>
        <w:pStyle w:val="Heading1boardreport"/>
      </w:pPr>
      <w:r w:rsidRPr="00CC09F1">
        <w:t>Purpose of paper</w:t>
      </w:r>
    </w:p>
    <w:p w14:paraId="69A074A5" w14:textId="4F03B1FB" w:rsidR="009B1D56" w:rsidRPr="00CC09F1" w:rsidRDefault="0045411D" w:rsidP="003830CE">
      <w:pPr>
        <w:pStyle w:val="NICEnormal"/>
      </w:pPr>
      <w:r>
        <w:t>For</w:t>
      </w:r>
      <w:r w:rsidR="00111FAC" w:rsidRPr="00CC09F1">
        <w:t xml:space="preserve"> </w:t>
      </w:r>
      <w:r w:rsidR="00560E07">
        <w:t xml:space="preserve">information and </w:t>
      </w:r>
      <w:r w:rsidR="00111FAC" w:rsidRPr="00CC09F1">
        <w:t>assurance</w:t>
      </w:r>
    </w:p>
    <w:p w14:paraId="4BA7C591" w14:textId="77777777" w:rsidR="009B1D56" w:rsidRPr="00CC09F1" w:rsidRDefault="009B1D56" w:rsidP="003D3B28">
      <w:pPr>
        <w:pStyle w:val="Heading1boardreport"/>
      </w:pPr>
      <w:r w:rsidRPr="00CC09F1">
        <w:t>Board action required</w:t>
      </w:r>
    </w:p>
    <w:p w14:paraId="7E532D87" w14:textId="4CCACB43" w:rsidR="009B1D56" w:rsidRPr="00CC09F1" w:rsidRDefault="00111FAC" w:rsidP="003830CE">
      <w:pPr>
        <w:pStyle w:val="NICEnormal"/>
      </w:pPr>
      <w:r>
        <w:t>The Board is asked to note the progress reported and planned next steps</w:t>
      </w:r>
      <w:r w:rsidR="4B77D192">
        <w:t xml:space="preserve"> and to alert the authors if they consider that there are any areas of NICE work relevant to patient safety that need further cons</w:t>
      </w:r>
      <w:r w:rsidR="62134949">
        <w:t>ideration.</w:t>
      </w:r>
    </w:p>
    <w:p w14:paraId="58069CC9" w14:textId="77777777" w:rsidR="009B1D56" w:rsidRPr="00CC09F1" w:rsidRDefault="009B1D56" w:rsidP="003D3B28">
      <w:pPr>
        <w:pStyle w:val="Heading1boardreport"/>
      </w:pPr>
      <w:proofErr w:type="gramStart"/>
      <w:r w:rsidRPr="00CC09F1">
        <w:t>Brief summary</w:t>
      </w:r>
      <w:proofErr w:type="gramEnd"/>
    </w:p>
    <w:p w14:paraId="10B9B7E5" w14:textId="0C7EDDA1" w:rsidR="00111FAC" w:rsidRPr="00CC09F1" w:rsidRDefault="00111FAC" w:rsidP="00111FAC">
      <w:pPr>
        <w:pStyle w:val="NICEnormal"/>
      </w:pPr>
      <w:r>
        <w:t>This report set</w:t>
      </w:r>
      <w:r w:rsidR="001F7E2E">
        <w:t>s</w:t>
      </w:r>
      <w:r>
        <w:t xml:space="preserve"> out NICE's role in, and approach to, patient safety. It summarises key progress over the past </w:t>
      </w:r>
      <w:r w:rsidR="7B8C1F3B">
        <w:t xml:space="preserve">year, </w:t>
      </w:r>
      <w:r>
        <w:t>and outlines</w:t>
      </w:r>
      <w:r w:rsidR="00D866E4">
        <w:t xml:space="preserve"> priorities for</w:t>
      </w:r>
      <w:r>
        <w:t xml:space="preserve"> NICE's role in patient safety over the coming year. These </w:t>
      </w:r>
      <w:r w:rsidR="1EF4ECD7">
        <w:t>priorities</w:t>
      </w:r>
      <w:r>
        <w:t xml:space="preserve"> have been designed to align </w:t>
      </w:r>
      <w:r w:rsidR="3F3237D3">
        <w:t>with and</w:t>
      </w:r>
      <w:r>
        <w:t xml:space="preserve"> support </w:t>
      </w:r>
      <w:r w:rsidR="00560E07">
        <w:t xml:space="preserve">the </w:t>
      </w:r>
      <w:r>
        <w:t>delivery</w:t>
      </w:r>
      <w:r w:rsidR="438A5314">
        <w:t xml:space="preserve"> of our </w:t>
      </w:r>
      <w:r>
        <w:t>strategic objectives</w:t>
      </w:r>
      <w:r w:rsidR="027FFB09">
        <w:t xml:space="preserve"> to produce timely, high-quality guidance that is </w:t>
      </w:r>
      <w:r w:rsidR="18C1215E">
        <w:t>relevant</w:t>
      </w:r>
      <w:r w:rsidR="027FFB09">
        <w:t xml:space="preserve"> and useable</w:t>
      </w:r>
      <w:r w:rsidR="42B2FAED">
        <w:t xml:space="preserve"> and our delivery ambitions, aligned to the NHS 10</w:t>
      </w:r>
      <w:r w:rsidR="68243B95">
        <w:t>-</w:t>
      </w:r>
      <w:r w:rsidR="42B2FAED">
        <w:t>Year Plan</w:t>
      </w:r>
      <w:r>
        <w:t xml:space="preserve">. </w:t>
      </w:r>
    </w:p>
    <w:p w14:paraId="3FD07CBF" w14:textId="77777777" w:rsidR="009B1D56" w:rsidRPr="00CC09F1" w:rsidRDefault="009B1D56" w:rsidP="003D3B28">
      <w:pPr>
        <w:pStyle w:val="Heading1boardreport"/>
      </w:pPr>
      <w:r w:rsidRPr="00CC09F1">
        <w:t>Board sponsor</w:t>
      </w:r>
    </w:p>
    <w:p w14:paraId="3C4E79D6" w14:textId="193F5E86" w:rsidR="009B1D56" w:rsidRPr="00CC09F1" w:rsidRDefault="00111FAC" w:rsidP="003830CE">
      <w:pPr>
        <w:pStyle w:val="NICEnormal"/>
      </w:pPr>
      <w:r w:rsidRPr="00CC09F1">
        <w:t>Professor Jonathan Benger</w:t>
      </w:r>
      <w:r w:rsidR="00AD1F29">
        <w:t xml:space="preserve">, </w:t>
      </w:r>
      <w:r w:rsidRPr="00CC09F1">
        <w:t>Chief Medical Officer and Deputy Chief Executive</w:t>
      </w:r>
    </w:p>
    <w:p w14:paraId="29A4E767" w14:textId="77777777" w:rsidR="004B4705" w:rsidRPr="005F10EE" w:rsidRDefault="004B4705" w:rsidP="004511A7">
      <w:pPr>
        <w:pStyle w:val="NICEnormal"/>
      </w:pPr>
      <w:r w:rsidRPr="005F10EE">
        <w:br w:type="page"/>
      </w:r>
    </w:p>
    <w:p w14:paraId="364E1A08" w14:textId="77777777" w:rsidR="004B4705" w:rsidRPr="00C30FD9" w:rsidRDefault="004B4705" w:rsidP="003D3B28">
      <w:pPr>
        <w:pStyle w:val="Heading1boardreport"/>
      </w:pPr>
      <w:r>
        <w:t xml:space="preserve">Introduction </w:t>
      </w:r>
    </w:p>
    <w:p w14:paraId="6D4986E9" w14:textId="5235F69F" w:rsidR="004B4705" w:rsidRDefault="00111FAC" w:rsidP="00D5471C">
      <w:pPr>
        <w:pStyle w:val="Numberedlist"/>
      </w:pPr>
      <w:r>
        <w:t>This report sets out NICE's approach to its role in patient safety and how it interacts with the wider system to address shared safety challenges. The report illustrates how NICE has considered arising safety issues over the past year, where these have implications for NICE and its products.</w:t>
      </w:r>
      <w:r w:rsidR="009B35A8">
        <w:t xml:space="preserve"> </w:t>
      </w:r>
      <w:r>
        <w:t xml:space="preserve">The report also </w:t>
      </w:r>
      <w:r w:rsidR="00DE52A0">
        <w:t>presents work being done</w:t>
      </w:r>
      <w:r>
        <w:t xml:space="preserve"> to maintain and evolve effective safety oversight across the organisation</w:t>
      </w:r>
      <w:r w:rsidR="67A8198B">
        <w:t xml:space="preserve"> as new programmes and functions emerge</w:t>
      </w:r>
      <w:r>
        <w:t xml:space="preserve">. </w:t>
      </w:r>
    </w:p>
    <w:p w14:paraId="38C988F6" w14:textId="77777777" w:rsidR="004B4705" w:rsidRDefault="004B4705" w:rsidP="00FD39EA">
      <w:pPr>
        <w:pStyle w:val="Heading1boardreport"/>
      </w:pPr>
      <w:r>
        <w:t xml:space="preserve">Background </w:t>
      </w:r>
    </w:p>
    <w:p w14:paraId="269829FF" w14:textId="711ABB57" w:rsidR="0035208A" w:rsidRDefault="0035208A" w:rsidP="00D5471C">
      <w:pPr>
        <w:pStyle w:val="Numberedlist"/>
      </w:pPr>
      <w:r>
        <w:t>Patient safety is an intrinsic part of the NHS definition of quality in healthcare, alongside effectiveness and patient experience. As we strive to improve patient outcomes</w:t>
      </w:r>
      <w:r w:rsidR="00560E07">
        <w:t xml:space="preserve"> and</w:t>
      </w:r>
      <w:r>
        <w:t xml:space="preserve"> meet user needs </w:t>
      </w:r>
      <w:r w:rsidR="00560E07">
        <w:t xml:space="preserve">in the context of </w:t>
      </w:r>
      <w:r>
        <w:t xml:space="preserve">rising demand for health </w:t>
      </w:r>
      <w:r w:rsidR="00560E07">
        <w:t xml:space="preserve">and </w:t>
      </w:r>
      <w:r>
        <w:t xml:space="preserve">care services, the rapid adoption of </w:t>
      </w:r>
      <w:r w:rsidR="61AD9F16">
        <w:t>promising new treatments and</w:t>
      </w:r>
      <w:r>
        <w:t xml:space="preserve"> </w:t>
      </w:r>
      <w:r w:rsidR="00B87289">
        <w:t xml:space="preserve">emerging </w:t>
      </w:r>
      <w:r>
        <w:t>products and technologies</w:t>
      </w:r>
      <w:r w:rsidR="00B87289">
        <w:t xml:space="preserve"> </w:t>
      </w:r>
      <w:r w:rsidR="00560E07">
        <w:t>(</w:t>
      </w:r>
      <w:r w:rsidR="00B87289">
        <w:t>particul</w:t>
      </w:r>
      <w:r w:rsidR="00560E07">
        <w:t>a</w:t>
      </w:r>
      <w:r w:rsidR="00B87289">
        <w:t>rly digital</w:t>
      </w:r>
      <w:r w:rsidR="00560E07">
        <w:t>)</w:t>
      </w:r>
      <w:r>
        <w:t xml:space="preserve">, </w:t>
      </w:r>
      <w:r w:rsidR="00B87289">
        <w:t xml:space="preserve">pose risks and challenges to maintaining patient safety. These </w:t>
      </w:r>
      <w:r>
        <w:t xml:space="preserve">require </w:t>
      </w:r>
      <w:r w:rsidR="00560E07">
        <w:t xml:space="preserve">an </w:t>
      </w:r>
      <w:r>
        <w:t xml:space="preserve">effective oversight </w:t>
      </w:r>
      <w:r w:rsidR="00B87289">
        <w:t>approach t</w:t>
      </w:r>
      <w:r w:rsidR="00560E07">
        <w:t>o</w:t>
      </w:r>
      <w:r>
        <w:t xml:space="preserve"> safety and risk management</w:t>
      </w:r>
      <w:r w:rsidR="3D7A3A05">
        <w:t xml:space="preserve"> where the safety profile of some NICE assessments is higher</w:t>
      </w:r>
      <w:r>
        <w:t xml:space="preserve">.  </w:t>
      </w:r>
    </w:p>
    <w:p w14:paraId="22AA9CB6" w14:textId="77777777" w:rsidR="00D5471C" w:rsidRDefault="00D5471C" w:rsidP="00D5471C">
      <w:pPr>
        <w:pStyle w:val="Numberedlist"/>
        <w:numPr>
          <w:ilvl w:val="0"/>
          <w:numId w:val="0"/>
        </w:numPr>
        <w:ind w:left="993"/>
      </w:pPr>
    </w:p>
    <w:p w14:paraId="368FF34E" w14:textId="2212CACE" w:rsidR="002E65D3" w:rsidRDefault="00B40137" w:rsidP="00D5471C">
      <w:pPr>
        <w:pStyle w:val="Numberedlist"/>
      </w:pPr>
      <w:r>
        <w:t xml:space="preserve">NICE </w:t>
      </w:r>
      <w:r w:rsidR="00DE52A0">
        <w:t>is part of</w:t>
      </w:r>
      <w:r>
        <w:t xml:space="preserve"> a system</w:t>
      </w:r>
      <w:r w:rsidR="00F476C7">
        <w:t xml:space="preserve"> currently</w:t>
      </w:r>
      <w:r>
        <w:t xml:space="preserve"> </w:t>
      </w:r>
      <w:r w:rsidR="00DE52A0">
        <w:t>involving</w:t>
      </w:r>
      <w:r>
        <w:t xml:space="preserve"> multiple bodies and agencies </w:t>
      </w:r>
      <w:r w:rsidR="00DE52A0">
        <w:t>with</w:t>
      </w:r>
      <w:r>
        <w:t xml:space="preserve"> varying roles and degrees of influence over patient safety.</w:t>
      </w:r>
      <w:r w:rsidR="007C7652">
        <w:t xml:space="preserve"> </w:t>
      </w:r>
      <w:r w:rsidR="3A4B2F4C">
        <w:t xml:space="preserve">To date, </w:t>
      </w:r>
      <w:r>
        <w:t xml:space="preserve">NICE </w:t>
      </w:r>
      <w:r w:rsidR="1992DFC8">
        <w:t>has been</w:t>
      </w:r>
      <w:r>
        <w:t xml:space="preserve"> one of </w:t>
      </w:r>
      <w:r w:rsidR="00560E07">
        <w:t xml:space="preserve">more than </w:t>
      </w:r>
      <w:r w:rsidRPr="00B40137">
        <w:t>100 organisations</w:t>
      </w:r>
      <w:r>
        <w:t xml:space="preserve"> including</w:t>
      </w:r>
      <w:r w:rsidR="171A6E7A">
        <w:t>, MHRA, C</w:t>
      </w:r>
      <w:r w:rsidR="007C7652">
        <w:t>are Quality Commission (C</w:t>
      </w:r>
      <w:r w:rsidR="171A6E7A">
        <w:t>QC</w:t>
      </w:r>
      <w:r w:rsidR="007C7652">
        <w:t>)</w:t>
      </w:r>
      <w:r w:rsidR="171A6E7A">
        <w:t>,</w:t>
      </w:r>
      <w:r>
        <w:t xml:space="preserve"> </w:t>
      </w:r>
      <w:r w:rsidR="00BD6762">
        <w:t>Health Services Safety Investigations Body (</w:t>
      </w:r>
      <w:r>
        <w:t>HSSIB</w:t>
      </w:r>
      <w:r w:rsidR="00BD6762">
        <w:t>)</w:t>
      </w:r>
      <w:r>
        <w:t>, Royal Colleges and professional bodies</w:t>
      </w:r>
      <w:r w:rsidRPr="00B40137">
        <w:t xml:space="preserve"> that might exert a</w:t>
      </w:r>
      <w:r w:rsidR="0031564D">
        <w:t>n</w:t>
      </w:r>
      <w:r w:rsidRPr="00B40137">
        <w:t xml:space="preserve"> influence on the NHS through their </w:t>
      </w:r>
      <w:r w:rsidR="0031564D" w:rsidRPr="00B40137">
        <w:t>regulatory</w:t>
      </w:r>
      <w:r w:rsidR="0031564D">
        <w:t xml:space="preserve"> or non-regulatory</w:t>
      </w:r>
      <w:r w:rsidR="0031564D" w:rsidRPr="00B40137">
        <w:t xml:space="preserve"> </w:t>
      </w:r>
      <w:r w:rsidRPr="00B40137">
        <w:t>actions and activities</w:t>
      </w:r>
      <w:r>
        <w:t>.</w:t>
      </w:r>
      <w:r w:rsidR="0032761E">
        <w:rPr>
          <w:rStyle w:val="EndnoteReference"/>
        </w:rPr>
        <w:endnoteReference w:id="1"/>
      </w:r>
      <w:r w:rsidRPr="00B40137">
        <w:t xml:space="preserve"> </w:t>
      </w:r>
      <w:r w:rsidR="00C222AA">
        <w:t xml:space="preserve">Whilst NICE doesn’t issue safety-specific recommendations in the same way as bodies that have a safety-specific role, it can be an important enabler for safety through its </w:t>
      </w:r>
      <w:r w:rsidR="0031564D">
        <w:t>evidence-based guidance, it’s</w:t>
      </w:r>
      <w:r w:rsidR="00C222AA">
        <w:t xml:space="preserve"> influence and </w:t>
      </w:r>
      <w:r w:rsidR="00D5471C">
        <w:t>its</w:t>
      </w:r>
      <w:r w:rsidR="00F00A50">
        <w:t xml:space="preserve"> </w:t>
      </w:r>
      <w:r w:rsidR="0031564D">
        <w:t>reputation</w:t>
      </w:r>
      <w:r w:rsidR="00C222AA">
        <w:t>.</w:t>
      </w:r>
    </w:p>
    <w:p w14:paraId="78B40A68" w14:textId="77777777" w:rsidR="00D5471C" w:rsidRDefault="00D5471C" w:rsidP="00D5471C">
      <w:pPr>
        <w:pStyle w:val="Numberedlist"/>
        <w:numPr>
          <w:ilvl w:val="0"/>
          <w:numId w:val="0"/>
        </w:numPr>
      </w:pPr>
    </w:p>
    <w:p w14:paraId="40129199" w14:textId="7AA44DF0" w:rsidR="00B40137" w:rsidRDefault="28A8D5E4" w:rsidP="00D5471C">
      <w:pPr>
        <w:pStyle w:val="Numberedlist"/>
      </w:pPr>
      <w:r w:rsidRPr="52985236">
        <w:rPr>
          <w:color w:val="000000" w:themeColor="text1"/>
        </w:rPr>
        <w:t xml:space="preserve">The NHS 10-Year Health Plan prioritises patient safety through structural reforms, digital transformation, and cultural shifts. It </w:t>
      </w:r>
      <w:r w:rsidRPr="52985236">
        <w:t>aims to simplify and streamline the patient safety landscape, making it easier for patients, carers, and staff to navigate and influence the system.</w:t>
      </w:r>
    </w:p>
    <w:p w14:paraId="4889A694" w14:textId="77777777" w:rsidR="00BD6762" w:rsidRDefault="00BD6762" w:rsidP="00BD6762">
      <w:pPr>
        <w:pStyle w:val="Numberedlist"/>
        <w:numPr>
          <w:ilvl w:val="0"/>
          <w:numId w:val="0"/>
        </w:numPr>
      </w:pPr>
    </w:p>
    <w:p w14:paraId="460FF59B" w14:textId="5AB93BE9" w:rsidR="00B40137" w:rsidRDefault="28A8D5E4" w:rsidP="00D5471C">
      <w:pPr>
        <w:pStyle w:val="Numberedlist"/>
      </w:pPr>
      <w:r>
        <w:t xml:space="preserve">The plan has been informed by the </w:t>
      </w:r>
      <w:hyperlink r:id="rId8">
        <w:r w:rsidRPr="52F81A72">
          <w:rPr>
            <w:rStyle w:val="Hyperlink"/>
          </w:rPr>
          <w:t>review of patient safety across the health and care landscape</w:t>
        </w:r>
      </w:hyperlink>
      <w:r>
        <w:t xml:space="preserve">, produced by Dr Penny Dash. </w:t>
      </w:r>
      <w:r w:rsidRPr="52985236">
        <w:t xml:space="preserve">This focused on six organisations that were established to either assure or contribute to improving the safety of care, while also </w:t>
      </w:r>
      <w:proofErr w:type="gramStart"/>
      <w:r w:rsidRPr="52985236">
        <w:t>making reference</w:t>
      </w:r>
      <w:proofErr w:type="gramEnd"/>
      <w:r w:rsidRPr="52985236">
        <w:t xml:space="preserve"> to the wider landscape of organisations influencing quality of care. </w:t>
      </w:r>
    </w:p>
    <w:p w14:paraId="2E9A03C0" w14:textId="77777777" w:rsidR="00D5471C" w:rsidRDefault="00D5471C" w:rsidP="00D5471C">
      <w:pPr>
        <w:pStyle w:val="Numberedlist"/>
        <w:numPr>
          <w:ilvl w:val="0"/>
          <w:numId w:val="0"/>
        </w:numPr>
        <w:ind w:left="993"/>
      </w:pPr>
    </w:p>
    <w:p w14:paraId="0F7058A6" w14:textId="2A300FB7" w:rsidR="00B40137" w:rsidRDefault="28A8D5E4" w:rsidP="00D5471C">
      <w:pPr>
        <w:pStyle w:val="Numberedlist"/>
      </w:pPr>
      <w:r>
        <w:t xml:space="preserve">NICE is recognised in the Dash </w:t>
      </w:r>
      <w:r w:rsidR="00D866E4">
        <w:t>R</w:t>
      </w:r>
      <w:r>
        <w:t>eport as a contributor to setting standards for care, and</w:t>
      </w:r>
      <w:r w:rsidR="004E0898">
        <w:t xml:space="preserve"> its</w:t>
      </w:r>
      <w:r>
        <w:t xml:space="preserve"> influencing role in the quality landscape. </w:t>
      </w:r>
    </w:p>
    <w:p w14:paraId="2DC91E7F" w14:textId="77777777" w:rsidR="00D5471C" w:rsidRDefault="00D5471C" w:rsidP="00D5471C">
      <w:pPr>
        <w:pStyle w:val="Numberedlist"/>
        <w:numPr>
          <w:ilvl w:val="0"/>
          <w:numId w:val="0"/>
        </w:numPr>
      </w:pPr>
    </w:p>
    <w:p w14:paraId="43890F7B" w14:textId="40B64A88" w:rsidR="00B40137" w:rsidRDefault="28A8D5E4" w:rsidP="00D5471C">
      <w:pPr>
        <w:pStyle w:val="Numberedlist"/>
      </w:pPr>
      <w:r>
        <w:t>Whilst acknowledging serious, successive safety-related incidents in the delivery of NHS care, the</w:t>
      </w:r>
      <w:r w:rsidR="1FD0D0E1">
        <w:t xml:space="preserve"> NHS</w:t>
      </w:r>
      <w:r>
        <w:t xml:space="preserve"> 10-Year Plan and Dash Re</w:t>
      </w:r>
      <w:r w:rsidR="003051D0">
        <w:t>port</w:t>
      </w:r>
      <w:r>
        <w:t xml:space="preserve"> refer to a regulatory ‘tsunami’ producing </w:t>
      </w:r>
      <w:proofErr w:type="gramStart"/>
      <w:r>
        <w:t>a large number of</w:t>
      </w:r>
      <w:proofErr w:type="gramEnd"/>
      <w:r>
        <w:t xml:space="preserve"> safety recommendations from multiple safety-related bodies and successive public inquiries, in an uncoordinated way and without implementation funding in support.  </w:t>
      </w:r>
    </w:p>
    <w:p w14:paraId="6FD3451F" w14:textId="77777777" w:rsidR="00D5471C" w:rsidRDefault="00D5471C" w:rsidP="00D5471C">
      <w:pPr>
        <w:pStyle w:val="Numberedlist"/>
        <w:numPr>
          <w:ilvl w:val="0"/>
          <w:numId w:val="0"/>
        </w:numPr>
      </w:pPr>
    </w:p>
    <w:p w14:paraId="1BCABF08" w14:textId="4BEB7DEA" w:rsidR="00B40137" w:rsidRDefault="28A8D5E4" w:rsidP="00D5471C">
      <w:pPr>
        <w:pStyle w:val="Numberedlist"/>
      </w:pPr>
      <w:r w:rsidRPr="52985236">
        <w:t xml:space="preserve">The 10-Year Health Plan positions safety as a sub-theme of quality alongside efficiency, equity, patient and user experience. This quality agenda will be led and overseen by an enhanced National Quality Board (NQB), of which the NICE Chief Medical Officer is a standing member.  </w:t>
      </w:r>
    </w:p>
    <w:p w14:paraId="772A16DB" w14:textId="77777777" w:rsidR="00D5471C" w:rsidRDefault="00D5471C" w:rsidP="00D5471C">
      <w:pPr>
        <w:pStyle w:val="Numberedlist"/>
        <w:numPr>
          <w:ilvl w:val="0"/>
          <w:numId w:val="0"/>
        </w:numPr>
      </w:pPr>
    </w:p>
    <w:p w14:paraId="1755915A" w14:textId="38A62E94" w:rsidR="00B40137" w:rsidRDefault="28A8D5E4" w:rsidP="00D5471C">
      <w:pPr>
        <w:pStyle w:val="Numberedlist"/>
      </w:pPr>
      <w:r>
        <w:t xml:space="preserve">The Dash </w:t>
      </w:r>
      <w:r w:rsidR="00D866E4">
        <w:t>R</w:t>
      </w:r>
      <w:r w:rsidR="341D5077">
        <w:t>eport</w:t>
      </w:r>
      <w:r>
        <w:t xml:space="preserve"> recommends the </w:t>
      </w:r>
      <w:r w:rsidR="5C0087CA">
        <w:t>National Quality Board (</w:t>
      </w:r>
      <w:r>
        <w:t>NQB</w:t>
      </w:r>
      <w:r w:rsidR="6814C05A">
        <w:t>)</w:t>
      </w:r>
      <w:r>
        <w:t xml:space="preserve"> apply </w:t>
      </w:r>
      <w:r w:rsidRPr="24574A4C">
        <w:rPr>
          <w:color w:val="000000" w:themeColor="text1"/>
        </w:rPr>
        <w:t>a requirement to see the likely benefit, cost and cost-effectiveness of safety recommendations</w:t>
      </w:r>
      <w:r>
        <w:t xml:space="preserve"> before they are prioritised for implementation. This will underpin the development by NQB of a strategy to improve quality of life and ensure resources are allocated to maximise life expectancy and quality of life.</w:t>
      </w:r>
    </w:p>
    <w:p w14:paraId="5CBFC928" w14:textId="77777777" w:rsidR="00BD6762" w:rsidRDefault="00BD6762" w:rsidP="00BD6762">
      <w:pPr>
        <w:pStyle w:val="ListParagraph"/>
      </w:pPr>
    </w:p>
    <w:p w14:paraId="3D9A1FB9" w14:textId="77777777" w:rsidR="00BD6762" w:rsidRDefault="00BD6762" w:rsidP="00BD6762">
      <w:pPr>
        <w:pStyle w:val="Numberedlist"/>
        <w:numPr>
          <w:ilvl w:val="0"/>
          <w:numId w:val="0"/>
        </w:numPr>
        <w:ind w:left="993"/>
      </w:pPr>
    </w:p>
    <w:p w14:paraId="211F531B" w14:textId="77777777" w:rsidR="00BD6762" w:rsidRDefault="00BD6762" w:rsidP="00BD6762">
      <w:pPr>
        <w:pStyle w:val="Numberedlist"/>
        <w:numPr>
          <w:ilvl w:val="0"/>
          <w:numId w:val="0"/>
        </w:numPr>
        <w:ind w:left="993"/>
      </w:pPr>
    </w:p>
    <w:p w14:paraId="7B802F06" w14:textId="77777777" w:rsidR="00BD6762" w:rsidRDefault="00BD6762" w:rsidP="00BD6762">
      <w:pPr>
        <w:pStyle w:val="Numberedlist"/>
        <w:numPr>
          <w:ilvl w:val="0"/>
          <w:numId w:val="0"/>
        </w:numPr>
        <w:ind w:left="993"/>
      </w:pPr>
    </w:p>
    <w:p w14:paraId="345CE6D8" w14:textId="50567B88" w:rsidR="00B40137" w:rsidRDefault="28A8D5E4" w:rsidP="00736184">
      <w:pPr>
        <w:pStyle w:val="Paragraph"/>
        <w:numPr>
          <w:ilvl w:val="0"/>
          <w:numId w:val="0"/>
        </w:numPr>
        <w:spacing w:line="360" w:lineRule="auto"/>
        <w:ind w:left="720"/>
        <w:rPr>
          <w:b/>
          <w:bCs/>
          <w:color w:val="000000" w:themeColor="text1"/>
        </w:rPr>
      </w:pPr>
      <w:r w:rsidRPr="0B5987A0">
        <w:rPr>
          <w:b/>
          <w:bCs/>
          <w:color w:val="000000" w:themeColor="text1"/>
        </w:rPr>
        <w:t>Key structural reforms to safety</w:t>
      </w:r>
      <w:r w:rsidR="0D6C5898" w:rsidRPr="0B5987A0">
        <w:rPr>
          <w:b/>
          <w:bCs/>
          <w:color w:val="000000" w:themeColor="text1"/>
        </w:rPr>
        <w:t xml:space="preserve"> under the 10</w:t>
      </w:r>
      <w:r w:rsidR="123A915F" w:rsidRPr="0B5987A0">
        <w:rPr>
          <w:b/>
          <w:bCs/>
          <w:color w:val="000000" w:themeColor="text1"/>
        </w:rPr>
        <w:t>-Year</w:t>
      </w:r>
      <w:r w:rsidR="0D6C5898" w:rsidRPr="0B5987A0">
        <w:rPr>
          <w:b/>
          <w:bCs/>
          <w:color w:val="000000" w:themeColor="text1"/>
        </w:rPr>
        <w:t xml:space="preserve"> Plan and Dash </w:t>
      </w:r>
      <w:r w:rsidR="008323BE" w:rsidRPr="0B5987A0">
        <w:rPr>
          <w:b/>
          <w:bCs/>
          <w:color w:val="000000" w:themeColor="text1"/>
        </w:rPr>
        <w:t xml:space="preserve">Report </w:t>
      </w:r>
      <w:r w:rsidRPr="0B5987A0">
        <w:rPr>
          <w:b/>
          <w:bCs/>
          <w:color w:val="000000" w:themeColor="text1"/>
        </w:rPr>
        <w:t>include:</w:t>
      </w:r>
    </w:p>
    <w:p w14:paraId="1D18448B" w14:textId="72A6CD66" w:rsidR="00B40137" w:rsidRDefault="28A8D5E4" w:rsidP="52985236">
      <w:pPr>
        <w:pStyle w:val="Paragraph"/>
        <w:spacing w:line="360" w:lineRule="auto"/>
      </w:pPr>
      <w:r w:rsidRPr="52985236">
        <w:t xml:space="preserve">Standing down HSSIB as a separate safety investigations entity and incorporating their functions as a </w:t>
      </w:r>
      <w:r w:rsidR="00872022">
        <w:t>descrete independent investigation function</w:t>
      </w:r>
      <w:r w:rsidRPr="52985236">
        <w:t xml:space="preserve"> within the CQC.</w:t>
      </w:r>
    </w:p>
    <w:p w14:paraId="27A2D067" w14:textId="6CA7014B" w:rsidR="00B40137" w:rsidRDefault="28A8D5E4" w:rsidP="52985236">
      <w:pPr>
        <w:pStyle w:val="Paragraph"/>
        <w:spacing w:line="360" w:lineRule="auto"/>
      </w:pPr>
      <w:r w:rsidRPr="52985236">
        <w:t xml:space="preserve">Enhancing the role and remit of the NQB to include assessment and approval of topics for safety investigation. A repository for safety recommendations will inform the NQB’s work and be hosted by DHSC. </w:t>
      </w:r>
    </w:p>
    <w:p w14:paraId="014ACD65" w14:textId="2B431211" w:rsidR="00B40137" w:rsidRDefault="28A8D5E4" w:rsidP="52985236">
      <w:pPr>
        <w:pStyle w:val="Paragraph"/>
        <w:spacing w:line="360" w:lineRule="auto"/>
      </w:pPr>
      <w:r w:rsidRPr="52985236">
        <w:t xml:space="preserve">Moving the Patient Safety Commissioner into the MHRA with the aim of improving linkage between patient voice and the safety of medicines and medical devices. </w:t>
      </w:r>
    </w:p>
    <w:p w14:paraId="640EB83F" w14:textId="201E48ED" w:rsidR="00B40137" w:rsidRDefault="28A8D5E4" w:rsidP="52985236">
      <w:pPr>
        <w:pStyle w:val="Paragraph"/>
        <w:spacing w:line="360" w:lineRule="auto"/>
      </w:pPr>
      <w:r w:rsidRPr="52985236">
        <w:t xml:space="preserve">Healthwatch England and the specific patient safety commissioner’s functions (related to patient experience) will be merged under a new National Director of Patient Experience, hosted within DHSC.  </w:t>
      </w:r>
    </w:p>
    <w:p w14:paraId="319403AD" w14:textId="539001D4" w:rsidR="00B40137" w:rsidRDefault="28A8D5E4" w:rsidP="52985236">
      <w:pPr>
        <w:pStyle w:val="Paragraph"/>
        <w:spacing w:line="360" w:lineRule="auto"/>
      </w:pPr>
      <w:r>
        <w:t xml:space="preserve">The government has commissioned a </w:t>
      </w:r>
      <w:hyperlink r:id="rId9">
        <w:r w:rsidRPr="0DFFB952">
          <w:rPr>
            <w:rStyle w:val="Hyperlink"/>
          </w:rPr>
          <w:t>national maternity safety inquiry</w:t>
        </w:r>
      </w:hyperlink>
      <w:r>
        <w:t xml:space="preserve">, to work at pace and </w:t>
      </w:r>
      <w:r w:rsidR="1AB6275C">
        <w:t>with interim findings</w:t>
      </w:r>
      <w:r>
        <w:t xml:space="preserve"> by the end of 2025</w:t>
      </w:r>
      <w:r w:rsidR="327EB42F">
        <w:t xml:space="preserve"> and recommendations by Spring 2026</w:t>
      </w:r>
      <w:r>
        <w:t xml:space="preserve">. This will include synthesising the findings and recommendations of all other maternity-facing reviews to recommend one set of national actions to drive the improvements needed to ensure high quality care.  </w:t>
      </w:r>
    </w:p>
    <w:p w14:paraId="34A3C692" w14:textId="4423295C" w:rsidR="00855316" w:rsidRPr="000D2402" w:rsidRDefault="28A8D5E4" w:rsidP="000D2402">
      <w:pPr>
        <w:pStyle w:val="Paragraph"/>
        <w:spacing w:line="360" w:lineRule="auto"/>
        <w:rPr>
          <w:rFonts w:eastAsia="Arial" w:cs="Arial"/>
        </w:rPr>
      </w:pPr>
      <w:r>
        <w:t>A Maternity and Neonatal taskforce will be established and chaired by the Secretary of State for Health and Social Care, to inform the development of a new maternity and neonatal action plan, which government will co-produce with bereaved families.</w:t>
      </w:r>
    </w:p>
    <w:p w14:paraId="7014FD0A" w14:textId="43CB0849" w:rsidR="5A1DE194" w:rsidRDefault="5A1DE194" w:rsidP="52F81A72">
      <w:pPr>
        <w:pStyle w:val="Paragraph"/>
        <w:spacing w:line="360" w:lineRule="auto"/>
        <w:rPr>
          <w:rFonts w:eastAsia="Arial" w:cs="Arial"/>
        </w:rPr>
      </w:pPr>
      <w:r w:rsidRPr="52F81A72">
        <w:rPr>
          <w:rFonts w:eastAsia="Arial" w:cs="Arial"/>
        </w:rPr>
        <w:t xml:space="preserve">These reforms highlight the importance of work by the Patient Safety Oversight Group </w:t>
      </w:r>
      <w:r w:rsidR="515E6600" w:rsidRPr="52F81A72">
        <w:rPr>
          <w:rFonts w:eastAsia="Arial" w:cs="Arial"/>
        </w:rPr>
        <w:t xml:space="preserve">to </w:t>
      </w:r>
      <w:r w:rsidRPr="52F81A72">
        <w:rPr>
          <w:rFonts w:eastAsia="Arial" w:cs="Arial"/>
        </w:rPr>
        <w:t>collaborat</w:t>
      </w:r>
      <w:r w:rsidR="4F1C40A9" w:rsidRPr="52F81A72">
        <w:rPr>
          <w:rFonts w:eastAsia="Arial" w:cs="Arial"/>
        </w:rPr>
        <w:t>e</w:t>
      </w:r>
      <w:r w:rsidRPr="52F81A72">
        <w:rPr>
          <w:rFonts w:eastAsia="Arial" w:cs="Arial"/>
        </w:rPr>
        <w:t xml:space="preserve"> with colleague</w:t>
      </w:r>
      <w:r w:rsidR="35F896F0" w:rsidRPr="52F81A72">
        <w:rPr>
          <w:rFonts w:eastAsia="Arial" w:cs="Arial"/>
        </w:rPr>
        <w:t xml:space="preserve">s across </w:t>
      </w:r>
      <w:r w:rsidR="27D22BFB" w:rsidRPr="52F81A72">
        <w:rPr>
          <w:rFonts w:eastAsia="Arial" w:cs="Arial"/>
        </w:rPr>
        <w:t>healthcare</w:t>
      </w:r>
      <w:r w:rsidR="35F896F0" w:rsidRPr="52F81A72">
        <w:rPr>
          <w:rFonts w:eastAsia="Arial" w:cs="Arial"/>
        </w:rPr>
        <w:t xml:space="preserve"> </w:t>
      </w:r>
      <w:r w:rsidR="645DAB3B" w:rsidRPr="52F81A72">
        <w:rPr>
          <w:rFonts w:eastAsia="Arial" w:cs="Arial"/>
        </w:rPr>
        <w:t xml:space="preserve">to ensure that NICE output is informed by, and informs the work of </w:t>
      </w:r>
      <w:r w:rsidR="1F68F912" w:rsidRPr="52F81A72">
        <w:rPr>
          <w:rFonts w:eastAsia="Arial" w:cs="Arial"/>
        </w:rPr>
        <w:t>organisations working more directly on patient safety assurance.</w:t>
      </w:r>
      <w:r w:rsidRPr="52F81A72">
        <w:rPr>
          <w:rFonts w:eastAsia="Arial" w:cs="Arial"/>
        </w:rPr>
        <w:t xml:space="preserve"> </w:t>
      </w:r>
    </w:p>
    <w:p w14:paraId="0A05AFDA" w14:textId="77777777" w:rsidR="0035208A" w:rsidRDefault="0035208A" w:rsidP="00FD39EA">
      <w:pPr>
        <w:pStyle w:val="Heading2boardreport"/>
      </w:pPr>
      <w:r>
        <w:t>NICE’s role in patient safety</w:t>
      </w:r>
    </w:p>
    <w:p w14:paraId="5E2FF377" w14:textId="77777777" w:rsidR="00205561" w:rsidRDefault="00855316" w:rsidP="00D5471C">
      <w:pPr>
        <w:pStyle w:val="Numberedlist"/>
      </w:pPr>
      <w:r w:rsidRPr="005405AB">
        <w:t>NICE approved the introduction of a cross-Institute patient safety function</w:t>
      </w:r>
      <w:r w:rsidRPr="004B49FA">
        <w:t xml:space="preserve"> </w:t>
      </w:r>
      <w:r w:rsidRPr="005405AB">
        <w:t>in September 2021, led by a senior responsible officer (SRO) for patient safety</w:t>
      </w:r>
      <w:r w:rsidR="0055108C">
        <w:rPr>
          <w:rStyle w:val="EndnoteReference"/>
        </w:rPr>
        <w:endnoteReference w:id="2"/>
      </w:r>
      <w:r w:rsidRPr="005405AB">
        <w:t>. The SRO leads the Patient Safety Oversight Group (PSOG) whose membership includes key directorates across NICE including</w:t>
      </w:r>
      <w:r w:rsidR="00FE5215">
        <w:t xml:space="preserve"> the Clinical Directorate,</w:t>
      </w:r>
      <w:r w:rsidRPr="005405AB">
        <w:t xml:space="preserve"> Centre for Guidelines,</w:t>
      </w:r>
      <w:r>
        <w:t xml:space="preserve"> Centre for Health Technology Evaluation, Office for Digital Health</w:t>
      </w:r>
      <w:r w:rsidR="00FB4756">
        <w:t>,</w:t>
      </w:r>
      <w:r w:rsidRPr="005405AB">
        <w:t xml:space="preserve"> Science, Evidence and Analytics</w:t>
      </w:r>
      <w:r>
        <w:t>, Partnerships</w:t>
      </w:r>
      <w:r w:rsidRPr="005405AB">
        <w:t xml:space="preserve"> and Communications</w:t>
      </w:r>
      <w:r w:rsidR="00994BCA">
        <w:t xml:space="preserve"> (see Figure 1).</w:t>
      </w:r>
    </w:p>
    <w:p w14:paraId="7F062494" w14:textId="62324E3B" w:rsidR="000F69D5" w:rsidRPr="005405AB" w:rsidRDefault="5139CA02" w:rsidP="00D5471C">
      <w:pPr>
        <w:pStyle w:val="NICEnormalnumbered"/>
        <w:numPr>
          <w:ilvl w:val="0"/>
          <w:numId w:val="0"/>
        </w:numPr>
        <w:ind w:left="357"/>
      </w:pPr>
      <w:r>
        <w:drawing>
          <wp:inline distT="0" distB="0" distL="0" distR="0" wp14:anchorId="40F7490E" wp14:editId="5B920ABB">
            <wp:extent cx="5724525" cy="3829050"/>
            <wp:effectExtent l="0" t="0" r="0" b="0"/>
            <wp:docPr id="108139349" name="drawing" descr="Illustration outlining patient safety oversight group core representatiion by fun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9349" name="drawing" descr="Illustration outlining patient safety oversight group core representatiion by function. "/>
                    <pic:cNvPicPr/>
                  </pic:nvPicPr>
                  <pic:blipFill>
                    <a:blip r:embed="rId10">
                      <a:extLst>
                        <a:ext uri="{28A0092B-C50C-407E-A947-70E740481C1C}">
                          <a14:useLocalDpi xmlns:a14="http://schemas.microsoft.com/office/drawing/2010/main" val="0"/>
                        </a:ext>
                      </a:extLst>
                    </a:blip>
                    <a:stretch>
                      <a:fillRect/>
                    </a:stretch>
                  </pic:blipFill>
                  <pic:spPr>
                    <a:xfrm>
                      <a:off x="0" y="0"/>
                      <a:ext cx="5724525" cy="3829050"/>
                    </a:xfrm>
                    <a:prstGeom prst="rect">
                      <a:avLst/>
                    </a:prstGeom>
                  </pic:spPr>
                </pic:pic>
              </a:graphicData>
            </a:graphic>
          </wp:inline>
        </w:drawing>
      </w:r>
    </w:p>
    <w:p w14:paraId="29B648B7" w14:textId="34EEEB2A" w:rsidR="00855316" w:rsidRDefault="005B0269" w:rsidP="00D5471C">
      <w:pPr>
        <w:pStyle w:val="Numberedlist"/>
      </w:pPr>
      <w:r>
        <w:t>Based within the Clinical Directorate</w:t>
      </w:r>
      <w:r w:rsidR="00016260">
        <w:t>, the group strengthens</w:t>
      </w:r>
      <w:r>
        <w:t xml:space="preserve"> the integration of patient safety considerations into broader clinical leadership and governance across the organisation.</w:t>
      </w:r>
      <w:r w:rsidR="65D4F7FE">
        <w:t xml:space="preserve"> </w:t>
      </w:r>
      <w:r w:rsidR="00016260">
        <w:t>It</w:t>
      </w:r>
      <w:r w:rsidR="00855316">
        <w:t xml:space="preserve"> </w:t>
      </w:r>
      <w:r w:rsidR="00560E07">
        <w:t>provides</w:t>
      </w:r>
      <w:r w:rsidR="00855316">
        <w:t xml:space="preserve"> strategic leadership to NICE's patient safety approach</w:t>
      </w:r>
      <w:r w:rsidR="1DB06A93">
        <w:t xml:space="preserve"> and aims to ensure that</w:t>
      </w:r>
      <w:r w:rsidR="00855316">
        <w:t xml:space="preserve"> safety issues are considered in all NICE products. The work of the oversight group includes, but is not limited to:</w:t>
      </w:r>
    </w:p>
    <w:p w14:paraId="7FCFA29C" w14:textId="77777777" w:rsidR="00D5471C" w:rsidRPr="00DF7D69" w:rsidRDefault="00D5471C" w:rsidP="00D5471C">
      <w:pPr>
        <w:pStyle w:val="Numberedlist"/>
        <w:numPr>
          <w:ilvl w:val="0"/>
          <w:numId w:val="0"/>
        </w:numPr>
        <w:ind w:left="993"/>
      </w:pPr>
    </w:p>
    <w:p w14:paraId="51104D33" w14:textId="77777777" w:rsidR="00855316" w:rsidRDefault="00855316" w:rsidP="00855316">
      <w:pPr>
        <w:pStyle w:val="Bulletindent1"/>
      </w:pPr>
      <w:r>
        <w:t>Supporting the development of NICE guidance to ensure that safety considerations are appropriately considered and integrated across the work of the Institute.</w:t>
      </w:r>
    </w:p>
    <w:p w14:paraId="27E9DF33" w14:textId="77777777" w:rsidR="00D5471C" w:rsidRDefault="00D5471C" w:rsidP="00D5471C">
      <w:pPr>
        <w:pStyle w:val="Bulletindent1"/>
        <w:numPr>
          <w:ilvl w:val="0"/>
          <w:numId w:val="0"/>
        </w:numPr>
        <w:ind w:left="1004"/>
      </w:pPr>
    </w:p>
    <w:p w14:paraId="796E8A9F" w14:textId="4C744D17" w:rsidR="00855316" w:rsidRDefault="00855316" w:rsidP="00855316">
      <w:pPr>
        <w:pStyle w:val="Bulletindent1"/>
      </w:pPr>
      <w:r>
        <w:t xml:space="preserve">Ensuring that NICE is part of a learning healthcare system by considering how new developments such as real-world evidence, data access and artificial intelligence should be utilised </w:t>
      </w:r>
      <w:r w:rsidR="00682B55">
        <w:t xml:space="preserve">by NICE </w:t>
      </w:r>
      <w:r w:rsidR="1F93EC90">
        <w:t>in a</w:t>
      </w:r>
      <w:r w:rsidR="3DE6E8A4">
        <w:t xml:space="preserve"> </w:t>
      </w:r>
      <w:r w:rsidR="1F93EC90">
        <w:t>way that</w:t>
      </w:r>
      <w:r>
        <w:t xml:space="preserve"> </w:t>
      </w:r>
      <w:r w:rsidR="1F93EC90">
        <w:t xml:space="preserve">considers and </w:t>
      </w:r>
      <w:r>
        <w:t>enhance</w:t>
      </w:r>
      <w:r w:rsidR="3245DF6C">
        <w:t>s</w:t>
      </w:r>
      <w:r>
        <w:t xml:space="preserve"> patient safety</w:t>
      </w:r>
      <w:r w:rsidR="00560E07">
        <w:t>.</w:t>
      </w:r>
      <w:r>
        <w:t xml:space="preserve"> </w:t>
      </w:r>
    </w:p>
    <w:p w14:paraId="53324591" w14:textId="37DA4CD2" w:rsidR="0DD8618A" w:rsidRDefault="0DD8618A" w:rsidP="0DD8618A">
      <w:pPr>
        <w:pStyle w:val="Bulletindent1"/>
        <w:numPr>
          <w:ilvl w:val="0"/>
          <w:numId w:val="0"/>
        </w:numPr>
        <w:ind w:left="1004"/>
      </w:pPr>
    </w:p>
    <w:p w14:paraId="20C8E196" w14:textId="63162CBE" w:rsidR="00855316" w:rsidRPr="003F5ED7" w:rsidRDefault="00855316" w:rsidP="00855316">
      <w:pPr>
        <w:pStyle w:val="Bulletindent1"/>
      </w:pPr>
      <w:r>
        <w:t>Responding to formal</w:t>
      </w:r>
      <w:r w:rsidR="3CA62D69">
        <w:t xml:space="preserve"> requests,</w:t>
      </w:r>
      <w:r>
        <w:t xml:space="preserve"> safety recommendations</w:t>
      </w:r>
      <w:r w:rsidR="003C40E1">
        <w:t xml:space="preserve"> </w:t>
      </w:r>
      <w:r w:rsidR="00560E07">
        <w:t xml:space="preserve">and </w:t>
      </w:r>
      <w:r w:rsidR="003C40E1">
        <w:t>alerts</w:t>
      </w:r>
      <w:r>
        <w:t xml:space="preserve"> </w:t>
      </w:r>
      <w:r w:rsidR="4C004473">
        <w:t>from</w:t>
      </w:r>
      <w:r>
        <w:t xml:space="preserve"> the Medicines and Healthcare Products Regulatory Agency (MHRA)</w:t>
      </w:r>
      <w:r w:rsidR="5494223C">
        <w:t>, public inquiries on safety matters</w:t>
      </w:r>
      <w:r w:rsidR="4BEA4A31">
        <w:t>, and other relevant bodies</w:t>
      </w:r>
      <w:r w:rsidR="4ACFA1D6">
        <w:t>, including recommendations issued to NICE from Domestic Abuse Related Death Reviews (DARDRs)</w:t>
      </w:r>
      <w:r>
        <w:t xml:space="preserve"> </w:t>
      </w:r>
    </w:p>
    <w:p w14:paraId="75A088E3" w14:textId="239F6128" w:rsidR="0B5987A0" w:rsidRDefault="0B5987A0" w:rsidP="0B5987A0">
      <w:pPr>
        <w:pStyle w:val="Bulletindent1"/>
        <w:numPr>
          <w:ilvl w:val="0"/>
          <w:numId w:val="0"/>
        </w:numPr>
        <w:ind w:left="1004"/>
      </w:pPr>
    </w:p>
    <w:p w14:paraId="4FBA0C9C" w14:textId="104FC9CE" w:rsidR="003C40E1" w:rsidRDefault="00546CDB" w:rsidP="480C4979">
      <w:pPr>
        <w:pStyle w:val="Bulletindent1"/>
      </w:pPr>
      <w:r>
        <w:t>Providing specialist advice to develop the response to safety issues raised in</w:t>
      </w:r>
      <w:r w:rsidR="00855316">
        <w:t xml:space="preserve"> Regulation 28 "Prevention of Future Death" reports</w:t>
      </w:r>
      <w:r w:rsidR="1BE865BF">
        <w:t xml:space="preserve"> and pre-inquest enquiries</w:t>
      </w:r>
      <w:r w:rsidR="00855316">
        <w:t xml:space="preserve"> from HM Coroner</w:t>
      </w:r>
      <w:r>
        <w:t xml:space="preserve"> and overseeing </w:t>
      </w:r>
      <w:r w:rsidR="00B85372">
        <w:t xml:space="preserve">the completion </w:t>
      </w:r>
      <w:r w:rsidR="003C40E1">
        <w:t xml:space="preserve">of any associated actions required by NICE programmes in response to these </w:t>
      </w:r>
      <w:r w:rsidR="00B85372">
        <w:t>reports</w:t>
      </w:r>
      <w:r w:rsidR="003C40E1">
        <w:t>.</w:t>
      </w:r>
    </w:p>
    <w:p w14:paraId="3BCF7E97" w14:textId="76A35133" w:rsidR="003C40E1" w:rsidRDefault="003C40E1" w:rsidP="480C4979">
      <w:pPr>
        <w:pStyle w:val="Bulletindent1"/>
        <w:numPr>
          <w:ilvl w:val="0"/>
          <w:numId w:val="0"/>
        </w:numPr>
        <w:ind w:left="1004"/>
      </w:pPr>
    </w:p>
    <w:p w14:paraId="1798839B" w14:textId="2B9E5DB9" w:rsidR="00D21D1F" w:rsidRPr="00667DF3" w:rsidRDefault="00A77431" w:rsidP="480C4979">
      <w:pPr>
        <w:pStyle w:val="Bulletindent1"/>
      </w:pPr>
      <w:r w:rsidRPr="24574A4C">
        <w:rPr>
          <w:rFonts w:eastAsia="Arial"/>
        </w:rPr>
        <w:t xml:space="preserve">To effectively deliver its internal role and functions, PSOG engages externally with key system partners who also have a role in safety. This facilitates knowledge and safety intelligence-sharing to inform relevant internal teams. This is </w:t>
      </w:r>
      <w:r w:rsidR="00803BFF">
        <w:rPr>
          <w:rFonts w:eastAsia="Arial"/>
        </w:rPr>
        <w:t xml:space="preserve">particularly </w:t>
      </w:r>
      <w:r w:rsidRPr="24574A4C">
        <w:rPr>
          <w:rFonts w:eastAsia="Arial"/>
        </w:rPr>
        <w:t xml:space="preserve">important for teams working on guidance that has a potentially high safety risk profile. </w:t>
      </w:r>
    </w:p>
    <w:p w14:paraId="50FDA1DB" w14:textId="77777777" w:rsidR="00D21D1F" w:rsidRDefault="00D21D1F" w:rsidP="00667DF3">
      <w:pPr>
        <w:pStyle w:val="ListParagraph"/>
      </w:pPr>
    </w:p>
    <w:p w14:paraId="0ACEAEC7" w14:textId="505EEAA8" w:rsidR="003C40E1" w:rsidRDefault="00803BFF" w:rsidP="480C4979">
      <w:pPr>
        <w:pStyle w:val="Bulletindent1"/>
      </w:pPr>
      <w:r>
        <w:t>PSOG</w:t>
      </w:r>
      <w:r w:rsidR="4425F434">
        <w:t xml:space="preserve"> </w:t>
      </w:r>
      <w:r w:rsidR="003C40E1">
        <w:t xml:space="preserve">provides strategic leadership to NICE’s patient safety role and approach, it is incumbent on all NICE staff and programmes to have due regard and consideration for patient safety in </w:t>
      </w:r>
      <w:r w:rsidR="00682B55">
        <w:t xml:space="preserve">all </w:t>
      </w:r>
      <w:r w:rsidR="00B85372">
        <w:t>areas of the business</w:t>
      </w:r>
      <w:r w:rsidR="00682B55">
        <w:t>.</w:t>
      </w:r>
      <w:r w:rsidR="00D52D25">
        <w:t xml:space="preserve"> </w:t>
      </w:r>
      <w:r w:rsidR="3822E792">
        <w:t xml:space="preserve">Through its cross organisational membership, </w:t>
      </w:r>
      <w:r w:rsidR="00C441D0">
        <w:t>PSOG continues to have an awareness</w:t>
      </w:r>
      <w:r w:rsidR="00B85372">
        <w:t>-</w:t>
      </w:r>
      <w:r w:rsidR="00C441D0">
        <w:t>raising role to promote this message across NICE.</w:t>
      </w:r>
      <w:r w:rsidR="003C40E1">
        <w:t xml:space="preserve"> </w:t>
      </w:r>
    </w:p>
    <w:p w14:paraId="2520CEDE" w14:textId="1AA6C8AE" w:rsidR="003C40E1" w:rsidRDefault="003C40E1" w:rsidP="480C4979">
      <w:pPr>
        <w:pStyle w:val="Bulletindent1"/>
        <w:numPr>
          <w:ilvl w:val="0"/>
          <w:numId w:val="0"/>
        </w:numPr>
        <w:ind w:left="1004"/>
        <w:rPr>
          <w:rFonts w:eastAsia="Arial"/>
        </w:rPr>
      </w:pPr>
    </w:p>
    <w:p w14:paraId="11902868" w14:textId="088B5A59" w:rsidR="003C40E1" w:rsidRDefault="00230A6B" w:rsidP="480C4979">
      <w:pPr>
        <w:pStyle w:val="Bulletindent1"/>
        <w:rPr>
          <w:rFonts w:eastAsia="Arial"/>
        </w:rPr>
      </w:pPr>
      <w:r w:rsidRPr="24574A4C">
        <w:rPr>
          <w:rFonts w:eastAsia="Arial"/>
        </w:rPr>
        <w:t xml:space="preserve">To underpin NICE’s ambition of providing timely and relevant guidance to support the system, the need to engage with these partners is </w:t>
      </w:r>
      <w:r w:rsidR="3CCFC1E0" w:rsidRPr="24574A4C">
        <w:rPr>
          <w:rFonts w:eastAsia="Arial"/>
        </w:rPr>
        <w:t>reinforced</w:t>
      </w:r>
      <w:r w:rsidRPr="24574A4C">
        <w:rPr>
          <w:rFonts w:eastAsia="Arial"/>
        </w:rPr>
        <w:t xml:space="preserve"> by the proposals set out in the 10-Year Health Plan and Dash </w:t>
      </w:r>
      <w:r w:rsidR="008323BE">
        <w:rPr>
          <w:rFonts w:eastAsia="Arial"/>
        </w:rPr>
        <w:t>Report</w:t>
      </w:r>
      <w:r w:rsidRPr="24574A4C">
        <w:rPr>
          <w:rFonts w:eastAsia="Arial"/>
        </w:rPr>
        <w:t xml:space="preserve">.  </w:t>
      </w:r>
    </w:p>
    <w:p w14:paraId="12737DA3" w14:textId="2D0AE633" w:rsidR="003C40E1" w:rsidRDefault="003C40E1" w:rsidP="480C4979">
      <w:pPr>
        <w:pStyle w:val="Bulletindent1"/>
        <w:numPr>
          <w:ilvl w:val="0"/>
          <w:numId w:val="0"/>
        </w:numPr>
        <w:ind w:left="1004"/>
        <w:rPr>
          <w:rFonts w:eastAsia="Arial"/>
        </w:rPr>
      </w:pPr>
    </w:p>
    <w:p w14:paraId="0C05F486" w14:textId="25696720" w:rsidR="003C40E1" w:rsidRDefault="00230A6B" w:rsidP="480C4979">
      <w:pPr>
        <w:pStyle w:val="Bulletindent1"/>
      </w:pPr>
      <w:r>
        <w:t>NICE continues to receive a high volume of patient safety signals and issues from a variety of sources, including Coroner’s report recommendations, MHRA-issued safety alerts and recommendations from the care sector where these span transition between health and care. Additionally</w:t>
      </w:r>
      <w:r w:rsidR="5E174DDD">
        <w:t>,</w:t>
      </w:r>
      <w:r>
        <w:t xml:space="preserve"> </w:t>
      </w:r>
      <w:r w:rsidR="51D3E22C">
        <w:t>NICE</w:t>
      </w:r>
      <w:r>
        <w:t xml:space="preserve"> receives safety signals through our system implementation team and directly from clinicians and members of the public.</w:t>
      </w:r>
      <w:r w:rsidR="029B09E4">
        <w:t xml:space="preserve"> In total, the team have considered and responded to over 40 such signals during 2025.</w:t>
      </w:r>
      <w:r>
        <w:t xml:space="preserve"> </w:t>
      </w:r>
      <w:r w:rsidR="5348FF75">
        <w:t>NICE</w:t>
      </w:r>
      <w:r>
        <w:t xml:space="preserve"> is expected by partner organisations to cont</w:t>
      </w:r>
      <w:r w:rsidR="4FFB46A1">
        <w:t>r</w:t>
      </w:r>
      <w:r>
        <w:t>ibute towards the development of solutions</w:t>
      </w:r>
      <w:r w:rsidR="14C0C928">
        <w:t xml:space="preserve"> to arising safety issues.</w:t>
      </w:r>
    </w:p>
    <w:p w14:paraId="3E1A5CBC" w14:textId="7E38DD6D" w:rsidR="0B5987A0" w:rsidRDefault="0B5987A0" w:rsidP="0B5987A0">
      <w:pPr>
        <w:pStyle w:val="Bulletindent1"/>
        <w:numPr>
          <w:ilvl w:val="0"/>
          <w:numId w:val="0"/>
        </w:numPr>
        <w:ind w:left="1004"/>
      </w:pPr>
    </w:p>
    <w:p w14:paraId="4AE4CF7D" w14:textId="79A4240B" w:rsidR="003C40E1" w:rsidRDefault="003C40E1" w:rsidP="480C4979">
      <w:pPr>
        <w:pStyle w:val="Bulletindent1"/>
        <w:rPr>
          <w:rFonts w:eastAsia="Arial"/>
        </w:rPr>
      </w:pPr>
      <w:r>
        <w:t>NICE’s patient safety model aims to support a system that (</w:t>
      </w:r>
      <w:proofErr w:type="spellStart"/>
      <w:r>
        <w:t>i</w:t>
      </w:r>
      <w:proofErr w:type="spellEnd"/>
      <w:r>
        <w:t>) prevents errors, (ii) learns from the errors that do occur and (iii) builds a culture of safety through collaboration between healthcare professionals, organisations and patients.</w:t>
      </w:r>
    </w:p>
    <w:p w14:paraId="46F8D643" w14:textId="6192BE11" w:rsidR="003C40E1" w:rsidRDefault="00EF0DD3" w:rsidP="00EF0DD3">
      <w:pPr>
        <w:pStyle w:val="Heading3"/>
      </w:pPr>
      <w:r>
        <w:t>Progress against 202</w:t>
      </w:r>
      <w:r w:rsidR="00D409D4">
        <w:t>5/26</w:t>
      </w:r>
      <w:r>
        <w:t xml:space="preserve"> objectives</w:t>
      </w:r>
    </w:p>
    <w:p w14:paraId="534098BD" w14:textId="49325747" w:rsidR="00EF0DD3" w:rsidRDefault="00EF0DD3" w:rsidP="00D5471C">
      <w:pPr>
        <w:pStyle w:val="Numberedlist"/>
      </w:pPr>
      <w:r>
        <w:t>In our</w:t>
      </w:r>
      <w:r w:rsidR="3F594356">
        <w:t xml:space="preserve"> December</w:t>
      </w:r>
      <w:r>
        <w:t xml:space="preserve"> 202</w:t>
      </w:r>
      <w:r w:rsidR="00D409D4">
        <w:t>4</w:t>
      </w:r>
      <w:r>
        <w:t xml:space="preserve"> report to the Board, we set out our prior</w:t>
      </w:r>
      <w:r w:rsidR="00D866E4">
        <w:t>i</w:t>
      </w:r>
      <w:r>
        <w:t>ties for the coming year</w:t>
      </w:r>
      <w:r w:rsidR="23FD1D42">
        <w:t>:</w:t>
      </w:r>
      <w:r>
        <w:t xml:space="preserve"> </w:t>
      </w:r>
    </w:p>
    <w:p w14:paraId="3920486B" w14:textId="77777777" w:rsidR="00D5471C" w:rsidRDefault="00D5471C" w:rsidP="00D5471C">
      <w:pPr>
        <w:pStyle w:val="Numberedlist"/>
        <w:numPr>
          <w:ilvl w:val="0"/>
          <w:numId w:val="0"/>
        </w:numPr>
        <w:ind w:left="993"/>
      </w:pPr>
    </w:p>
    <w:p w14:paraId="08363F64" w14:textId="1A960945" w:rsidR="00EF0DD3" w:rsidRDefault="26DD6AA3" w:rsidP="446D95DD">
      <w:pPr>
        <w:pStyle w:val="Bulletindent1"/>
        <w:rPr>
          <w:color w:val="000000" w:themeColor="text1"/>
        </w:rPr>
      </w:pPr>
      <w:r w:rsidRPr="446D95DD">
        <w:rPr>
          <w:color w:val="000000" w:themeColor="text1"/>
        </w:rPr>
        <w:t xml:space="preserve">We will work with the MHRA to define and implement a process for earlier engagement on arising safety issues. Where safety updates from the MHRA may have an implication for NICE guidance, we will work to ensure our products align with the latest safety advice in as timely a way as possible. </w:t>
      </w:r>
    </w:p>
    <w:p w14:paraId="3B6964EA" w14:textId="1059435D" w:rsidR="00EF0DD3" w:rsidRDefault="26DD6AA3" w:rsidP="446D95DD">
      <w:pPr>
        <w:pStyle w:val="Bulletindent1"/>
        <w:rPr>
          <w:color w:val="000000" w:themeColor="text1"/>
        </w:rPr>
      </w:pPr>
      <w:r w:rsidRPr="446D95DD">
        <w:rPr>
          <w:color w:val="000000" w:themeColor="text1"/>
        </w:rPr>
        <w:t xml:space="preserve">We will work with external partners including DHSC and HSSIB to advance ways of better learning from prevention of future death reports at a system-level and contribute to the development of mechanisms to achieve this. </w:t>
      </w:r>
    </w:p>
    <w:p w14:paraId="67794A80" w14:textId="521C3458" w:rsidR="00EF0DD3" w:rsidRDefault="26DD6AA3" w:rsidP="446D95DD">
      <w:pPr>
        <w:pStyle w:val="Bulletindent1"/>
        <w:rPr>
          <w:color w:val="000000" w:themeColor="text1"/>
        </w:rPr>
      </w:pPr>
      <w:r w:rsidRPr="446D95DD">
        <w:rPr>
          <w:color w:val="000000" w:themeColor="text1"/>
        </w:rPr>
        <w:t xml:space="preserve">We will continue to support the embedding of a proactive safety culture within NICE through effective engagement with NICE programmes, offering tailored support where required to ensure safety considerations are built into all processes for the development of NICE products and services. </w:t>
      </w:r>
    </w:p>
    <w:p w14:paraId="710EAECF" w14:textId="75E32D1C" w:rsidR="00EF0DD3" w:rsidRDefault="26DD6AA3" w:rsidP="446D95DD">
      <w:pPr>
        <w:pStyle w:val="Bulletindent1"/>
        <w:rPr>
          <w:color w:val="000000" w:themeColor="text1"/>
        </w:rPr>
      </w:pPr>
      <w:r w:rsidRPr="446D95DD">
        <w:rPr>
          <w:color w:val="000000" w:themeColor="text1"/>
        </w:rPr>
        <w:t xml:space="preserve">We will continue to engage proactively with external stakeholders and partners on patient safety, ensuring that NICE remains an active and constructive partner in arriving at solutions to arising safety concerns and issues.  </w:t>
      </w:r>
    </w:p>
    <w:p w14:paraId="6264A3F0" w14:textId="77777777" w:rsidR="00FC3B6B" w:rsidRDefault="00FC3B6B" w:rsidP="00FC3B6B">
      <w:pPr>
        <w:pStyle w:val="Bulletindent1"/>
        <w:rPr>
          <w:color w:val="000000" w:themeColor="text1"/>
        </w:rPr>
      </w:pPr>
      <w:r w:rsidRPr="446D95DD">
        <w:rPr>
          <w:color w:val="000000" w:themeColor="text1"/>
        </w:rPr>
        <w:t>We will define how the SMS can be adapted for a non-patient facing organisation such as NICE and applied within the organisation, including an assessment of any resource impact this may have.</w:t>
      </w:r>
    </w:p>
    <w:p w14:paraId="297EDD07" w14:textId="707EF12F" w:rsidR="00EF0DD3" w:rsidRDefault="00EF0DD3" w:rsidP="446D95DD">
      <w:pPr>
        <w:pStyle w:val="Bulletindent1"/>
        <w:numPr>
          <w:ilvl w:val="0"/>
          <w:numId w:val="0"/>
        </w:numPr>
        <w:ind w:left="1004"/>
      </w:pPr>
    </w:p>
    <w:p w14:paraId="27A6AD1F" w14:textId="2ADAC219" w:rsidR="00C16F8D" w:rsidRDefault="3D0EC2CF" w:rsidP="0DD8618A">
      <w:pPr>
        <w:pStyle w:val="Heading4"/>
        <w:rPr>
          <w:szCs w:val="24"/>
        </w:rPr>
      </w:pPr>
      <w:r>
        <w:t>Progress</w:t>
      </w:r>
      <w:r w:rsidR="2A501E62">
        <w:t xml:space="preserve"> against these objectives.</w:t>
      </w:r>
    </w:p>
    <w:p w14:paraId="61B2406B" w14:textId="2B66F3E0" w:rsidR="00912132" w:rsidRPr="00912132" w:rsidRDefault="00912132">
      <w:pPr>
        <w:pStyle w:val="NICEnormalnumbered"/>
        <w:numPr>
          <w:ilvl w:val="0"/>
          <w:numId w:val="0"/>
        </w:numPr>
        <w:rPr>
          <w:b/>
          <w:bCs/>
        </w:rPr>
      </w:pPr>
      <w:r w:rsidRPr="24574A4C">
        <w:rPr>
          <w:b/>
          <w:bCs/>
        </w:rPr>
        <w:t>Working with the MHRA</w:t>
      </w:r>
    </w:p>
    <w:p w14:paraId="684CEDE0" w14:textId="3C7D9473" w:rsidR="003028E6" w:rsidRDefault="44552BE1" w:rsidP="00D5471C">
      <w:pPr>
        <w:pStyle w:val="Numberedlist"/>
      </w:pPr>
      <w:proofErr w:type="gramStart"/>
      <w:r>
        <w:t>During the course of</w:t>
      </w:r>
      <w:proofErr w:type="gramEnd"/>
      <w:r>
        <w:t xml:space="preserve"> the year PSOG has worked to build better collaborative relationships with the safety surveillance and monitoring function within the MHRA and has worked with MHRA colleagues to help realise their own ambition of improv</w:t>
      </w:r>
      <w:r w:rsidR="5E27BA7F">
        <w:t xml:space="preserve">ing safety engagement with NICE. </w:t>
      </w:r>
      <w:r w:rsidR="003225BF">
        <w:t xml:space="preserve">This has </w:t>
      </w:r>
      <w:r w:rsidR="00C0057A">
        <w:t>resulted in earlier opportunities for NICE to consider and comment on Drug Safety Updates and</w:t>
      </w:r>
      <w:r w:rsidR="00F90076">
        <w:t xml:space="preserve"> assess their implications for published NICE guidance</w:t>
      </w:r>
      <w:r w:rsidR="00593A6A">
        <w:t xml:space="preserve">, enabling more timely alignment between MHRA advice and relevant NICE guidance. </w:t>
      </w:r>
      <w:r w:rsidR="00667DF3">
        <w:t>Our Medicines Optimisation team safety lead and</w:t>
      </w:r>
      <w:r w:rsidR="00D866E4">
        <w:t xml:space="preserve"> wider Medicines Optimisation</w:t>
      </w:r>
      <w:r w:rsidR="00667DF3">
        <w:t xml:space="preserve"> team</w:t>
      </w:r>
      <w:r w:rsidR="003028E6" w:rsidRPr="003028E6">
        <w:t xml:space="preserve"> work closely with MHRA to agree the guideline changes and wording used. We have received positive comments from partner organisations e.g. NHSE on the clarity given in the updates</w:t>
      </w:r>
      <w:r w:rsidR="00D5471C">
        <w:t>.</w:t>
      </w:r>
    </w:p>
    <w:p w14:paraId="0B63E737" w14:textId="77777777" w:rsidR="00D5471C" w:rsidRPr="003028E6" w:rsidRDefault="00D5471C" w:rsidP="00D5471C">
      <w:pPr>
        <w:pStyle w:val="Numberedlist"/>
        <w:numPr>
          <w:ilvl w:val="0"/>
          <w:numId w:val="0"/>
        </w:numPr>
        <w:ind w:left="993"/>
      </w:pPr>
    </w:p>
    <w:p w14:paraId="783AD2A5" w14:textId="1E43F3D9" w:rsidR="00026CEB" w:rsidRDefault="00691190" w:rsidP="00D5471C">
      <w:pPr>
        <w:pStyle w:val="Numberedlist"/>
      </w:pPr>
      <w:r>
        <w:t>Improved engagement has also resulted in NICE representatives</w:t>
      </w:r>
      <w:r w:rsidR="00667DF3">
        <w:t xml:space="preserve"> </w:t>
      </w:r>
      <w:r>
        <w:t xml:space="preserve">being invited to </w:t>
      </w:r>
      <w:r w:rsidR="00907F46">
        <w:t>input into earlier stages of MHRA’s safety advice development</w:t>
      </w:r>
      <w:r w:rsidR="00637EDB">
        <w:t>, for example</w:t>
      </w:r>
      <w:r>
        <w:t xml:space="preserve"> </w:t>
      </w:r>
      <w:r w:rsidR="00637EDB">
        <w:t xml:space="preserve">it’s </w:t>
      </w:r>
      <w:r>
        <w:t xml:space="preserve">Expert </w:t>
      </w:r>
      <w:r w:rsidR="00637EDB">
        <w:t>W</w:t>
      </w:r>
      <w:r>
        <w:t xml:space="preserve">orking </w:t>
      </w:r>
      <w:r w:rsidR="00637EDB">
        <w:t>G</w:t>
      </w:r>
      <w:r>
        <w:t xml:space="preserve">roup (EWG) on antidepressant risk minimisation. </w:t>
      </w:r>
      <w:r w:rsidR="00C96EF7">
        <w:t>Any future MHRA advice is likely to have a significant impact on many NICE products, so the early and continuous involvement enhances NICE’s ability to respond/update appropriately, and in a timely way</w:t>
      </w:r>
      <w:r>
        <w:t xml:space="preserve">. </w:t>
      </w:r>
    </w:p>
    <w:p w14:paraId="0DB38EE5" w14:textId="77777777" w:rsidR="00D5471C" w:rsidRDefault="00D5471C" w:rsidP="00D5471C">
      <w:pPr>
        <w:pStyle w:val="Numberedlist"/>
        <w:numPr>
          <w:ilvl w:val="0"/>
          <w:numId w:val="0"/>
        </w:numPr>
        <w:ind w:left="993"/>
      </w:pPr>
    </w:p>
    <w:p w14:paraId="169C5FDE" w14:textId="0AF1DF21" w:rsidR="00026CEB" w:rsidRDefault="00593A6A" w:rsidP="00D5471C">
      <w:pPr>
        <w:pStyle w:val="Numberedlist"/>
      </w:pPr>
      <w:r>
        <w:t xml:space="preserve">The relationship is underpinned by </w:t>
      </w:r>
      <w:r w:rsidR="00092A5E">
        <w:t>now standardised information pathways for medicines safety issues</w:t>
      </w:r>
      <w:r w:rsidR="00D23DE3">
        <w:t xml:space="preserve"> to </w:t>
      </w:r>
      <w:r w:rsidR="00DB3AD8">
        <w:t xml:space="preserve">facilitate more agile consideration and response to arising queries. The teams </w:t>
      </w:r>
      <w:r w:rsidR="003A2A77">
        <w:t>from both organisations meet quarterly, with chairing shared by both</w:t>
      </w:r>
      <w:r w:rsidR="003C5B8E">
        <w:t xml:space="preserve"> NICE SRO and</w:t>
      </w:r>
      <w:r w:rsidR="00667DF3">
        <w:t xml:space="preserve"> an</w:t>
      </w:r>
      <w:r w:rsidR="003C5B8E">
        <w:t xml:space="preserve"> MHRA</w:t>
      </w:r>
      <w:r w:rsidR="00667DF3">
        <w:t xml:space="preserve"> Deputy</w:t>
      </w:r>
      <w:r w:rsidR="003C5B8E">
        <w:t xml:space="preserve"> Director</w:t>
      </w:r>
      <w:r w:rsidR="003A2A77">
        <w:t xml:space="preserve"> to encourage co-ownership and provide opportunities to reflect on and </w:t>
      </w:r>
      <w:r w:rsidR="00092A5E">
        <w:t>refine operational processes further as well as have in-depth discussion topic items</w:t>
      </w:r>
      <w:r w:rsidR="009E67ED">
        <w:t xml:space="preserve">. </w:t>
      </w:r>
    </w:p>
    <w:p w14:paraId="1E703D97" w14:textId="77777777" w:rsidR="00D5471C" w:rsidRDefault="00D5471C" w:rsidP="00D5471C">
      <w:pPr>
        <w:pStyle w:val="Numberedlist"/>
        <w:numPr>
          <w:ilvl w:val="0"/>
          <w:numId w:val="0"/>
        </w:numPr>
        <w:ind w:left="567"/>
      </w:pPr>
    </w:p>
    <w:p w14:paraId="55B158D5" w14:textId="30EBA6C7" w:rsidR="44552BE1" w:rsidRDefault="5E27BA7F" w:rsidP="00D5471C">
      <w:pPr>
        <w:pStyle w:val="Numberedlist"/>
      </w:pPr>
      <w:r>
        <w:t xml:space="preserve">This has been facilitated by an ongoing reciprocal exchange of staff from both </w:t>
      </w:r>
      <w:r w:rsidR="00D866E4">
        <w:t xml:space="preserve">organisation’s safety </w:t>
      </w:r>
      <w:r>
        <w:t xml:space="preserve">teams to learn about and better understand the opportunities to further harmonise our processes where these can </w:t>
      </w:r>
      <w:r w:rsidR="290061C8">
        <w:t xml:space="preserve">lead to more efficient working and timely alignment of safety advice in both NICE and MHRA advice products. </w:t>
      </w:r>
    </w:p>
    <w:p w14:paraId="26C04F57" w14:textId="77777777" w:rsidR="009226DA" w:rsidRDefault="009226DA" w:rsidP="009226DA">
      <w:pPr>
        <w:pStyle w:val="Numberedlist"/>
        <w:numPr>
          <w:ilvl w:val="0"/>
          <w:numId w:val="0"/>
        </w:numPr>
      </w:pPr>
    </w:p>
    <w:p w14:paraId="5172420B" w14:textId="34DAC91A" w:rsidR="44552BE1" w:rsidRDefault="00026CEB" w:rsidP="00D5471C">
      <w:pPr>
        <w:pStyle w:val="Numberedlist"/>
      </w:pPr>
      <w:r>
        <w:t>In addition</w:t>
      </w:r>
      <w:r w:rsidR="4742576D">
        <w:t>,</w:t>
      </w:r>
      <w:r>
        <w:t xml:space="preserve"> the clinical directorate hosted a technical ‘Learn about MHRA’ session in September for both clinical and </w:t>
      </w:r>
      <w:proofErr w:type="spellStart"/>
      <w:r>
        <w:t>healthtech</w:t>
      </w:r>
      <w:proofErr w:type="spellEnd"/>
      <w:r>
        <w:t xml:space="preserve"> teams covering</w:t>
      </w:r>
      <w:r w:rsidR="000541A3">
        <w:t xml:space="preserve"> regulation</w:t>
      </w:r>
      <w:r w:rsidR="0147868B">
        <w:t xml:space="preserve"> matters for medicines and medical technologies</w:t>
      </w:r>
      <w:r w:rsidR="000541A3">
        <w:t xml:space="preserve">, evidence standards and </w:t>
      </w:r>
      <w:r w:rsidR="7925E79E">
        <w:t>post market surveillance</w:t>
      </w:r>
      <w:r w:rsidR="00912132">
        <w:t>.</w:t>
      </w:r>
      <w:r w:rsidR="6F5F76A3">
        <w:t xml:space="preserve"> </w:t>
      </w:r>
      <w:r w:rsidR="463A60E0">
        <w:t>Improving knowledge around these topics supports</w:t>
      </w:r>
      <w:r w:rsidR="6F5F76A3">
        <w:t xml:space="preserve"> our wider NICE strategic ambition for </w:t>
      </w:r>
      <w:r w:rsidR="3E3B464D">
        <w:t xml:space="preserve">better parallel decision-making </w:t>
      </w:r>
      <w:r w:rsidR="519DE354">
        <w:t>between NICE and MHRA.</w:t>
      </w:r>
    </w:p>
    <w:p w14:paraId="6CD1D98E" w14:textId="77777777" w:rsidR="00D5471C" w:rsidRDefault="00D5471C" w:rsidP="00D5471C">
      <w:pPr>
        <w:pStyle w:val="Numberedlist"/>
        <w:numPr>
          <w:ilvl w:val="0"/>
          <w:numId w:val="0"/>
        </w:numPr>
        <w:ind w:left="993"/>
      </w:pPr>
    </w:p>
    <w:p w14:paraId="771D1D90" w14:textId="34EF86D9" w:rsidR="00174A8C" w:rsidRDefault="00174A8C" w:rsidP="00D5471C">
      <w:pPr>
        <w:pStyle w:val="Numberedlist"/>
      </w:pPr>
      <w:r>
        <w:t>The Medicines Optimisation Team</w:t>
      </w:r>
      <w:r w:rsidRPr="00174A8C">
        <w:t xml:space="preserve"> attend</w:t>
      </w:r>
      <w:r>
        <w:t xml:space="preserve"> and represent NICE at</w:t>
      </w:r>
      <w:r w:rsidRPr="00174A8C">
        <w:t xml:space="preserve"> the MHRA-led Safer Medicines in Pregnancy and Breastfeeding Consortium meeting</w:t>
      </w:r>
      <w:r w:rsidR="00423B0A">
        <w:t>.</w:t>
      </w:r>
    </w:p>
    <w:p w14:paraId="4DDCFFD0" w14:textId="77777777" w:rsidR="00D5471C" w:rsidRDefault="00D5471C" w:rsidP="00D5471C">
      <w:pPr>
        <w:pStyle w:val="Numberedlist"/>
        <w:numPr>
          <w:ilvl w:val="0"/>
          <w:numId w:val="0"/>
        </w:numPr>
      </w:pPr>
    </w:p>
    <w:p w14:paraId="39FF3D76" w14:textId="1EE56B21" w:rsidR="153BBC4A" w:rsidRDefault="38653A1B" w:rsidP="00D5471C">
      <w:pPr>
        <w:pStyle w:val="Numberedlist"/>
      </w:pPr>
      <w:r>
        <w:t xml:space="preserve">The SRO for patient safety attends the monthly MHRA Interim Devices Working Group as an observer. </w:t>
      </w:r>
    </w:p>
    <w:p w14:paraId="6089F4D2" w14:textId="77777777" w:rsidR="00D5471C" w:rsidRDefault="00D5471C" w:rsidP="00D5471C">
      <w:pPr>
        <w:pStyle w:val="Numberedlist"/>
        <w:numPr>
          <w:ilvl w:val="0"/>
          <w:numId w:val="0"/>
        </w:numPr>
      </w:pPr>
    </w:p>
    <w:p w14:paraId="33744D84" w14:textId="5ECC0DC7" w:rsidR="153BBC4A" w:rsidRPr="00253CA9" w:rsidRDefault="153BBC4A" w:rsidP="00D5471C">
      <w:pPr>
        <w:pStyle w:val="Numberedlist"/>
      </w:pPr>
      <w:r>
        <w:t xml:space="preserve">One of our Public Health Registrars has worked with the MHRA to </w:t>
      </w:r>
      <w:r w:rsidR="5847A13F">
        <w:t>explore</w:t>
      </w:r>
      <w:r w:rsidR="5847A13F" w:rsidRPr="138AD17A">
        <w:rPr>
          <w:rFonts w:eastAsia="Arial" w:cs="Arial"/>
          <w:color w:val="000000" w:themeColor="text1"/>
        </w:rPr>
        <w:t xml:space="preserve"> key issues in the production, regulation and evaluation pipeline of bacteriophages as novel antimicrobials against antimicrobial resistance.</w:t>
      </w:r>
    </w:p>
    <w:p w14:paraId="5D8B2DED" w14:textId="77777777" w:rsidR="00253CA9" w:rsidRDefault="00253CA9" w:rsidP="00253CA9">
      <w:pPr>
        <w:pStyle w:val="Numberedlist"/>
        <w:numPr>
          <w:ilvl w:val="0"/>
          <w:numId w:val="0"/>
        </w:numPr>
      </w:pPr>
    </w:p>
    <w:p w14:paraId="0EDA6900" w14:textId="089DEB41" w:rsidR="00912132" w:rsidRPr="00403933" w:rsidRDefault="00403933">
      <w:pPr>
        <w:pStyle w:val="NICEnormalnumbered"/>
        <w:numPr>
          <w:ilvl w:val="0"/>
          <w:numId w:val="0"/>
        </w:numPr>
        <w:rPr>
          <w:b/>
          <w:bCs/>
        </w:rPr>
      </w:pPr>
      <w:r w:rsidRPr="00403933">
        <w:rPr>
          <w:b/>
          <w:bCs/>
        </w:rPr>
        <w:t>Embedding a safety culture within NICE</w:t>
      </w:r>
    </w:p>
    <w:p w14:paraId="02B3713D" w14:textId="2D059C4C" w:rsidR="00F00942" w:rsidRDefault="00EF0DD3" w:rsidP="00D5471C">
      <w:pPr>
        <w:pStyle w:val="Numberedlist"/>
      </w:pPr>
      <w:r>
        <w:t xml:space="preserve">Over the past year </w:t>
      </w:r>
      <w:r w:rsidR="00D866E4">
        <w:t>PSOG</w:t>
      </w:r>
      <w:r>
        <w:t xml:space="preserve"> ha</w:t>
      </w:r>
      <w:r w:rsidR="00F11280">
        <w:t>s</w:t>
      </w:r>
      <w:r>
        <w:t xml:space="preserve"> worked collaboratively to ensure patient safety consideration </w:t>
      </w:r>
      <w:r w:rsidR="7E03B30B">
        <w:t xml:space="preserve">is built into </w:t>
      </w:r>
      <w:r w:rsidR="003F2AC2">
        <w:t xml:space="preserve"> newer programmes within NICE</w:t>
      </w:r>
      <w:r w:rsidR="2D1E1155">
        <w:t xml:space="preserve"> where products under assessment may have a </w:t>
      </w:r>
      <w:r w:rsidR="163FDE40">
        <w:t>h</w:t>
      </w:r>
      <w:r w:rsidR="2D1E1155">
        <w:t>igher risk profile</w:t>
      </w:r>
      <w:r w:rsidR="00713032">
        <w:t xml:space="preserve">, </w:t>
      </w:r>
      <w:r w:rsidR="003F2AC2">
        <w:t>specifically Early Value Assessment</w:t>
      </w:r>
      <w:r w:rsidR="00713032">
        <w:t>,</w:t>
      </w:r>
      <w:r w:rsidR="003F2AC2">
        <w:t xml:space="preserve"> to support them in building </w:t>
      </w:r>
      <w:r w:rsidR="00F11280">
        <w:t>a</w:t>
      </w:r>
      <w:r w:rsidR="00A133C3">
        <w:t>n</w:t>
      </w:r>
      <w:r w:rsidR="00F11280">
        <w:t xml:space="preserve"> </w:t>
      </w:r>
      <w:r w:rsidR="003F2AC2">
        <w:t xml:space="preserve">effective consideration of patient safety issues and risks into their process, ensuring that these are reflected in the </w:t>
      </w:r>
      <w:r w:rsidR="3AFE9BAE">
        <w:t>monitoring</w:t>
      </w:r>
      <w:r w:rsidR="003F2AC2">
        <w:t xml:space="preserve"> requirements of evidence-generation plans supporting individual EVA products. </w:t>
      </w:r>
      <w:r w:rsidR="00F00942">
        <w:t xml:space="preserve"> </w:t>
      </w:r>
    </w:p>
    <w:p w14:paraId="43B13DCC" w14:textId="77777777" w:rsidR="00D5471C" w:rsidRDefault="00D5471C" w:rsidP="00D5471C">
      <w:pPr>
        <w:pStyle w:val="Numberedlist"/>
        <w:numPr>
          <w:ilvl w:val="0"/>
          <w:numId w:val="0"/>
        </w:numPr>
        <w:ind w:left="993"/>
      </w:pPr>
    </w:p>
    <w:p w14:paraId="45D1B4AB" w14:textId="000973CB" w:rsidR="00F00942" w:rsidRDefault="1D110151" w:rsidP="00D5471C">
      <w:pPr>
        <w:pStyle w:val="Numberedlist"/>
      </w:pPr>
      <w:r>
        <w:t xml:space="preserve">PSOG continues to work closely with the </w:t>
      </w:r>
      <w:proofErr w:type="gramStart"/>
      <w:r>
        <w:t>medicines</w:t>
      </w:r>
      <w:proofErr w:type="gramEnd"/>
      <w:r>
        <w:t xml:space="preserve"> optimisation and surveillance teams. </w:t>
      </w:r>
      <w:r w:rsidR="00F00942">
        <w:t>This allows better triage and assessment of incoming safety signals such as MHRA Drug Safety Updates and clinically significant medicines supply issue notifications that require input from NICE. A cross organisational medicines safety process has been developed and implemented to underpin this approach. Several MHRA Drug Safety Updates have had a significant impact and required updates to NICE guidance. Examples include</w:t>
      </w:r>
      <w:r w:rsidR="00667DF3">
        <w:t xml:space="preserve"> </w:t>
      </w:r>
      <w:hyperlink r:id="rId11" w:history="1">
        <w:proofErr w:type="spellStart"/>
        <w:r w:rsidR="00667DF3" w:rsidRPr="00667DF3">
          <w:rPr>
            <w:rStyle w:val="Hyperlink"/>
          </w:rPr>
          <w:t>Fluroquinalone</w:t>
        </w:r>
        <w:proofErr w:type="spellEnd"/>
        <w:r w:rsidR="00667DF3" w:rsidRPr="00667DF3">
          <w:rPr>
            <w:rStyle w:val="Hyperlink"/>
          </w:rPr>
          <w:t xml:space="preserve"> antibiotics</w:t>
        </w:r>
      </w:hyperlink>
      <w:r w:rsidR="00667DF3">
        <w:t xml:space="preserve"> </w:t>
      </w:r>
      <w:r w:rsidR="00256CDD">
        <w:t xml:space="preserve">safety </w:t>
      </w:r>
      <w:r w:rsidR="00AB1164">
        <w:t>advice on</w:t>
      </w:r>
      <w:r w:rsidR="00256CDD">
        <w:t xml:space="preserve"> </w:t>
      </w:r>
      <w:hyperlink r:id="rId12" w:history="1">
        <w:r w:rsidR="00F00942" w:rsidRPr="00BA3C55">
          <w:rPr>
            <w:rStyle w:val="Hyperlink"/>
          </w:rPr>
          <w:t>topiramate</w:t>
        </w:r>
      </w:hyperlink>
      <w:r w:rsidR="00D72670">
        <w:t xml:space="preserve">, </w:t>
      </w:r>
      <w:hyperlink r:id="rId13">
        <w:r w:rsidR="00F00942" w:rsidRPr="24574A4C">
          <w:rPr>
            <w:rStyle w:val="Hyperlink"/>
          </w:rPr>
          <w:t>valproate use in men</w:t>
        </w:r>
      </w:hyperlink>
      <w:r w:rsidR="00D72670">
        <w:t xml:space="preserve">, </w:t>
      </w:r>
      <w:hyperlink r:id="rId14" w:history="1">
        <w:r w:rsidR="00D72670" w:rsidRPr="00AE0AD4">
          <w:rPr>
            <w:rStyle w:val="Hyperlink"/>
          </w:rPr>
          <w:t>prolonged release opioids</w:t>
        </w:r>
      </w:hyperlink>
      <w:r w:rsidR="00F74344">
        <w:t xml:space="preserve"> and </w:t>
      </w:r>
      <w:hyperlink r:id="rId15" w:history="1">
        <w:r w:rsidR="00F74344" w:rsidRPr="00AB1164">
          <w:rPr>
            <w:rStyle w:val="Hyperlink"/>
          </w:rPr>
          <w:t>nitrofurantoin</w:t>
        </w:r>
      </w:hyperlink>
      <w:r w:rsidR="00AB1164">
        <w:t>.</w:t>
      </w:r>
    </w:p>
    <w:p w14:paraId="25264A7D" w14:textId="77777777" w:rsidR="004566D2" w:rsidRDefault="004566D2" w:rsidP="004566D2">
      <w:pPr>
        <w:pStyle w:val="Numberedlist"/>
        <w:numPr>
          <w:ilvl w:val="0"/>
          <w:numId w:val="0"/>
        </w:numPr>
        <w:ind w:left="993"/>
      </w:pPr>
    </w:p>
    <w:p w14:paraId="1302F918" w14:textId="037204E5" w:rsidR="00290066" w:rsidRPr="00290066" w:rsidRDefault="00290066">
      <w:pPr>
        <w:pStyle w:val="NICEnormalnumbered"/>
        <w:numPr>
          <w:ilvl w:val="0"/>
          <w:numId w:val="0"/>
        </w:numPr>
        <w:rPr>
          <w:b/>
          <w:bCs/>
        </w:rPr>
      </w:pPr>
      <w:r w:rsidRPr="0DD8618A">
        <w:rPr>
          <w:b/>
          <w:bCs/>
        </w:rPr>
        <w:t>Engaging externally with system safety partners</w:t>
      </w:r>
    </w:p>
    <w:p w14:paraId="63BE4D33" w14:textId="135D2448" w:rsidR="3E5F9754" w:rsidRDefault="3E5F9754" w:rsidP="00D5471C">
      <w:pPr>
        <w:pStyle w:val="Numberedlist"/>
      </w:pPr>
      <w:r>
        <w:t>NICE doesn’t issue safety-specific recommendations to the health and care system in the same sense as other public bodies who have a specific, regulatory or non-regulatory role in ensuring patient safety. In this context and recognising NICE’s role as an important enabler towards safety, such as through application of its national guidance, we continue to engage with existing and new partners on patient safety (See Figure 2).</w:t>
      </w:r>
    </w:p>
    <w:p w14:paraId="55B56F17" w14:textId="49045C80" w:rsidR="004566D2" w:rsidRDefault="004566D2">
      <w:pPr>
        <w:rPr>
          <w:rFonts w:ascii="Arial" w:hAnsi="Arial"/>
        </w:rPr>
      </w:pPr>
      <w:r>
        <w:br w:type="page"/>
      </w:r>
    </w:p>
    <w:p w14:paraId="475D7217" w14:textId="77777777" w:rsidR="00D5471C" w:rsidRDefault="00D5471C" w:rsidP="00D5471C">
      <w:pPr>
        <w:pStyle w:val="Numberedlist"/>
        <w:numPr>
          <w:ilvl w:val="0"/>
          <w:numId w:val="0"/>
        </w:numPr>
        <w:ind w:left="993"/>
      </w:pPr>
    </w:p>
    <w:p w14:paraId="7DF21B3C" w14:textId="7EBA8C9E" w:rsidR="7A27E77F" w:rsidRDefault="7A27E77F" w:rsidP="0DD8618A">
      <w:pPr>
        <w:pStyle w:val="NICEnormalnumbered"/>
        <w:numPr>
          <w:ilvl w:val="0"/>
          <w:numId w:val="0"/>
        </w:numPr>
        <w:ind w:left="720"/>
        <w:rPr>
          <w:b/>
          <w:bCs/>
        </w:rPr>
      </w:pPr>
      <w:r w:rsidRPr="0DD8618A">
        <w:rPr>
          <w:b/>
          <w:bCs/>
        </w:rPr>
        <w:t>Figure 2. Patient Safety current key external engagement</w:t>
      </w:r>
    </w:p>
    <w:p w14:paraId="4801D5BD" w14:textId="4ECE3EA7" w:rsidR="7A27E77F" w:rsidRDefault="7A27E77F" w:rsidP="00D5471C">
      <w:pPr>
        <w:pStyle w:val="Paragraph"/>
        <w:numPr>
          <w:ilvl w:val="0"/>
          <w:numId w:val="0"/>
        </w:numPr>
        <w:ind w:left="720"/>
      </w:pPr>
      <w:r>
        <w:drawing>
          <wp:inline distT="0" distB="0" distL="0" distR="0" wp14:anchorId="5A2E53A9" wp14:editId="5140A245">
            <wp:extent cx="5084402" cy="2803009"/>
            <wp:effectExtent l="0" t="0" r="0" b="0"/>
            <wp:docPr id="839840666" name="Picture 1" descr="An illustration outlining patient safety current external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40666" name="Picture 1" descr="An illustration outlining patient safety current external engagement"/>
                    <pic:cNvPicPr/>
                  </pic:nvPicPr>
                  <pic:blipFill>
                    <a:blip r:embed="rId16"/>
                    <a:stretch>
                      <a:fillRect/>
                    </a:stretch>
                  </pic:blipFill>
                  <pic:spPr>
                    <a:xfrm>
                      <a:off x="0" y="0"/>
                      <a:ext cx="5084402" cy="2803009"/>
                    </a:xfrm>
                    <a:prstGeom prst="rect">
                      <a:avLst/>
                    </a:prstGeom>
                  </pic:spPr>
                </pic:pic>
              </a:graphicData>
            </a:graphic>
          </wp:inline>
        </w:drawing>
      </w:r>
    </w:p>
    <w:p w14:paraId="37023EAB" w14:textId="7DBB23B3" w:rsidR="0011416A" w:rsidRPr="00D5471C" w:rsidRDefault="0011416A" w:rsidP="00D5471C">
      <w:pPr>
        <w:pStyle w:val="Numberedlist"/>
        <w:rPr>
          <w:b/>
          <w:bCs/>
        </w:rPr>
      </w:pPr>
      <w:r>
        <w:t xml:space="preserve">Over the course of 2025 </w:t>
      </w:r>
      <w:r w:rsidR="15ACAE42">
        <w:t>PSOG members have worked alongside representatives from other arms-length bodies, royal colleges and professional bodies to provide expertise in the development of a</w:t>
      </w:r>
      <w:r w:rsidR="45118E86">
        <w:t xml:space="preserve"> </w:t>
      </w:r>
      <w:r>
        <w:t xml:space="preserve">national repository for safety recommendations. Under the plans set out by the Dash </w:t>
      </w:r>
      <w:r w:rsidR="008323BE">
        <w:t>Report</w:t>
      </w:r>
      <w:r>
        <w:t xml:space="preserve"> this recommendations hub will form a key tool used by the NQB to effectively track implementation oversight of prioritised safety recommendations.</w:t>
      </w:r>
      <w:r w:rsidR="4ADD20A9">
        <w:t xml:space="preserve"> Work by the group is currently being taken forwards by HSSIB, supported by DHSC. </w:t>
      </w:r>
    </w:p>
    <w:p w14:paraId="24A6ADD2" w14:textId="77777777" w:rsidR="00D5471C" w:rsidRDefault="00D5471C" w:rsidP="00D5471C">
      <w:pPr>
        <w:pStyle w:val="Numberedlist"/>
        <w:numPr>
          <w:ilvl w:val="0"/>
          <w:numId w:val="0"/>
        </w:numPr>
        <w:ind w:left="993"/>
        <w:rPr>
          <w:b/>
          <w:bCs/>
        </w:rPr>
      </w:pPr>
    </w:p>
    <w:p w14:paraId="46DC4C89" w14:textId="5E324FFC" w:rsidR="0011416A" w:rsidRDefault="62426E8B" w:rsidP="00D5471C">
      <w:pPr>
        <w:pStyle w:val="Numberedlist"/>
      </w:pPr>
      <w:r>
        <w:t>We</w:t>
      </w:r>
      <w:r w:rsidR="0011416A">
        <w:t xml:space="preserve"> have made </w:t>
      </w:r>
      <w:proofErr w:type="gramStart"/>
      <w:r w:rsidR="0011416A">
        <w:t>particular progress</w:t>
      </w:r>
      <w:proofErr w:type="gramEnd"/>
      <w:r w:rsidR="0011416A">
        <w:t xml:space="preserve"> in establishing an effective intelligence sharing relationship with the new Maternity and Newborn Safety Investigations</w:t>
      </w:r>
      <w:r w:rsidR="00BE497C">
        <w:t xml:space="preserve"> (MNSI)</w:t>
      </w:r>
      <w:r w:rsidR="0011416A">
        <w:t xml:space="preserve"> team, based within the CQC, as well as establishing links with the wider CQC safety policy team.</w:t>
      </w:r>
      <w:r w:rsidR="4D34B3D5">
        <w:t xml:space="preserve"> This enables us to address clinical queries from</w:t>
      </w:r>
      <w:r w:rsidR="527AED07">
        <w:t xml:space="preserve"> CQC </w:t>
      </w:r>
      <w:proofErr w:type="gramStart"/>
      <w:r w:rsidR="527AED07">
        <w:t>in the course of</w:t>
      </w:r>
      <w:proofErr w:type="gramEnd"/>
      <w:r w:rsidR="527AED07">
        <w:t xml:space="preserve"> their general safety investigatory work and</w:t>
      </w:r>
      <w:r w:rsidR="4D34B3D5">
        <w:t xml:space="preserve"> </w:t>
      </w:r>
      <w:r w:rsidR="1DD8E808">
        <w:t xml:space="preserve">queries from </w:t>
      </w:r>
      <w:r w:rsidR="4D34B3D5">
        <w:t>MNSI</w:t>
      </w:r>
      <w:r w:rsidR="25ED51F9">
        <w:t xml:space="preserve"> </w:t>
      </w:r>
      <w:r w:rsidR="4D34B3D5">
        <w:t>in relation to our maternity guidance</w:t>
      </w:r>
      <w:r w:rsidR="73A77F31">
        <w:t xml:space="preserve">. </w:t>
      </w:r>
      <w:r w:rsidR="5AF28AF2">
        <w:t xml:space="preserve"> </w:t>
      </w:r>
      <w:r w:rsidR="1613D217">
        <w:t>We also</w:t>
      </w:r>
      <w:r w:rsidR="4D34B3D5">
        <w:t xml:space="preserve"> obtain MNSI advice on maternity-related issues raised by Coroners</w:t>
      </w:r>
      <w:r w:rsidR="65A917D8">
        <w:t xml:space="preserve"> and other safety signal sources</w:t>
      </w:r>
      <w:r w:rsidR="27A44CC4">
        <w:t>.</w:t>
      </w:r>
      <w:r w:rsidR="68D70F69">
        <w:t xml:space="preserve"> </w:t>
      </w:r>
      <w:r w:rsidR="7DA16F4E">
        <w:t>W</w:t>
      </w:r>
      <w:r w:rsidR="68D70F69">
        <w:t>e are supporting MNSI by presenting at their clinical team development day</w:t>
      </w:r>
      <w:r w:rsidR="71DD3EA9">
        <w:t>, giving</w:t>
      </w:r>
      <w:r w:rsidR="68D70F69">
        <w:t xml:space="preserve"> a session on understanding </w:t>
      </w:r>
      <w:r w:rsidR="685140FA">
        <w:t>the</w:t>
      </w:r>
      <w:r w:rsidR="68D70F69">
        <w:t xml:space="preserve"> NICE guidance development processes. </w:t>
      </w:r>
      <w:r w:rsidR="0011416A">
        <w:t xml:space="preserve"> </w:t>
      </w:r>
    </w:p>
    <w:p w14:paraId="4C5B4181" w14:textId="77777777" w:rsidR="00D5471C" w:rsidRDefault="00D5471C" w:rsidP="00D5471C">
      <w:pPr>
        <w:pStyle w:val="Numberedlist"/>
        <w:numPr>
          <w:ilvl w:val="0"/>
          <w:numId w:val="0"/>
        </w:numPr>
        <w:ind w:left="993"/>
      </w:pPr>
    </w:p>
    <w:p w14:paraId="1F00EF93" w14:textId="7CA803DA" w:rsidR="00BF2487" w:rsidRDefault="00BF2487" w:rsidP="00D5471C">
      <w:pPr>
        <w:pStyle w:val="Numberedlist"/>
      </w:pPr>
      <w:r>
        <w:t>Members of P</w:t>
      </w:r>
      <w:r w:rsidR="00F46B59">
        <w:t>S</w:t>
      </w:r>
      <w:r>
        <w:t>OG</w:t>
      </w:r>
      <w:r w:rsidR="00357A2A">
        <w:t xml:space="preserve"> are</w:t>
      </w:r>
      <w:r>
        <w:t xml:space="preserve"> work</w:t>
      </w:r>
      <w:r w:rsidR="00357A2A">
        <w:t>ing</w:t>
      </w:r>
      <w:r>
        <w:t xml:space="preserve"> c</w:t>
      </w:r>
      <w:r w:rsidR="00C222AA">
        <w:t>ollaboratively</w:t>
      </w:r>
      <w:r>
        <w:t xml:space="preserve"> with the </w:t>
      </w:r>
      <w:hyperlink r:id="rId17">
        <w:r w:rsidRPr="0DFFB952">
          <w:rPr>
            <w:rStyle w:val="Hyperlink"/>
          </w:rPr>
          <w:t xml:space="preserve">Interventional Procedures </w:t>
        </w:r>
        <w:r w:rsidR="00357A2A" w:rsidRPr="0DFFB952">
          <w:rPr>
            <w:rStyle w:val="Hyperlink"/>
          </w:rPr>
          <w:t>G</w:t>
        </w:r>
        <w:r w:rsidRPr="0DFFB952">
          <w:rPr>
            <w:rStyle w:val="Hyperlink"/>
          </w:rPr>
          <w:t>uidance</w:t>
        </w:r>
      </w:hyperlink>
      <w:r w:rsidR="00F46B59">
        <w:t xml:space="preserve"> (IPG)</w:t>
      </w:r>
      <w:r>
        <w:t xml:space="preserve"> team within NICE</w:t>
      </w:r>
      <w:r w:rsidR="00357A2A">
        <w:t xml:space="preserve"> and </w:t>
      </w:r>
      <w:r w:rsidR="00F46B59">
        <w:t xml:space="preserve">with Professor Jane </w:t>
      </w:r>
      <w:proofErr w:type="spellStart"/>
      <w:r w:rsidR="00F46B59">
        <w:t>Blazeby</w:t>
      </w:r>
      <w:proofErr w:type="spellEnd"/>
      <w:r w:rsidR="00F46B59">
        <w:t xml:space="preserve"> </w:t>
      </w:r>
      <w:r w:rsidR="00357A2A">
        <w:t>from</w:t>
      </w:r>
      <w:r w:rsidR="00F46B59">
        <w:t xml:space="preserve"> Bristol Medical School </w:t>
      </w:r>
      <w:r w:rsidR="00357A2A">
        <w:t>in</w:t>
      </w:r>
      <w:r w:rsidR="00C222AA">
        <w:t xml:space="preserve"> research which found wide</w:t>
      </w:r>
      <w:r w:rsidR="00F46B59">
        <w:t xml:space="preserve"> variation in approaches to surgical governance in the NHS</w:t>
      </w:r>
      <w:r w:rsidR="00357A2A">
        <w:t xml:space="preserve">. </w:t>
      </w:r>
      <w:r w:rsidR="00F46B59">
        <w:t xml:space="preserve"> </w:t>
      </w:r>
      <w:r w:rsidR="00357A2A">
        <w:t>The outcome of this project is</w:t>
      </w:r>
      <w:r w:rsidR="00F46B59">
        <w:t xml:space="preserve"> </w:t>
      </w:r>
      <w:r w:rsidR="010A4F9C">
        <w:t>a paper (in development) analysing the use of Hospital Episode Statistics as a tool to monitor the use of procedures subject to recommendations for further evidence generation,</w:t>
      </w:r>
      <w:r w:rsidR="6E0578EB">
        <w:t xml:space="preserve"> and input to </w:t>
      </w:r>
      <w:r w:rsidR="70ACC515">
        <w:t>plans for an</w:t>
      </w:r>
      <w:r w:rsidR="00F46B59">
        <w:t xml:space="preserve"> enhanced governance model for new procedures in hospital settings</w:t>
      </w:r>
      <w:r w:rsidR="359A9A94">
        <w:t>. Work is also being done on strengthening consent procedures for new interventional procedures.</w:t>
      </w:r>
    </w:p>
    <w:p w14:paraId="1099EFAF" w14:textId="77777777" w:rsidR="00D5471C" w:rsidRDefault="00D5471C" w:rsidP="00D5471C">
      <w:pPr>
        <w:pStyle w:val="Numberedlist"/>
        <w:numPr>
          <w:ilvl w:val="0"/>
          <w:numId w:val="0"/>
        </w:numPr>
      </w:pPr>
    </w:p>
    <w:p w14:paraId="742254FD" w14:textId="20FE52B7" w:rsidR="00CA74E6" w:rsidRDefault="00D866E4" w:rsidP="00D5471C">
      <w:pPr>
        <w:pStyle w:val="Numberedlist"/>
      </w:pPr>
      <w:r>
        <w:t>PSOG has</w:t>
      </w:r>
      <w:r w:rsidR="00CA74E6">
        <w:t xml:space="preserve"> also worked collaboratively with the safety and learning team at NHS Resolution</w:t>
      </w:r>
      <w:r w:rsidR="5BE5036B">
        <w:t xml:space="preserve"> (NHSR)</w:t>
      </w:r>
      <w:r w:rsidR="00CA74E6">
        <w:t xml:space="preserve"> to support development of their resources aimed at reducing safety risks in key areas of litigation</w:t>
      </w:r>
      <w:r w:rsidR="00DA250C">
        <w:t xml:space="preserve">. </w:t>
      </w:r>
      <w:r w:rsidR="0D58CD22">
        <w:t>We have hosted two learning session</w:t>
      </w:r>
      <w:r w:rsidR="00CD5DAF">
        <w:t>s</w:t>
      </w:r>
      <w:r w:rsidR="0D58CD22">
        <w:t xml:space="preserve"> on</w:t>
      </w:r>
      <w:r w:rsidR="00CD5DAF">
        <w:t xml:space="preserve"> how NICE guidance features in</w:t>
      </w:r>
      <w:r w:rsidR="0D58CD22">
        <w:t xml:space="preserve"> NHSR’s work around clinical negligence which were popular and well attended</w:t>
      </w:r>
      <w:r w:rsidR="00CD5DAF">
        <w:t xml:space="preserve"> by NICE staff</w:t>
      </w:r>
      <w:r w:rsidR="0D58CD22">
        <w:t xml:space="preserve">. </w:t>
      </w:r>
      <w:r w:rsidR="00DA250C">
        <w:t>NICE is represented on several cross-system safety-focussed groups alongside partners, including the National Patient Safety Committee</w:t>
      </w:r>
      <w:r w:rsidR="00C16F8D">
        <w:t xml:space="preserve"> where PSOG presented on its work during 2025</w:t>
      </w:r>
      <w:r w:rsidR="00DA250C">
        <w:t xml:space="preserve">. </w:t>
      </w:r>
    </w:p>
    <w:p w14:paraId="3D9936A1" w14:textId="77777777" w:rsidR="00D5471C" w:rsidRDefault="00D5471C" w:rsidP="00D5471C">
      <w:pPr>
        <w:pStyle w:val="Numberedlist"/>
        <w:numPr>
          <w:ilvl w:val="0"/>
          <w:numId w:val="0"/>
        </w:numPr>
        <w:ind w:left="993"/>
      </w:pPr>
    </w:p>
    <w:p w14:paraId="58B37CB0" w14:textId="6AAEA4F5" w:rsidR="00E7451D" w:rsidRDefault="00DA250C" w:rsidP="00D5471C">
      <w:pPr>
        <w:pStyle w:val="Numberedlist"/>
      </w:pPr>
      <w:r>
        <w:t xml:space="preserve">NICE receives a high volume of prevention of future death (Regulation 28) reports from HM Coroners annually. </w:t>
      </w:r>
      <w:r w:rsidR="002A5FB6">
        <w:t>Since our last report to the Board</w:t>
      </w:r>
      <w:r w:rsidR="00E7451D">
        <w:t>,</w:t>
      </w:r>
      <w:r w:rsidR="00AB7B0A">
        <w:t xml:space="preserve"> at the time of writing</w:t>
      </w:r>
      <w:r>
        <w:t xml:space="preserve"> </w:t>
      </w:r>
      <w:r w:rsidR="4A91298E">
        <w:t>1</w:t>
      </w:r>
      <w:r w:rsidR="6423A4C0">
        <w:t>1</w:t>
      </w:r>
      <w:r w:rsidR="6972858D">
        <w:t xml:space="preserve"> </w:t>
      </w:r>
      <w:r>
        <w:t>reports were received and responded to</w:t>
      </w:r>
      <w:r w:rsidR="006A3BF2">
        <w:t xml:space="preserve"> by NICE</w:t>
      </w:r>
      <w:r>
        <w:t xml:space="preserve">. </w:t>
      </w:r>
      <w:r w:rsidR="690D911F">
        <w:t>Our enquiry handling team were also requested to provide</w:t>
      </w:r>
      <w:r w:rsidR="6888EBC6">
        <w:t xml:space="preserve"> NICE</w:t>
      </w:r>
      <w:r w:rsidR="690D911F">
        <w:t xml:space="preserve"> input to an additional </w:t>
      </w:r>
      <w:r w:rsidR="5E7F8DE7">
        <w:t>4</w:t>
      </w:r>
      <w:r w:rsidR="742ED0DA">
        <w:t xml:space="preserve"> DHSC-led</w:t>
      </w:r>
      <w:r w:rsidR="690D911F">
        <w:t xml:space="preserve"> responses to </w:t>
      </w:r>
      <w:r w:rsidR="3C5D9858">
        <w:t>Coroner's</w:t>
      </w:r>
      <w:r w:rsidR="690D911F">
        <w:t xml:space="preserve"> reports. </w:t>
      </w:r>
      <w:r w:rsidR="5CE21802">
        <w:t xml:space="preserve">Input for these </w:t>
      </w:r>
      <w:r w:rsidR="7538ABA7">
        <w:t>externally led</w:t>
      </w:r>
      <w:r w:rsidR="78078372">
        <w:t xml:space="preserve"> responses</w:t>
      </w:r>
      <w:r w:rsidR="5CE21802">
        <w:t xml:space="preserve"> will typically include providing reference to any relevant NICE guidance and Quality Standards.</w:t>
      </w:r>
    </w:p>
    <w:p w14:paraId="2EB70E33" w14:textId="77777777" w:rsidR="00D5471C" w:rsidRDefault="00D5471C" w:rsidP="00D5471C">
      <w:pPr>
        <w:pStyle w:val="Numberedlist"/>
        <w:numPr>
          <w:ilvl w:val="0"/>
          <w:numId w:val="0"/>
        </w:numPr>
        <w:ind w:left="993"/>
      </w:pPr>
    </w:p>
    <w:p w14:paraId="18A690BA" w14:textId="094ED2AF" w:rsidR="00E7451D" w:rsidRDefault="3FAEAEEA" w:rsidP="00D5471C">
      <w:pPr>
        <w:pStyle w:val="Numberedlist"/>
        <w:rPr>
          <w:rFonts w:eastAsia="Aptos" w:cs="Arial"/>
        </w:rPr>
      </w:pPr>
      <w:r w:rsidRPr="0B5987A0">
        <w:rPr>
          <w:rFonts w:cs="Arial"/>
        </w:rPr>
        <w:t xml:space="preserve">These reports covered a wide range of topics </w:t>
      </w:r>
      <w:r w:rsidR="2B3444B4" w:rsidRPr="0B5987A0">
        <w:rPr>
          <w:rFonts w:cs="Arial"/>
        </w:rPr>
        <w:t>including</w:t>
      </w:r>
      <w:r w:rsidRPr="0B5987A0">
        <w:rPr>
          <w:rFonts w:cs="Arial"/>
        </w:rPr>
        <w:t xml:space="preserve"> perioperative care</w:t>
      </w:r>
      <w:r w:rsidR="79B75808" w:rsidRPr="0B5987A0">
        <w:rPr>
          <w:rFonts w:cs="Arial"/>
        </w:rPr>
        <w:t xml:space="preserve">, maternity </w:t>
      </w:r>
      <w:r w:rsidR="63F1C579" w:rsidRPr="0B5987A0">
        <w:rPr>
          <w:rFonts w:cs="Arial"/>
        </w:rPr>
        <w:t>safety</w:t>
      </w:r>
      <w:r w:rsidR="79B75808" w:rsidRPr="0B5987A0">
        <w:rPr>
          <w:rFonts w:cs="Arial"/>
        </w:rPr>
        <w:t xml:space="preserve"> and mental health </w:t>
      </w:r>
      <w:r w:rsidR="1FC89E30" w:rsidRPr="0B5987A0">
        <w:rPr>
          <w:rFonts w:cs="Arial"/>
        </w:rPr>
        <w:t>care</w:t>
      </w:r>
      <w:r w:rsidR="79B75808" w:rsidRPr="0B5987A0">
        <w:rPr>
          <w:rFonts w:cs="Arial"/>
        </w:rPr>
        <w:t xml:space="preserve">. </w:t>
      </w:r>
      <w:r w:rsidR="4FFC49FB" w:rsidRPr="0B5987A0">
        <w:rPr>
          <w:rFonts w:cs="Arial"/>
        </w:rPr>
        <w:t>S</w:t>
      </w:r>
      <w:r w:rsidR="3D477B37" w:rsidRPr="0B5987A0">
        <w:rPr>
          <w:rFonts w:cs="Arial"/>
        </w:rPr>
        <w:t>everal</w:t>
      </w:r>
      <w:r w:rsidR="79B75808" w:rsidRPr="0B5987A0">
        <w:rPr>
          <w:rFonts w:cs="Arial"/>
        </w:rPr>
        <w:t xml:space="preserve"> </w:t>
      </w:r>
      <w:r w:rsidR="62CB46FD" w:rsidRPr="0B5987A0">
        <w:rPr>
          <w:rFonts w:cs="Arial"/>
        </w:rPr>
        <w:t>reports</w:t>
      </w:r>
      <w:r w:rsidR="79B75808" w:rsidRPr="0B5987A0">
        <w:rPr>
          <w:rFonts w:cs="Arial"/>
        </w:rPr>
        <w:t xml:space="preserve"> have prescribing</w:t>
      </w:r>
      <w:r w:rsidR="34E88F1B" w:rsidRPr="0B5987A0">
        <w:rPr>
          <w:rFonts w:cs="Arial"/>
        </w:rPr>
        <w:t xml:space="preserve"> and medicines safety</w:t>
      </w:r>
      <w:r w:rsidR="79B75808" w:rsidRPr="0B5987A0">
        <w:rPr>
          <w:rFonts w:cs="Arial"/>
        </w:rPr>
        <w:t xml:space="preserve"> elements </w:t>
      </w:r>
      <w:r w:rsidR="2E1EE188" w:rsidRPr="0B5987A0">
        <w:rPr>
          <w:rFonts w:eastAsia="Aptos" w:cs="Arial"/>
        </w:rPr>
        <w:t>and require engagement with the MHRA to understand and align positions taken in response to the</w:t>
      </w:r>
      <w:r w:rsidR="28A6BA06" w:rsidRPr="0B5987A0">
        <w:rPr>
          <w:rFonts w:eastAsia="Aptos" w:cs="Arial"/>
        </w:rPr>
        <w:t>m</w:t>
      </w:r>
      <w:r w:rsidR="2E1EE188" w:rsidRPr="0B5987A0">
        <w:rPr>
          <w:rFonts w:eastAsia="Aptos" w:cs="Arial"/>
        </w:rPr>
        <w:t>.</w:t>
      </w:r>
      <w:r w:rsidR="31F7116E" w:rsidRPr="0B5987A0">
        <w:rPr>
          <w:rFonts w:eastAsia="Aptos" w:cs="Arial"/>
        </w:rPr>
        <w:t xml:space="preserve"> </w:t>
      </w:r>
    </w:p>
    <w:p w14:paraId="7FD81387" w14:textId="77777777" w:rsidR="002F2DFB" w:rsidRDefault="002F2DFB" w:rsidP="002F2DFB">
      <w:pPr>
        <w:pStyle w:val="ListParagraph"/>
        <w:rPr>
          <w:rFonts w:eastAsia="Aptos" w:cs="Arial"/>
        </w:rPr>
      </w:pPr>
    </w:p>
    <w:p w14:paraId="642363B2" w14:textId="4371A1EA" w:rsidR="00E7451D" w:rsidRDefault="00D866E4" w:rsidP="00D5471C">
      <w:pPr>
        <w:pStyle w:val="Numberedlist"/>
      </w:pPr>
      <w:r>
        <w:t>PSOG</w:t>
      </w:r>
      <w:r w:rsidR="00DA250C">
        <w:t xml:space="preserve"> work</w:t>
      </w:r>
      <w:r>
        <w:t>s</w:t>
      </w:r>
      <w:r w:rsidR="00667EF0">
        <w:t xml:space="preserve"> effectively and</w:t>
      </w:r>
      <w:r w:rsidR="00DA250C">
        <w:t xml:space="preserve"> collaboratively with the NICE enquir</w:t>
      </w:r>
      <w:r w:rsidR="2FEF454C">
        <w:t>y handling</w:t>
      </w:r>
      <w:r w:rsidR="00DA250C">
        <w:t xml:space="preserve"> team to assess the issues raised and recommendations made by coroners </w:t>
      </w:r>
      <w:r w:rsidR="1ECECB86">
        <w:t xml:space="preserve">and </w:t>
      </w:r>
      <w:r w:rsidR="00DA250C">
        <w:t>to</w:t>
      </w:r>
      <w:r w:rsidR="628E5A26">
        <w:t xml:space="preserve"> </w:t>
      </w:r>
      <w:r w:rsidR="00DA250C">
        <w:t>develop responses to the</w:t>
      </w:r>
      <w:r w:rsidR="3C6FF55E">
        <w:t>m</w:t>
      </w:r>
      <w:r w:rsidR="00DA250C">
        <w:t>.</w:t>
      </w:r>
      <w:r w:rsidR="006A3BF2">
        <w:t xml:space="preserve"> Where issues require a coordinated response across more than one body, NICE has engaged constructively with external partners to identify solutions and </w:t>
      </w:r>
      <w:r w:rsidR="00136D0F">
        <w:t xml:space="preserve">the </w:t>
      </w:r>
      <w:r w:rsidR="006A3BF2">
        <w:t>appropriate follow-up actions.</w:t>
      </w:r>
      <w:r w:rsidR="00DA250C">
        <w:t xml:space="preserve"> </w:t>
      </w:r>
    </w:p>
    <w:p w14:paraId="354462F1" w14:textId="77777777" w:rsidR="00D5471C" w:rsidRDefault="00D5471C" w:rsidP="00D5471C">
      <w:pPr>
        <w:pStyle w:val="Numberedlist"/>
        <w:numPr>
          <w:ilvl w:val="0"/>
          <w:numId w:val="0"/>
        </w:numPr>
        <w:ind w:left="993"/>
      </w:pPr>
    </w:p>
    <w:p w14:paraId="7E63006F" w14:textId="4F3C7248" w:rsidR="00DA250C" w:rsidRDefault="00D866E4" w:rsidP="00D5471C">
      <w:pPr>
        <w:pStyle w:val="Numberedlist"/>
        <w:rPr>
          <w:rFonts w:eastAsia="Aptos" w:cs="Arial"/>
        </w:rPr>
      </w:pPr>
      <w:r>
        <w:t>PSOG</w:t>
      </w:r>
      <w:r w:rsidR="00136D0F">
        <w:t xml:space="preserve"> </w:t>
      </w:r>
      <w:r w:rsidR="00DA250C">
        <w:t xml:space="preserve">also </w:t>
      </w:r>
      <w:r w:rsidR="00EF66CB">
        <w:t>assigns</w:t>
      </w:r>
      <w:r w:rsidR="00DA250C">
        <w:t xml:space="preserve"> follow</w:t>
      </w:r>
      <w:r w:rsidR="00136D0F">
        <w:t>-</w:t>
      </w:r>
      <w:r w:rsidR="00DA250C">
        <w:t>up actions required in response to issues raised</w:t>
      </w:r>
      <w:r w:rsidR="00136D0F">
        <w:t xml:space="preserve"> to</w:t>
      </w:r>
      <w:r w:rsidR="00DA250C">
        <w:t xml:space="preserve"> the appropriate developer teams within NICE, primarily the guideline surveillance team</w:t>
      </w:r>
      <w:r w:rsidR="2E4BBB1E">
        <w:t xml:space="preserve"> and centre for guidelines</w:t>
      </w:r>
      <w:r w:rsidR="00DA250C">
        <w:t xml:space="preserve">. </w:t>
      </w:r>
      <w:r w:rsidR="56F6E223" w:rsidRPr="0DFFB952">
        <w:rPr>
          <w:rFonts w:eastAsia="Aptos" w:cs="Arial"/>
        </w:rPr>
        <w:t xml:space="preserve">We </w:t>
      </w:r>
      <w:r w:rsidR="7576B7E5" w:rsidRPr="52F81A72">
        <w:rPr>
          <w:rFonts w:eastAsia="Aptos" w:cs="Arial"/>
        </w:rPr>
        <w:t>have</w:t>
      </w:r>
      <w:r w:rsidR="56F6E223" w:rsidRPr="0DFFB952">
        <w:rPr>
          <w:rFonts w:eastAsia="Aptos" w:cs="Arial"/>
        </w:rPr>
        <w:t xml:space="preserve"> sent nine supplementary responses to coroners</w:t>
      </w:r>
      <w:r w:rsidR="2BE574A0" w:rsidRPr="0DFFB952">
        <w:rPr>
          <w:rFonts w:eastAsia="Aptos" w:cs="Arial"/>
        </w:rPr>
        <w:t>’</w:t>
      </w:r>
      <w:r w:rsidR="56F6E223" w:rsidRPr="0DFFB952">
        <w:rPr>
          <w:rFonts w:eastAsia="Aptos" w:cs="Arial"/>
        </w:rPr>
        <w:t xml:space="preserve"> reports</w:t>
      </w:r>
      <w:r w:rsidR="0BE58BCA" w:rsidRPr="52F81A72">
        <w:rPr>
          <w:rFonts w:eastAsia="Aptos" w:cs="Arial"/>
        </w:rPr>
        <w:t xml:space="preserve"> in 2025</w:t>
      </w:r>
      <w:r w:rsidR="56F6E223" w:rsidRPr="0DFFB952">
        <w:rPr>
          <w:rFonts w:eastAsia="Aptos" w:cs="Arial"/>
        </w:rPr>
        <w:t xml:space="preserve">, detailing outcomes following actions suggested in </w:t>
      </w:r>
      <w:r w:rsidR="3605D374" w:rsidRPr="0DFFB952">
        <w:rPr>
          <w:rFonts w:eastAsia="Aptos" w:cs="Arial"/>
        </w:rPr>
        <w:t xml:space="preserve">our </w:t>
      </w:r>
      <w:r w:rsidR="56F6E223" w:rsidRPr="0DFFB952">
        <w:rPr>
          <w:rFonts w:eastAsia="Aptos" w:cs="Arial"/>
        </w:rPr>
        <w:t>initial response to</w:t>
      </w:r>
      <w:r w:rsidR="3E1C967A" w:rsidRPr="0DFFB952">
        <w:rPr>
          <w:rFonts w:eastAsia="Aptos" w:cs="Arial"/>
        </w:rPr>
        <w:t xml:space="preserve"> the</w:t>
      </w:r>
      <w:r w:rsidR="56F6E223" w:rsidRPr="0DFFB952">
        <w:rPr>
          <w:rFonts w:eastAsia="Aptos" w:cs="Arial"/>
        </w:rPr>
        <w:t xml:space="preserve"> </w:t>
      </w:r>
      <w:proofErr w:type="gramStart"/>
      <w:r w:rsidR="56F6E223" w:rsidRPr="0DFFB952">
        <w:rPr>
          <w:rFonts w:eastAsia="Aptos" w:cs="Arial"/>
        </w:rPr>
        <w:t>Coroner</w:t>
      </w:r>
      <w:proofErr w:type="gramEnd"/>
      <w:r w:rsidR="56F6E223" w:rsidRPr="0DFFB952">
        <w:rPr>
          <w:rFonts w:eastAsia="Aptos" w:cs="Arial"/>
        </w:rPr>
        <w:t xml:space="preserve">. </w:t>
      </w:r>
    </w:p>
    <w:p w14:paraId="5CB43558" w14:textId="77777777" w:rsidR="00D5471C" w:rsidRDefault="00D5471C" w:rsidP="00D5471C">
      <w:pPr>
        <w:pStyle w:val="Numberedlist"/>
        <w:numPr>
          <w:ilvl w:val="0"/>
          <w:numId w:val="0"/>
        </w:numPr>
        <w:ind w:left="993"/>
        <w:rPr>
          <w:rFonts w:eastAsia="Aptos" w:cs="Arial"/>
        </w:rPr>
      </w:pPr>
    </w:p>
    <w:p w14:paraId="36E53BFE" w14:textId="0D45BA1D" w:rsidR="00DA250C" w:rsidRDefault="1500B3E2" w:rsidP="00D5471C">
      <w:pPr>
        <w:pStyle w:val="Numberedlist"/>
      </w:pPr>
      <w:r>
        <w:t>PSOG has recently completed an internal audit of all Coroner</w:t>
      </w:r>
      <w:r w:rsidR="69925BA9">
        <w:t>’</w:t>
      </w:r>
      <w:r>
        <w:t xml:space="preserve">s </w:t>
      </w:r>
      <w:r w:rsidR="2EFDC7A9">
        <w:t xml:space="preserve">reports received by NICE </w:t>
      </w:r>
      <w:r w:rsidR="7BAD829D">
        <w:t>between</w:t>
      </w:r>
      <w:r w:rsidR="2EFDC7A9">
        <w:t xml:space="preserve"> 2021</w:t>
      </w:r>
      <w:r w:rsidR="2F4EBBBA">
        <w:t xml:space="preserve"> and Spring 2025,</w:t>
      </w:r>
      <w:r w:rsidR="2EFDC7A9">
        <w:t xml:space="preserve"> including reviewing progress of </w:t>
      </w:r>
      <w:r w:rsidR="6626CCD6">
        <w:t xml:space="preserve">any </w:t>
      </w:r>
      <w:r w:rsidR="2EFDC7A9">
        <w:t xml:space="preserve">actions </w:t>
      </w:r>
      <w:r w:rsidR="64A55769">
        <w:t xml:space="preserve">proposed </w:t>
      </w:r>
      <w:r w:rsidR="2EFDC7A9">
        <w:t xml:space="preserve">in response to the </w:t>
      </w:r>
      <w:r w:rsidR="771E7DA6">
        <w:t>c</w:t>
      </w:r>
      <w:r w:rsidR="2EFDC7A9">
        <w:t>oroner</w:t>
      </w:r>
      <w:r w:rsidR="58E7C74F">
        <w:t xml:space="preserve">’s report. </w:t>
      </w:r>
      <w:r w:rsidR="2EFDC7A9">
        <w:t>The review consider</w:t>
      </w:r>
      <w:r w:rsidR="0ADDB9CD">
        <w:t>ed</w:t>
      </w:r>
      <w:r w:rsidR="00AB7B0A">
        <w:t xml:space="preserve"> </w:t>
      </w:r>
      <w:r w:rsidR="36273C49">
        <w:t>7</w:t>
      </w:r>
      <w:r w:rsidR="2EFDC7A9">
        <w:t xml:space="preserve">0 reports, </w:t>
      </w:r>
      <w:r w:rsidR="0DA692D5">
        <w:t xml:space="preserve">approximately </w:t>
      </w:r>
      <w:r w:rsidR="2EFDC7A9">
        <w:t xml:space="preserve">half of which required follow up </w:t>
      </w:r>
      <w:r w:rsidR="348CBFF0">
        <w:t>action</w:t>
      </w:r>
      <w:r w:rsidR="1D0017E2">
        <w:t xml:space="preserve"> by NICE</w:t>
      </w:r>
      <w:r w:rsidR="167A5C41">
        <w:t xml:space="preserve">. This often </w:t>
      </w:r>
      <w:r w:rsidR="348CBFF0">
        <w:t>include</w:t>
      </w:r>
      <w:r w:rsidR="76C43208">
        <w:t>d</w:t>
      </w:r>
      <w:r w:rsidR="002F0230">
        <w:t xml:space="preserve"> a</w:t>
      </w:r>
      <w:r w:rsidR="348CBFF0">
        <w:t xml:space="preserve"> surveillance review and</w:t>
      </w:r>
      <w:r w:rsidR="14379E07">
        <w:t>,</w:t>
      </w:r>
      <w:r w:rsidR="348CBFF0">
        <w:t xml:space="preserve"> depending on the outcome of review, amendment or updates to guidance. Other actions include</w:t>
      </w:r>
      <w:r w:rsidR="2AD65BCB">
        <w:t>d</w:t>
      </w:r>
      <w:r w:rsidR="348CBFF0">
        <w:t xml:space="preserve"> considering steps that might improve implementation of NICE guidance for </w:t>
      </w:r>
      <w:proofErr w:type="gramStart"/>
      <w:r w:rsidR="348CBFF0">
        <w:t>part</w:t>
      </w:r>
      <w:r w:rsidR="589F3F37">
        <w:t xml:space="preserve">icular </w:t>
      </w:r>
      <w:r w:rsidR="35632B73">
        <w:t>topics</w:t>
      </w:r>
      <w:proofErr w:type="gramEnd"/>
      <w:r w:rsidR="35632B73">
        <w:t xml:space="preserve"> </w:t>
      </w:r>
      <w:r w:rsidR="79A01144">
        <w:t>and more recently,</w:t>
      </w:r>
      <w:r w:rsidR="589F3F37">
        <w:t xml:space="preserve"> collaborating with external partners to develop joint solutions to issues raised.</w:t>
      </w:r>
      <w:r w:rsidR="39AB9C56">
        <w:t xml:space="preserve"> </w:t>
      </w:r>
    </w:p>
    <w:p w14:paraId="51A554E7" w14:textId="77777777" w:rsidR="00D5471C" w:rsidRDefault="00D5471C" w:rsidP="00D5471C">
      <w:pPr>
        <w:pStyle w:val="Numberedlist"/>
        <w:numPr>
          <w:ilvl w:val="0"/>
          <w:numId w:val="0"/>
        </w:numPr>
        <w:ind w:left="993"/>
      </w:pPr>
    </w:p>
    <w:p w14:paraId="3CB4922F" w14:textId="359A3598" w:rsidR="00DA250C" w:rsidRDefault="39AB9C56" w:rsidP="00D5471C">
      <w:pPr>
        <w:pStyle w:val="Numberedlist"/>
      </w:pPr>
      <w:r>
        <w:t xml:space="preserve">The review has produced recommendations for further improving </w:t>
      </w:r>
      <w:r w:rsidR="1B7091FD">
        <w:t xml:space="preserve">our </w:t>
      </w:r>
      <w:r>
        <w:t xml:space="preserve">response to coroners reports and </w:t>
      </w:r>
      <w:r w:rsidR="084A3112">
        <w:t xml:space="preserve">the </w:t>
      </w:r>
      <w:r>
        <w:t xml:space="preserve">oversight of actions where </w:t>
      </w:r>
      <w:r w:rsidR="57AF1961">
        <w:t xml:space="preserve">these are </w:t>
      </w:r>
      <w:r>
        <w:t>req</w:t>
      </w:r>
      <w:r w:rsidR="2795E8F3">
        <w:t xml:space="preserve">uired. PSOG has begun proactive outreach to coroners with the aim of improving their awareness and understanding of NICE, its outputs and limits to its remit. We </w:t>
      </w:r>
      <w:r w:rsidR="73995073">
        <w:t>have also invited a regional lead coroner to present an interactive session with NICE’s clinical network around the topic of a coroner’s perspective on patient safety matters.</w:t>
      </w:r>
      <w:r>
        <w:t xml:space="preserve"> </w:t>
      </w:r>
    </w:p>
    <w:p w14:paraId="6575410B" w14:textId="77777777" w:rsidR="00D5471C" w:rsidRDefault="00D5471C" w:rsidP="00D5471C">
      <w:pPr>
        <w:pStyle w:val="Numberedlist"/>
        <w:numPr>
          <w:ilvl w:val="0"/>
          <w:numId w:val="0"/>
        </w:numPr>
        <w:ind w:left="993"/>
      </w:pPr>
    </w:p>
    <w:p w14:paraId="7658EBD7" w14:textId="14F3CC9B" w:rsidR="00713032" w:rsidRDefault="00713032" w:rsidP="00D5471C">
      <w:pPr>
        <w:pStyle w:val="Numberedlist"/>
      </w:pPr>
      <w:r>
        <w:t>The breadth and increased frequency of the activities described above ha</w:t>
      </w:r>
      <w:r w:rsidR="00B86770">
        <w:t>s required</w:t>
      </w:r>
      <w:r>
        <w:t xml:space="preserve"> a signif</w:t>
      </w:r>
      <w:r w:rsidR="55601F3A">
        <w:t>i</w:t>
      </w:r>
      <w:r>
        <w:t xml:space="preserve">cant increase in the time devoted to safety by members of </w:t>
      </w:r>
      <w:r w:rsidR="00D866E4">
        <w:t>PSOG</w:t>
      </w:r>
      <w:r>
        <w:t xml:space="preserve">. </w:t>
      </w:r>
      <w:r w:rsidR="00D0127E">
        <w:t xml:space="preserve">This is not </w:t>
      </w:r>
      <w:r w:rsidR="00B86770">
        <w:t>always</w:t>
      </w:r>
      <w:r w:rsidR="00D0127E">
        <w:t xml:space="preserve"> recognised in</w:t>
      </w:r>
      <w:r w:rsidR="00397BF1">
        <w:t xml:space="preserve"> </w:t>
      </w:r>
      <w:r w:rsidR="00B86770">
        <w:t xml:space="preserve">an </w:t>
      </w:r>
      <w:r w:rsidR="00397BF1">
        <w:t>individual’s</w:t>
      </w:r>
      <w:r w:rsidR="00D0127E">
        <w:t xml:space="preserve"> job </w:t>
      </w:r>
      <w:r w:rsidR="6925E3F2">
        <w:t>plan and</w:t>
      </w:r>
      <w:r w:rsidR="00D0127E">
        <w:t xml:space="preserve"> will be addressed during </w:t>
      </w:r>
      <w:r w:rsidR="00B86770">
        <w:t xml:space="preserve">future </w:t>
      </w:r>
      <w:r w:rsidR="00D0127E">
        <w:t xml:space="preserve">appraisals and career conversations, </w:t>
      </w:r>
      <w:r w:rsidR="00B86770">
        <w:t xml:space="preserve">thereby </w:t>
      </w:r>
      <w:r w:rsidR="00D0127E">
        <w:t>support</w:t>
      </w:r>
      <w:r w:rsidR="00B86770">
        <w:t>ing</w:t>
      </w:r>
      <w:r w:rsidR="00D0127E">
        <w:t xml:space="preserve"> ambition </w:t>
      </w:r>
      <w:r w:rsidR="00B86770">
        <w:t>four</w:t>
      </w:r>
      <w:r w:rsidR="00D0127E">
        <w:t xml:space="preserve"> </w:t>
      </w:r>
      <w:r w:rsidR="00B86770">
        <w:t>of NICE’s</w:t>
      </w:r>
      <w:r w:rsidR="00D0127E">
        <w:t xml:space="preserve"> business plan to build an organisation as brilliant as the people in it. </w:t>
      </w:r>
    </w:p>
    <w:p w14:paraId="4C5C7DFB" w14:textId="73C7237A" w:rsidR="003C40E1" w:rsidRPr="003F5ED7" w:rsidRDefault="72C14C0C" w:rsidP="003B30E4">
      <w:pPr>
        <w:pStyle w:val="Heading3"/>
      </w:pPr>
      <w:r>
        <w:t>Considering the application of</w:t>
      </w:r>
      <w:r w:rsidR="00EF0DD3">
        <w:t xml:space="preserve"> a </w:t>
      </w:r>
      <w:r w:rsidR="003C40E1">
        <w:t>Safety Management System (SMS)</w:t>
      </w:r>
    </w:p>
    <w:p w14:paraId="1359EF29" w14:textId="2A8520EF" w:rsidR="00994BCA" w:rsidRDefault="003A60AF" w:rsidP="00D5471C">
      <w:pPr>
        <w:pStyle w:val="Numberedlist"/>
        <w:rPr>
          <w:rStyle w:val="normaltextrun"/>
        </w:rPr>
      </w:pPr>
      <w:r w:rsidRPr="20F7C646">
        <w:rPr>
          <w:rStyle w:val="normaltextrun"/>
        </w:rPr>
        <w:t>The HSSIB ha</w:t>
      </w:r>
      <w:r w:rsidR="00B86770" w:rsidRPr="20F7C646">
        <w:rPr>
          <w:rStyle w:val="normaltextrun"/>
        </w:rPr>
        <w:t>s</w:t>
      </w:r>
      <w:r w:rsidRPr="20F7C646">
        <w:rPr>
          <w:rStyle w:val="normaltextrun"/>
        </w:rPr>
        <w:t xml:space="preserve"> introduced </w:t>
      </w:r>
      <w:hyperlink r:id="rId18">
        <w:r w:rsidRPr="20F7C646">
          <w:rPr>
            <w:rStyle w:val="Hyperlink"/>
          </w:rPr>
          <w:t>the concept of a Safety Management System (SMS)</w:t>
        </w:r>
      </w:hyperlink>
      <w:r w:rsidRPr="20F7C646">
        <w:rPr>
          <w:rStyle w:val="normaltextrun"/>
        </w:rPr>
        <w:t xml:space="preserve"> for healthcare adoption in England.</w:t>
      </w:r>
      <w:r w:rsidR="002A1893" w:rsidRPr="20F7C646">
        <w:rPr>
          <w:rStyle w:val="normaltextrun"/>
        </w:rPr>
        <w:t xml:space="preserve"> If implemented</w:t>
      </w:r>
      <w:r w:rsidR="00B86770" w:rsidRPr="20F7C646">
        <w:rPr>
          <w:rStyle w:val="normaltextrun"/>
        </w:rPr>
        <w:t>,</w:t>
      </w:r>
      <w:r w:rsidR="002A1893" w:rsidRPr="20F7C646">
        <w:rPr>
          <w:rStyle w:val="normaltextrun"/>
        </w:rPr>
        <w:t xml:space="preserve"> </w:t>
      </w:r>
      <w:r w:rsidR="2BD99E37" w:rsidRPr="20F7C646">
        <w:rPr>
          <w:rStyle w:val="normaltextrun"/>
        </w:rPr>
        <w:t xml:space="preserve">they suggest </w:t>
      </w:r>
      <w:r w:rsidR="002A1893" w:rsidRPr="20F7C646">
        <w:rPr>
          <w:rStyle w:val="normaltextrun"/>
        </w:rPr>
        <w:t xml:space="preserve">this will help to address inconsistencies in language and methodology towards safety management across healthcare. An SMS </w:t>
      </w:r>
      <w:r w:rsidR="008E2CFF">
        <w:rPr>
          <w:rStyle w:val="normaltextrun"/>
        </w:rPr>
        <w:t>coordination</w:t>
      </w:r>
      <w:r w:rsidR="002A1893" w:rsidRPr="20F7C646">
        <w:rPr>
          <w:rStyle w:val="normaltextrun"/>
        </w:rPr>
        <w:t xml:space="preserve"> group has been established</w:t>
      </w:r>
      <w:r w:rsidR="00B86770" w:rsidRPr="20F7C646">
        <w:rPr>
          <w:rStyle w:val="normaltextrun"/>
        </w:rPr>
        <w:t xml:space="preserve">, </w:t>
      </w:r>
      <w:r w:rsidR="002A1893" w:rsidRPr="20F7C646">
        <w:rPr>
          <w:rStyle w:val="normaltextrun"/>
        </w:rPr>
        <w:t>led by</w:t>
      </w:r>
      <w:r w:rsidR="04D3E7A5" w:rsidRPr="20F7C646">
        <w:rPr>
          <w:rStyle w:val="normaltextrun"/>
        </w:rPr>
        <w:t xml:space="preserve"> </w:t>
      </w:r>
      <w:r w:rsidR="008E2CFF">
        <w:rPr>
          <w:rStyle w:val="normaltextrun"/>
        </w:rPr>
        <w:t>NHS England</w:t>
      </w:r>
      <w:r w:rsidR="00B86770" w:rsidRPr="20F7C646">
        <w:rPr>
          <w:rStyle w:val="normaltextrun"/>
        </w:rPr>
        <w:t>,</w:t>
      </w:r>
      <w:r w:rsidR="002A1893" w:rsidRPr="20F7C646">
        <w:rPr>
          <w:rStyle w:val="normaltextrun"/>
        </w:rPr>
        <w:t xml:space="preserve"> to look at how such a model could be realised across the NHS at a provider-level. Arms-length bodies in healthcare such as NICE are also encouraged to </w:t>
      </w:r>
      <w:r w:rsidR="00B86770" w:rsidRPr="20F7C646">
        <w:rPr>
          <w:rStyle w:val="normaltextrun"/>
        </w:rPr>
        <w:t>consider</w:t>
      </w:r>
      <w:r w:rsidR="002A1893" w:rsidRPr="20F7C646">
        <w:rPr>
          <w:rStyle w:val="normaltextrun"/>
        </w:rPr>
        <w:t xml:space="preserve"> how this SMS as a concept would apply to their ways of working.</w:t>
      </w:r>
      <w:r w:rsidRPr="20F7C646">
        <w:rPr>
          <w:rStyle w:val="normaltextrun"/>
        </w:rPr>
        <w:t xml:space="preserve"> </w:t>
      </w:r>
    </w:p>
    <w:p w14:paraId="6B3FC9A8" w14:textId="77777777" w:rsidR="00D5471C" w:rsidRDefault="00D5471C" w:rsidP="00D5471C">
      <w:pPr>
        <w:pStyle w:val="Numberedlist"/>
        <w:numPr>
          <w:ilvl w:val="0"/>
          <w:numId w:val="0"/>
        </w:numPr>
        <w:ind w:left="993"/>
        <w:rPr>
          <w:rStyle w:val="normaltextrun"/>
        </w:rPr>
      </w:pPr>
    </w:p>
    <w:p w14:paraId="7C38BDB9" w14:textId="77777777" w:rsidR="00DD4562" w:rsidRPr="00D5471C" w:rsidRDefault="003A60AF" w:rsidP="00D5471C">
      <w:pPr>
        <w:pStyle w:val="Numberedlist"/>
      </w:pPr>
      <w:r>
        <w:rPr>
          <w:rFonts w:cs="Arial"/>
          <w:color w:val="09172A"/>
        </w:rPr>
        <w:t xml:space="preserve">An SMS is a proactive and integrated approach to managing safety. It sets out the necessary organisational structures and accountabilities and </w:t>
      </w:r>
      <w:r w:rsidR="00B86770">
        <w:rPr>
          <w:rFonts w:cs="Arial"/>
          <w:color w:val="09172A"/>
        </w:rPr>
        <w:t xml:space="preserve">is subject to </w:t>
      </w:r>
      <w:r>
        <w:rPr>
          <w:rFonts w:cs="Arial"/>
          <w:color w:val="09172A"/>
        </w:rPr>
        <w:t>continuous improve</w:t>
      </w:r>
      <w:r w:rsidR="00B86770">
        <w:rPr>
          <w:rFonts w:cs="Arial"/>
          <w:color w:val="09172A"/>
        </w:rPr>
        <w:t>ment</w:t>
      </w:r>
    </w:p>
    <w:p w14:paraId="24DBA0CE" w14:textId="77777777" w:rsidR="00D5471C" w:rsidRPr="00DD4562" w:rsidRDefault="00D5471C" w:rsidP="00D5471C">
      <w:pPr>
        <w:pStyle w:val="Numberedlist"/>
        <w:numPr>
          <w:ilvl w:val="0"/>
          <w:numId w:val="0"/>
        </w:numPr>
        <w:ind w:left="993"/>
      </w:pPr>
    </w:p>
    <w:p w14:paraId="27D36D80" w14:textId="49C20969" w:rsidR="000C2D7A" w:rsidRDefault="003A60AF" w:rsidP="00D5471C">
      <w:pPr>
        <w:pStyle w:val="Numberedlist"/>
        <w:rPr>
          <w:rFonts w:cs="Arial"/>
          <w:color w:val="09172A"/>
        </w:rPr>
      </w:pPr>
      <w:r>
        <w:rPr>
          <w:rFonts w:cs="Arial"/>
          <w:color w:val="09172A"/>
        </w:rPr>
        <w:t>It requires safety management to be integrated into an organisation’s day-to-day activities. There is no one-size-fits-all SMS, however there are four recognised areas associated with many SMS frameworks</w:t>
      </w:r>
      <w:r w:rsidR="00397BF1">
        <w:rPr>
          <w:rFonts w:cs="Arial"/>
          <w:color w:val="09172A"/>
        </w:rPr>
        <w:t>. These are safety policy, safety risk management, safety assurance and safety promotion.</w:t>
      </w:r>
    </w:p>
    <w:p w14:paraId="0FCD1597" w14:textId="0A71D09F" w:rsidR="003A60AF" w:rsidRPr="000C2D7A" w:rsidRDefault="000C2D7A" w:rsidP="000C2D7A">
      <w:pPr>
        <w:rPr>
          <w:rFonts w:ascii="Arial" w:hAnsi="Arial" w:cs="Arial"/>
          <w:color w:val="09172A"/>
        </w:rPr>
      </w:pPr>
      <w:r>
        <w:rPr>
          <w:rFonts w:cs="Arial"/>
          <w:color w:val="09172A"/>
        </w:rPr>
        <w:br w:type="page"/>
      </w:r>
    </w:p>
    <w:p w14:paraId="751C94C0" w14:textId="0FCA5FF6" w:rsidR="00D72DEB" w:rsidRDefault="00D72DEB">
      <w:pPr>
        <w:rPr>
          <w:rFonts w:ascii="Arial" w:hAnsi="Arial" w:cs="Arial"/>
          <w:b/>
          <w:bCs/>
          <w:noProof/>
          <w:color w:val="09172A"/>
          <w:lang w:eastAsia="en-GB"/>
        </w:rPr>
      </w:pPr>
    </w:p>
    <w:p w14:paraId="64836E01" w14:textId="77777777" w:rsidR="00846819" w:rsidRPr="00C5052A" w:rsidRDefault="00846819" w:rsidP="00C5052A">
      <w:pPr>
        <w:pStyle w:val="Paragraph"/>
        <w:numPr>
          <w:ilvl w:val="0"/>
          <w:numId w:val="0"/>
        </w:numPr>
        <w:spacing w:line="360" w:lineRule="auto"/>
        <w:ind w:left="360"/>
        <w:rPr>
          <w:rStyle w:val="normaltextrun"/>
          <w:b/>
          <w:bCs/>
        </w:rPr>
      </w:pPr>
      <w:r>
        <w:rPr>
          <w:rFonts w:cs="Arial"/>
          <w:b/>
          <w:bCs/>
          <w:color w:val="09172A"/>
        </w:rPr>
        <w:t>Figure 3. Key components of a safety management system</w:t>
      </w:r>
    </w:p>
    <w:p w14:paraId="211FF7B4" w14:textId="77777777" w:rsidR="003A60AF" w:rsidRDefault="003A60AF" w:rsidP="003A60AF">
      <w:pPr>
        <w:pStyle w:val="paragraph0"/>
        <w:spacing w:before="0" w:beforeAutospacing="0" w:after="0" w:afterAutospacing="0"/>
        <w:textAlignment w:val="baseline"/>
        <w:rPr>
          <w:rFonts w:ascii="Arial" w:hAnsi="Arial" w:cs="Arial"/>
        </w:rPr>
      </w:pPr>
      <w:r>
        <w:rPr>
          <w:rStyle w:val="wacimagecontainer"/>
          <w:rFonts w:ascii="Arial" w:hAnsi="Arial" w:cs="Arial"/>
          <w:noProof/>
        </w:rPr>
        <w:drawing>
          <wp:inline distT="0" distB="0" distL="0" distR="0" wp14:anchorId="7CF242AC" wp14:editId="74F4BD3D">
            <wp:extent cx="4790661" cy="2588230"/>
            <wp:effectExtent l="0" t="0" r="0" b="3175"/>
            <wp:docPr id="5155277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27776" name="Picture 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1514" cy="2594093"/>
                    </a:xfrm>
                    <a:prstGeom prst="rect">
                      <a:avLst/>
                    </a:prstGeom>
                    <a:noFill/>
                    <a:ln>
                      <a:noFill/>
                    </a:ln>
                  </pic:spPr>
                </pic:pic>
              </a:graphicData>
            </a:graphic>
          </wp:inline>
        </w:drawing>
      </w:r>
      <w:r>
        <w:rPr>
          <w:rStyle w:val="eop"/>
          <w:rFonts w:ascii="Arial" w:hAnsi="Arial" w:cs="Arial"/>
        </w:rPr>
        <w:t> </w:t>
      </w:r>
    </w:p>
    <w:p w14:paraId="626E77F9" w14:textId="77777777" w:rsidR="00855316" w:rsidRDefault="00855316" w:rsidP="00855316">
      <w:pPr>
        <w:pStyle w:val="NICEnormal"/>
      </w:pPr>
    </w:p>
    <w:p w14:paraId="3D5D3699" w14:textId="2A1CE2CD" w:rsidR="00EE1031" w:rsidRDefault="50AAC32C" w:rsidP="00D5471C">
      <w:pPr>
        <w:pStyle w:val="Numberedlist"/>
      </w:pPr>
      <w:r>
        <w:t xml:space="preserve">During 2025, </w:t>
      </w:r>
      <w:r w:rsidR="00D866E4">
        <w:t>PSOG</w:t>
      </w:r>
      <w:r w:rsidR="641AC82E">
        <w:t xml:space="preserve"> have considered the application of an SMS model in NICE </w:t>
      </w:r>
      <w:r w:rsidR="00497F23">
        <w:t>within the context of</w:t>
      </w:r>
      <w:r w:rsidR="641AC82E">
        <w:t xml:space="preserve"> the elements of an SMS that already exist under NICE’s Patient Safety Oversight Group model. </w:t>
      </w:r>
      <w:r w:rsidR="04F2080A">
        <w:t xml:space="preserve">The group concluded that </w:t>
      </w:r>
      <w:r w:rsidR="00E368E5">
        <w:t xml:space="preserve">the current safety oversight model </w:t>
      </w:r>
      <w:r w:rsidR="00925C76">
        <w:t xml:space="preserve">incorporates </w:t>
      </w:r>
      <w:r w:rsidR="05DEFAED">
        <w:t xml:space="preserve">many of the </w:t>
      </w:r>
      <w:r w:rsidR="00925C76">
        <w:t xml:space="preserve">key features </w:t>
      </w:r>
      <w:r w:rsidR="00FC4993">
        <w:t>of the SMS model</w:t>
      </w:r>
      <w:r w:rsidR="00175188">
        <w:t xml:space="preserve"> against all 4 domains</w:t>
      </w:r>
      <w:r w:rsidR="00FC4993">
        <w:t xml:space="preserve"> but does not extend to be a wholesale SMS </w:t>
      </w:r>
      <w:r w:rsidR="293AA18C">
        <w:t>as might</w:t>
      </w:r>
      <w:r w:rsidR="00424556">
        <w:t xml:space="preserve"> be </w:t>
      </w:r>
      <w:r w:rsidR="00497F23">
        <w:t>found in</w:t>
      </w:r>
      <w:r w:rsidR="00424556">
        <w:t xml:space="preserve"> </w:t>
      </w:r>
      <w:r w:rsidR="67388073">
        <w:t>a frontline</w:t>
      </w:r>
      <w:r w:rsidR="00424556">
        <w:t xml:space="preserve"> healthcare organisation. Th</w:t>
      </w:r>
      <w:r w:rsidR="5C29FEAD">
        <w:t xml:space="preserve">is </w:t>
      </w:r>
      <w:r w:rsidR="00E67E5D">
        <w:t xml:space="preserve">is a tailored and pragmatic solution, proportionate to </w:t>
      </w:r>
      <w:r w:rsidR="0D90063C">
        <w:t>NICE’s</w:t>
      </w:r>
      <w:r w:rsidR="00E67E5D">
        <w:t xml:space="preserve"> role and remit</w:t>
      </w:r>
      <w:r w:rsidR="7E818ABA">
        <w:t xml:space="preserve"> and we consider this sufficient to maintain</w:t>
      </w:r>
      <w:r w:rsidR="3E6FEF8F">
        <w:t xml:space="preserve"> ongoing</w:t>
      </w:r>
      <w:r w:rsidR="7E818ABA">
        <w:t xml:space="preserve"> effective safety oversight. </w:t>
      </w:r>
      <w:r w:rsidR="00E67E5D">
        <w:t xml:space="preserve"> </w:t>
      </w:r>
    </w:p>
    <w:p w14:paraId="139CB1BA" w14:textId="77777777" w:rsidR="00D5471C" w:rsidRDefault="00D5471C" w:rsidP="00D5471C">
      <w:pPr>
        <w:pStyle w:val="Numberedlist"/>
        <w:numPr>
          <w:ilvl w:val="0"/>
          <w:numId w:val="0"/>
        </w:numPr>
        <w:ind w:left="993"/>
      </w:pPr>
    </w:p>
    <w:p w14:paraId="3385F7F9" w14:textId="7699EA71" w:rsidR="00EE1031" w:rsidRDefault="69A6CE2E" w:rsidP="00D5471C">
      <w:pPr>
        <w:pStyle w:val="Numberedlist"/>
      </w:pPr>
      <w:r>
        <w:t>PSOG</w:t>
      </w:r>
      <w:r w:rsidR="2B767AB9">
        <w:t xml:space="preserve"> will continue to </w:t>
      </w:r>
      <w:r w:rsidR="39C96D49">
        <w:t xml:space="preserve">monitor the effectiveness of the current model, </w:t>
      </w:r>
      <w:r w:rsidR="280CC327">
        <w:t xml:space="preserve">iterating and </w:t>
      </w:r>
      <w:r w:rsidR="39C96D49">
        <w:t>adopting best practice where these are beneficial to ensure</w:t>
      </w:r>
      <w:r w:rsidR="280CC327">
        <w:t xml:space="preserve"> continued</w:t>
      </w:r>
      <w:r w:rsidR="39C96D49">
        <w:t xml:space="preserve"> effective safety oversight within NICE.</w:t>
      </w:r>
      <w:r w:rsidR="4E913285">
        <w:t xml:space="preserve"> </w:t>
      </w:r>
      <w:r w:rsidR="6EC0D174">
        <w:t xml:space="preserve">We will </w:t>
      </w:r>
      <w:r w:rsidR="1ECB5899">
        <w:t xml:space="preserve">also </w:t>
      </w:r>
      <w:r w:rsidR="391601A3">
        <w:t>monitor</w:t>
      </w:r>
      <w:r w:rsidR="6EC0D174">
        <w:t xml:space="preserve"> </w:t>
      </w:r>
      <w:r w:rsidR="48270EDB">
        <w:t xml:space="preserve">whether </w:t>
      </w:r>
      <w:r w:rsidR="6EC0D174">
        <w:t xml:space="preserve">an SMS model </w:t>
      </w:r>
      <w:r w:rsidR="1284FAA4">
        <w:t>is</w:t>
      </w:r>
      <w:r w:rsidR="6EC0D174">
        <w:t xml:space="preserve"> applied </w:t>
      </w:r>
      <w:r w:rsidR="594E8FDD">
        <w:t>by</w:t>
      </w:r>
      <w:r w:rsidR="6EC0D174">
        <w:t xml:space="preserve"> other similar organisations who we are in regular contact </w:t>
      </w:r>
      <w:r w:rsidR="6AAB9F6E">
        <w:t xml:space="preserve">with </w:t>
      </w:r>
      <w:r w:rsidR="6EC0D174">
        <w:t>and the SMS Coordination Group led by NHSE</w:t>
      </w:r>
      <w:r w:rsidR="032EDFB9">
        <w:t xml:space="preserve"> to ensure that our approach is consistent with them</w:t>
      </w:r>
      <w:r w:rsidR="6EC0D174">
        <w:t xml:space="preserve">. </w:t>
      </w:r>
    </w:p>
    <w:p w14:paraId="0C55CACC" w14:textId="491844C4" w:rsidR="479B8068" w:rsidRDefault="479B8068" w:rsidP="479B8068">
      <w:pPr>
        <w:pStyle w:val="NICEnormalnumbered"/>
        <w:numPr>
          <w:ilvl w:val="0"/>
          <w:numId w:val="0"/>
        </w:numPr>
      </w:pPr>
    </w:p>
    <w:p w14:paraId="4E7C4362" w14:textId="77777777" w:rsidR="000C2D7A" w:rsidRDefault="000C2D7A" w:rsidP="479B8068">
      <w:pPr>
        <w:pStyle w:val="NICEnormalnumbered"/>
        <w:numPr>
          <w:ilvl w:val="0"/>
          <w:numId w:val="0"/>
        </w:numPr>
      </w:pPr>
    </w:p>
    <w:p w14:paraId="636DECE1" w14:textId="77777777" w:rsidR="000C2D7A" w:rsidRDefault="000C2D7A" w:rsidP="479B8068">
      <w:pPr>
        <w:pStyle w:val="NICEnormalnumbered"/>
        <w:numPr>
          <w:ilvl w:val="0"/>
          <w:numId w:val="0"/>
        </w:numPr>
      </w:pPr>
    </w:p>
    <w:p w14:paraId="5429DBF4" w14:textId="5893D20B" w:rsidR="00421134" w:rsidRPr="00667DF3" w:rsidRDefault="00421134" w:rsidP="20F7C646">
      <w:pPr>
        <w:pStyle w:val="NICEnormalnumbered"/>
        <w:numPr>
          <w:ilvl w:val="0"/>
          <w:numId w:val="0"/>
        </w:numPr>
        <w:rPr>
          <w:b/>
          <w:bCs/>
        </w:rPr>
      </w:pPr>
      <w:r w:rsidRPr="00667DF3">
        <w:rPr>
          <w:b/>
          <w:bCs/>
        </w:rPr>
        <w:t xml:space="preserve">Promoting a culture of </w:t>
      </w:r>
      <w:r w:rsidR="00E740FA" w:rsidRPr="00667DF3">
        <w:rPr>
          <w:b/>
          <w:bCs/>
        </w:rPr>
        <w:t>safety within NICE</w:t>
      </w:r>
    </w:p>
    <w:p w14:paraId="0FE1501A" w14:textId="04285597" w:rsidR="00D866E4" w:rsidRDefault="7F1E8166" w:rsidP="00D5471C">
      <w:pPr>
        <w:pStyle w:val="Numberedlist"/>
      </w:pPr>
      <w:r>
        <w:t>PSOG will continue to support NICE to become a truly generative organisation in terms of its safety culture and approach to safety considerations</w:t>
      </w:r>
      <w:r w:rsidR="7E6B29F5">
        <w:t xml:space="preserve"> (see Figure 4). </w:t>
      </w:r>
    </w:p>
    <w:p w14:paraId="06366F16" w14:textId="77777777" w:rsidR="00EE1031" w:rsidRPr="00900DD0" w:rsidRDefault="00EE1031" w:rsidP="00EE1031">
      <w:pPr>
        <w:pStyle w:val="Caption"/>
      </w:pPr>
      <w:r w:rsidRPr="00900DD0">
        <w:t xml:space="preserve">Figure </w:t>
      </w:r>
      <w:r w:rsidR="00846819">
        <w:t>4</w:t>
      </w:r>
      <w:r w:rsidRPr="00900DD0">
        <w:t>. Adapted version of Westrum's typology of organisational culture model (2003)</w:t>
      </w:r>
    </w:p>
    <w:p w14:paraId="71506592" w14:textId="77777777" w:rsidR="00EE1031" w:rsidRDefault="00EE1031" w:rsidP="00C5052A">
      <w:pPr>
        <w:pStyle w:val="Paragraph"/>
        <w:numPr>
          <w:ilvl w:val="0"/>
          <w:numId w:val="0"/>
        </w:numPr>
        <w:ind w:left="360"/>
      </w:pPr>
    </w:p>
    <w:p w14:paraId="3455964A" w14:textId="7958AEA5" w:rsidR="003C40E1" w:rsidRDefault="00BD0522" w:rsidP="00C5052A">
      <w:pPr>
        <w:pStyle w:val="NICEnormal"/>
      </w:pPr>
      <w:r>
        <w:rPr>
          <w:noProof/>
        </w:rPr>
        <w:drawing>
          <wp:inline distT="0" distB="0" distL="0" distR="0" wp14:anchorId="6C0CB7A2" wp14:editId="1335ABA1">
            <wp:extent cx="4737100" cy="2786313"/>
            <wp:effectExtent l="0" t="0" r="6350" b="0"/>
            <wp:doc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xmlns:a="http://schemas.openxmlformats.org/drawingml/2006/main">
                <a:ext uri="{FF2B5EF4-FFF2-40B4-BE49-F238E27FC236}">
                  <a16:creationId xmlns:a16="http://schemas.microsoft.com/office/drawing/2014/main" id="{1D4077D4-0EAF-D630-76E9-9E8FCE57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a:ext uri="{FF2B5EF4-FFF2-40B4-BE49-F238E27FC236}">
                          <a16:creationId xmlns:a16="http://schemas.microsoft.com/office/drawing/2014/main" id="{1D4077D4-0EAF-D630-76E9-9E8FCE579E3B}"/>
                        </a:ext>
                      </a:extLst>
                    </pic:cNvPr>
                    <pic:cNvPicPr>
                      <a:picLocks noChangeAspect="1"/>
                    </pic:cNvPicPr>
                  </pic:nvPicPr>
                  <pic:blipFill>
                    <a:blip r:embed="rId20"/>
                    <a:stretch>
                      <a:fillRect/>
                    </a:stretch>
                  </pic:blipFill>
                  <pic:spPr>
                    <a:xfrm>
                      <a:off x="0" y="0"/>
                      <a:ext cx="4756167" cy="2797528"/>
                    </a:xfrm>
                    <a:prstGeom prst="rect">
                      <a:avLst/>
                    </a:prstGeom>
                  </pic:spPr>
                </pic:pic>
              </a:graphicData>
            </a:graphic>
          </wp:inline>
        </w:drawing>
      </w:r>
    </w:p>
    <w:p w14:paraId="7C3B1868" w14:textId="6D436941" w:rsidR="00421134" w:rsidRPr="00855316" w:rsidRDefault="00667DF3" w:rsidP="00D5471C">
      <w:pPr>
        <w:pStyle w:val="Numberedlist"/>
      </w:pPr>
      <w:r w:rsidRPr="004A77D0">
        <w:t xml:space="preserve">This includes creating and promoting psychological safety where NICE colleagues feel empowered to raise safety-related issues within their respective programmes. </w:t>
      </w:r>
    </w:p>
    <w:p w14:paraId="52735F49" w14:textId="77777777" w:rsidR="002F2FD9" w:rsidRDefault="002F2FD9" w:rsidP="006E0F0C">
      <w:pPr>
        <w:pStyle w:val="Heading3boardreport"/>
      </w:pPr>
      <w:r>
        <w:t>Steps we can take to advance this goal include:</w:t>
      </w:r>
    </w:p>
    <w:p w14:paraId="2F1B5B85" w14:textId="77777777" w:rsidR="002F2FD9" w:rsidRDefault="002F2FD9" w:rsidP="002F2FD9">
      <w:pPr>
        <w:pStyle w:val="NICEnormal"/>
        <w:numPr>
          <w:ilvl w:val="0"/>
          <w:numId w:val="44"/>
        </w:numPr>
      </w:pPr>
      <w:r>
        <w:t xml:space="preserve">Clearly defining and communicating the boundaries between NICE’s responsibilities towards safety with those that have statutory duties on healthcare safety such as the MHRA and CQC. </w:t>
      </w:r>
    </w:p>
    <w:p w14:paraId="4792DBA7" w14:textId="77777777" w:rsidR="002F2FD9" w:rsidRDefault="002F2FD9">
      <w:pPr>
        <w:pStyle w:val="NICEnormal"/>
        <w:numPr>
          <w:ilvl w:val="0"/>
          <w:numId w:val="44"/>
        </w:numPr>
      </w:pPr>
      <w:r>
        <w:t>Ensuring that PSOG and its membership continues to keep pace with the changing nature of NICE and its programmes of work.</w:t>
      </w:r>
    </w:p>
    <w:p w14:paraId="3769A295" w14:textId="77777777" w:rsidR="00D5471C" w:rsidRDefault="002B1F0F">
      <w:pPr>
        <w:pStyle w:val="NICEnormal"/>
        <w:numPr>
          <w:ilvl w:val="0"/>
          <w:numId w:val="44"/>
        </w:numPr>
      </w:pPr>
      <w:r>
        <w:t xml:space="preserve">Building on our internal communications work during 2025 which has showcased and promoted patient safety through all-staff meetings, dedicated </w:t>
      </w:r>
      <w:r w:rsidR="008B4A6D">
        <w:t xml:space="preserve">learning sessions with key external stakeholders and through our clinical network. </w:t>
      </w:r>
    </w:p>
    <w:p w14:paraId="1513C728" w14:textId="062E4069" w:rsidR="002B1F0F" w:rsidRDefault="008B4A6D">
      <w:pPr>
        <w:pStyle w:val="NICEnormal"/>
        <w:numPr>
          <w:ilvl w:val="0"/>
          <w:numId w:val="44"/>
        </w:numPr>
      </w:pPr>
      <w:r>
        <w:t xml:space="preserve">We will continue to ensure safety receives a high level of visibility </w:t>
      </w:r>
      <w:r w:rsidR="007E1D08">
        <w:t xml:space="preserve">in our internal communications and that PSOG members are accessible to colleagues for wider advice and support. </w:t>
      </w:r>
    </w:p>
    <w:p w14:paraId="1850D4B9" w14:textId="6519D3DF" w:rsidR="00994BCA" w:rsidRDefault="00994BCA" w:rsidP="00994BCA">
      <w:pPr>
        <w:pStyle w:val="Heading3"/>
      </w:pPr>
      <w:r>
        <w:t>Patient Safety Priorities for 202</w:t>
      </w:r>
      <w:r w:rsidR="00977ECF">
        <w:t>6</w:t>
      </w:r>
      <w:r>
        <w:t>/2</w:t>
      </w:r>
      <w:r w:rsidR="00977ECF">
        <w:t>7</w:t>
      </w:r>
    </w:p>
    <w:p w14:paraId="4C1EFC6A" w14:textId="77777777" w:rsidR="0011416A" w:rsidRDefault="0011416A" w:rsidP="52985236">
      <w:pPr>
        <w:rPr>
          <w:rFonts w:ascii="Arial" w:eastAsia="Arial" w:hAnsi="Arial" w:cs="Arial"/>
          <w:b/>
          <w:bCs/>
        </w:rPr>
      </w:pPr>
    </w:p>
    <w:p w14:paraId="5837083D" w14:textId="11839E20" w:rsidR="511FE246" w:rsidRPr="00B5609C" w:rsidRDefault="511FE246" w:rsidP="00D5471C">
      <w:pPr>
        <w:pStyle w:val="Numberedlist"/>
        <w:rPr>
          <w:rFonts w:eastAsia="Arial"/>
        </w:rPr>
      </w:pPr>
      <w:r w:rsidRPr="0B5987A0">
        <w:rPr>
          <w:rFonts w:eastAsia="Arial"/>
        </w:rPr>
        <w:t>The changes and enhancements to the profile of safety – alongside other elements of improving quality as set out in the NHS 10</w:t>
      </w:r>
      <w:r w:rsidR="7F8FC752" w:rsidRPr="0B5987A0">
        <w:rPr>
          <w:rFonts w:eastAsia="Arial"/>
        </w:rPr>
        <w:t>-Year</w:t>
      </w:r>
      <w:r w:rsidRPr="0B5987A0">
        <w:rPr>
          <w:rFonts w:eastAsia="Arial"/>
        </w:rPr>
        <w:t xml:space="preserve"> Plan and Dash </w:t>
      </w:r>
      <w:r w:rsidR="00100A85" w:rsidRPr="0B5987A0">
        <w:rPr>
          <w:rFonts w:eastAsia="Arial"/>
        </w:rPr>
        <w:t>Report</w:t>
      </w:r>
      <w:r w:rsidR="0BF5B2F0" w:rsidRPr="0B5987A0">
        <w:rPr>
          <w:rFonts w:eastAsia="Arial"/>
        </w:rPr>
        <w:t xml:space="preserve"> </w:t>
      </w:r>
      <w:r w:rsidR="0011416A" w:rsidRPr="0B5987A0">
        <w:rPr>
          <w:rFonts w:eastAsia="Arial"/>
        </w:rPr>
        <w:t>are</w:t>
      </w:r>
      <w:r w:rsidR="0BF5B2F0" w:rsidRPr="0B5987A0">
        <w:rPr>
          <w:rFonts w:eastAsia="Arial"/>
        </w:rPr>
        <w:t xml:space="preserve"> reflected in PSOG’s priorities for the year ahead. </w:t>
      </w:r>
    </w:p>
    <w:p w14:paraId="57B90831" w14:textId="0017F35E" w:rsidR="1722A9C0" w:rsidRDefault="35A0491A" w:rsidP="479B8068">
      <w:pPr>
        <w:spacing w:line="360" w:lineRule="auto"/>
        <w:rPr>
          <w:rFonts w:ascii="Arial" w:eastAsia="Arial" w:hAnsi="Arial" w:cs="Arial"/>
          <w:b/>
          <w:bCs/>
        </w:rPr>
      </w:pPr>
      <w:r w:rsidRPr="479B8068">
        <w:rPr>
          <w:rFonts w:ascii="Arial" w:eastAsia="Arial" w:hAnsi="Arial" w:cs="Arial"/>
          <w:b/>
          <w:bCs/>
        </w:rPr>
        <w:t xml:space="preserve"> </w:t>
      </w:r>
    </w:p>
    <w:p w14:paraId="60799712" w14:textId="077AED37" w:rsidR="1722A9C0" w:rsidRDefault="1722A9C0" w:rsidP="000C2D7A">
      <w:pPr>
        <w:pStyle w:val="ListParagraph"/>
        <w:numPr>
          <w:ilvl w:val="0"/>
          <w:numId w:val="13"/>
        </w:numPr>
        <w:spacing w:line="360" w:lineRule="auto"/>
        <w:ind w:left="851" w:hanging="425"/>
        <w:rPr>
          <w:rFonts w:ascii="Arial" w:eastAsia="Arial" w:hAnsi="Arial" w:cs="Arial"/>
        </w:rPr>
      </w:pPr>
      <w:r w:rsidRPr="0B5987A0">
        <w:rPr>
          <w:rFonts w:ascii="Arial" w:eastAsia="Arial" w:hAnsi="Arial" w:cs="Arial"/>
        </w:rPr>
        <w:t xml:space="preserve">PSOG will </w:t>
      </w:r>
      <w:r w:rsidR="00B828C4" w:rsidRPr="0B5987A0">
        <w:rPr>
          <w:rFonts w:ascii="Arial" w:eastAsia="Arial" w:hAnsi="Arial" w:cs="Arial"/>
        </w:rPr>
        <w:t>keep</w:t>
      </w:r>
      <w:r w:rsidRPr="0B5987A0">
        <w:rPr>
          <w:rFonts w:ascii="Arial" w:eastAsia="Arial" w:hAnsi="Arial" w:cs="Arial"/>
        </w:rPr>
        <w:t xml:space="preserve"> its terms of reference and current engagement</w:t>
      </w:r>
      <w:r w:rsidR="00B828C4" w:rsidRPr="0B5987A0">
        <w:rPr>
          <w:rFonts w:ascii="Arial" w:eastAsia="Arial" w:hAnsi="Arial" w:cs="Arial"/>
        </w:rPr>
        <w:t xml:space="preserve"> under review</w:t>
      </w:r>
      <w:r w:rsidR="003C7593" w:rsidRPr="0B5987A0">
        <w:rPr>
          <w:rFonts w:ascii="Arial" w:eastAsia="Arial" w:hAnsi="Arial" w:cs="Arial"/>
        </w:rPr>
        <w:t xml:space="preserve"> and update</w:t>
      </w:r>
      <w:r w:rsidRPr="0B5987A0">
        <w:rPr>
          <w:rFonts w:ascii="Arial" w:eastAsia="Arial" w:hAnsi="Arial" w:cs="Arial"/>
        </w:rPr>
        <w:t xml:space="preserve"> to reflect the new landscape</w:t>
      </w:r>
      <w:r w:rsidR="003C7593" w:rsidRPr="0B5987A0">
        <w:rPr>
          <w:rFonts w:ascii="Arial" w:eastAsia="Arial" w:hAnsi="Arial" w:cs="Arial"/>
        </w:rPr>
        <w:t>,</w:t>
      </w:r>
      <w:r w:rsidRPr="0B5987A0">
        <w:rPr>
          <w:rFonts w:ascii="Arial" w:eastAsia="Arial" w:hAnsi="Arial" w:cs="Arial"/>
        </w:rPr>
        <w:t xml:space="preserve"> as changes set out in the</w:t>
      </w:r>
      <w:r w:rsidR="36B64531" w:rsidRPr="0B5987A0">
        <w:rPr>
          <w:rFonts w:ascii="Arial" w:eastAsia="Arial" w:hAnsi="Arial" w:cs="Arial"/>
        </w:rPr>
        <w:t xml:space="preserve"> 10</w:t>
      </w:r>
      <w:r w:rsidR="740405A4" w:rsidRPr="0B5987A0">
        <w:rPr>
          <w:rFonts w:ascii="Arial" w:eastAsia="Arial" w:hAnsi="Arial" w:cs="Arial"/>
        </w:rPr>
        <w:t>-Year</w:t>
      </w:r>
      <w:r w:rsidRPr="0B5987A0">
        <w:rPr>
          <w:rFonts w:ascii="Arial" w:eastAsia="Arial" w:hAnsi="Arial" w:cs="Arial"/>
        </w:rPr>
        <w:t xml:space="preserve"> Plan are implemented, identifying where new relationships need to be established both internally and externally to maximise NICE’s role and impact.</w:t>
      </w:r>
    </w:p>
    <w:p w14:paraId="665B6094" w14:textId="6AC249DC" w:rsidR="52985236" w:rsidRDefault="52985236" w:rsidP="000C2D7A">
      <w:pPr>
        <w:pStyle w:val="ListParagraph"/>
        <w:spacing w:line="360" w:lineRule="auto"/>
        <w:ind w:left="851" w:hanging="425"/>
        <w:rPr>
          <w:rFonts w:ascii="Arial" w:eastAsia="Arial" w:hAnsi="Arial" w:cs="Arial"/>
        </w:rPr>
      </w:pPr>
    </w:p>
    <w:p w14:paraId="692A5317" w14:textId="5302E66D" w:rsidR="52985236" w:rsidRDefault="751933DE" w:rsidP="000C2D7A">
      <w:pPr>
        <w:pStyle w:val="ListParagraph"/>
        <w:numPr>
          <w:ilvl w:val="0"/>
          <w:numId w:val="13"/>
        </w:numPr>
        <w:spacing w:line="360" w:lineRule="auto"/>
        <w:ind w:left="851" w:hanging="425"/>
        <w:rPr>
          <w:rFonts w:ascii="Aptos" w:eastAsia="Aptos" w:hAnsi="Aptos" w:cs="Aptos"/>
        </w:rPr>
      </w:pPr>
      <w:r w:rsidRPr="7FE8095F">
        <w:rPr>
          <w:rFonts w:ascii="Arial" w:eastAsia="Arial" w:hAnsi="Arial" w:cs="Arial"/>
        </w:rPr>
        <w:t xml:space="preserve">PSOG will support the NICE </w:t>
      </w:r>
      <w:r w:rsidR="6BEA5D74" w:rsidRPr="7FE8095F">
        <w:rPr>
          <w:rFonts w:ascii="Arial" w:eastAsia="Arial" w:hAnsi="Arial" w:cs="Arial"/>
        </w:rPr>
        <w:t>representative</w:t>
      </w:r>
      <w:r w:rsidR="302617A8" w:rsidRPr="7FE8095F">
        <w:rPr>
          <w:rFonts w:ascii="Arial" w:eastAsia="Arial" w:hAnsi="Arial" w:cs="Arial"/>
        </w:rPr>
        <w:t xml:space="preserve"> on</w:t>
      </w:r>
      <w:r w:rsidRPr="7FE8095F">
        <w:rPr>
          <w:rFonts w:ascii="Arial" w:eastAsia="Arial" w:hAnsi="Arial" w:cs="Arial"/>
        </w:rPr>
        <w:t xml:space="preserve"> the National Quality Board, to be an</w:t>
      </w:r>
      <w:r w:rsidR="5B9E46EC" w:rsidRPr="7FE8095F">
        <w:rPr>
          <w:rFonts w:ascii="Arial" w:eastAsia="Arial" w:hAnsi="Arial" w:cs="Arial"/>
        </w:rPr>
        <w:t xml:space="preserve"> influential,</w:t>
      </w:r>
      <w:r w:rsidRPr="7FE8095F">
        <w:rPr>
          <w:rFonts w:ascii="Arial" w:eastAsia="Arial" w:hAnsi="Arial" w:cs="Arial"/>
        </w:rPr>
        <w:t xml:space="preserve"> active and </w:t>
      </w:r>
      <w:r w:rsidR="32F6BA51" w:rsidRPr="7FE8095F">
        <w:rPr>
          <w:rFonts w:ascii="Arial" w:eastAsia="Arial" w:hAnsi="Arial" w:cs="Arial"/>
        </w:rPr>
        <w:t>constructive</w:t>
      </w:r>
      <w:r w:rsidRPr="7FE8095F">
        <w:rPr>
          <w:rFonts w:ascii="Arial" w:eastAsia="Arial" w:hAnsi="Arial" w:cs="Arial"/>
        </w:rPr>
        <w:t xml:space="preserve"> participant, as the NQB takes on an enhanced role in the quality and safety landscape.</w:t>
      </w:r>
      <w:r w:rsidR="4A0EDBA7" w:rsidRPr="7FE8095F">
        <w:rPr>
          <w:rFonts w:ascii="Arial" w:eastAsia="Arial" w:hAnsi="Arial" w:cs="Arial"/>
        </w:rPr>
        <w:t xml:space="preserve"> NICE can use its membership of the NQB to further influence and align these efforts with its own work on topic prioritisation, guidance and advice development. </w:t>
      </w:r>
      <w:r w:rsidR="496F794F" w:rsidRPr="7FE8095F">
        <w:rPr>
          <w:rFonts w:ascii="Arial" w:eastAsia="Arial" w:hAnsi="Arial" w:cs="Arial"/>
        </w:rPr>
        <w:t xml:space="preserve">In the short-term NICE will provide </w:t>
      </w:r>
      <w:proofErr w:type="gramStart"/>
      <w:r w:rsidR="496F794F" w:rsidRPr="7FE8095F">
        <w:rPr>
          <w:rFonts w:ascii="Arial" w:eastAsia="Arial" w:hAnsi="Arial" w:cs="Arial"/>
        </w:rPr>
        <w:t>particular expertise</w:t>
      </w:r>
      <w:proofErr w:type="gramEnd"/>
      <w:r w:rsidR="496F794F" w:rsidRPr="7FE8095F">
        <w:rPr>
          <w:rFonts w:ascii="Arial" w:eastAsia="Arial" w:hAnsi="Arial" w:cs="Arial"/>
        </w:rPr>
        <w:t xml:space="preserve"> to the NQB</w:t>
      </w:r>
      <w:r w:rsidR="21736EC3" w:rsidRPr="7FE8095F">
        <w:rPr>
          <w:rFonts w:ascii="Arial" w:eastAsia="Arial" w:hAnsi="Arial" w:cs="Arial"/>
        </w:rPr>
        <w:t xml:space="preserve"> as requested,</w:t>
      </w:r>
      <w:r w:rsidR="496F794F" w:rsidRPr="7FE8095F">
        <w:rPr>
          <w:rFonts w:ascii="Arial" w:eastAsia="Arial" w:hAnsi="Arial" w:cs="Arial"/>
        </w:rPr>
        <w:t xml:space="preserve"> </w:t>
      </w:r>
      <w:r w:rsidR="4D7E26CD" w:rsidRPr="7FE8095F">
        <w:rPr>
          <w:rFonts w:ascii="Arial" w:eastAsia="Arial" w:hAnsi="Arial" w:cs="Arial"/>
        </w:rPr>
        <w:t>to support the assessment of</w:t>
      </w:r>
      <w:r w:rsidR="496F794F" w:rsidRPr="7FE8095F">
        <w:rPr>
          <w:rFonts w:ascii="Arial" w:eastAsia="Arial" w:hAnsi="Arial" w:cs="Arial"/>
        </w:rPr>
        <w:t xml:space="preserve"> cost effectiveness of </w:t>
      </w:r>
      <w:r w:rsidR="1A609C4F" w:rsidRPr="7FE8095F">
        <w:rPr>
          <w:rFonts w:ascii="Arial" w:eastAsia="Arial" w:hAnsi="Arial" w:cs="Arial"/>
        </w:rPr>
        <w:t xml:space="preserve">patient safety </w:t>
      </w:r>
      <w:r w:rsidR="496F794F" w:rsidRPr="7FE8095F">
        <w:rPr>
          <w:rFonts w:ascii="Arial" w:eastAsia="Arial" w:hAnsi="Arial" w:cs="Arial"/>
        </w:rPr>
        <w:t>recommendations</w:t>
      </w:r>
      <w:r w:rsidR="0F90D617" w:rsidRPr="7FE8095F">
        <w:rPr>
          <w:rFonts w:ascii="Arial" w:eastAsia="Arial" w:hAnsi="Arial" w:cs="Arial"/>
        </w:rPr>
        <w:t xml:space="preserve">. </w:t>
      </w:r>
      <w:r w:rsidR="0B2EF4ED" w:rsidRPr="7FE8095F">
        <w:rPr>
          <w:rFonts w:ascii="Arial" w:eastAsia="Arial" w:hAnsi="Arial" w:cs="Arial"/>
        </w:rPr>
        <w:t xml:space="preserve">PSOG will provide oversight of this work. </w:t>
      </w:r>
    </w:p>
    <w:p w14:paraId="40B1054E" w14:textId="0EA08C51" w:rsidR="52985236" w:rsidRDefault="52985236" w:rsidP="000C2D7A">
      <w:pPr>
        <w:pStyle w:val="ListParagraph"/>
        <w:spacing w:line="360" w:lineRule="auto"/>
        <w:ind w:left="851" w:hanging="425"/>
        <w:rPr>
          <w:rFonts w:ascii="Arial" w:eastAsia="Arial" w:hAnsi="Arial" w:cs="Arial"/>
        </w:rPr>
      </w:pPr>
    </w:p>
    <w:p w14:paraId="24BC87A1" w14:textId="23A575EA" w:rsidR="1722A9C0" w:rsidRDefault="02669D56" w:rsidP="000C2D7A">
      <w:pPr>
        <w:pStyle w:val="ListParagraph"/>
        <w:numPr>
          <w:ilvl w:val="0"/>
          <w:numId w:val="13"/>
        </w:numPr>
        <w:spacing w:line="360" w:lineRule="auto"/>
        <w:ind w:left="851" w:hanging="425"/>
        <w:rPr>
          <w:rFonts w:ascii="Arial" w:eastAsia="Arial" w:hAnsi="Arial" w:cs="Arial"/>
        </w:rPr>
      </w:pPr>
      <w:r w:rsidRPr="69AAD74F">
        <w:rPr>
          <w:rFonts w:ascii="Arial" w:eastAsia="Arial" w:hAnsi="Arial" w:cs="Arial"/>
        </w:rPr>
        <w:t>PSOG will m</w:t>
      </w:r>
      <w:r w:rsidR="1722A9C0" w:rsidRPr="69AAD74F">
        <w:rPr>
          <w:rFonts w:ascii="Arial" w:eastAsia="Arial" w:hAnsi="Arial" w:cs="Arial"/>
        </w:rPr>
        <w:t>aintain and enhanc</w:t>
      </w:r>
      <w:r w:rsidR="7DED97FF" w:rsidRPr="69AAD74F">
        <w:rPr>
          <w:rFonts w:ascii="Arial" w:eastAsia="Arial" w:hAnsi="Arial" w:cs="Arial"/>
        </w:rPr>
        <w:t>e</w:t>
      </w:r>
      <w:r w:rsidR="1722A9C0" w:rsidRPr="69AAD74F">
        <w:rPr>
          <w:rFonts w:ascii="Arial" w:eastAsia="Arial" w:hAnsi="Arial" w:cs="Arial"/>
        </w:rPr>
        <w:t xml:space="preserve"> existing strong relationships with key </w:t>
      </w:r>
      <w:r w:rsidR="00393754" w:rsidRPr="69AAD74F">
        <w:rPr>
          <w:rFonts w:ascii="Arial" w:eastAsia="Arial" w:hAnsi="Arial" w:cs="Arial"/>
        </w:rPr>
        <w:t>safety partners, including the</w:t>
      </w:r>
      <w:r w:rsidR="005A690D" w:rsidRPr="69AAD74F">
        <w:rPr>
          <w:rFonts w:ascii="Arial" w:eastAsia="Arial" w:hAnsi="Arial" w:cs="Arial"/>
        </w:rPr>
        <w:t xml:space="preserve"> safety monitoring team at</w:t>
      </w:r>
      <w:r w:rsidR="00393754" w:rsidRPr="69AAD74F">
        <w:rPr>
          <w:rFonts w:ascii="Arial" w:eastAsia="Arial" w:hAnsi="Arial" w:cs="Arial"/>
        </w:rPr>
        <w:t xml:space="preserve"> MHRA</w:t>
      </w:r>
      <w:r w:rsidR="005A690D" w:rsidRPr="69AAD74F">
        <w:rPr>
          <w:rFonts w:ascii="Arial" w:eastAsia="Arial" w:hAnsi="Arial" w:cs="Arial"/>
        </w:rPr>
        <w:t>,</w:t>
      </w:r>
      <w:r w:rsidR="00393754" w:rsidRPr="69AAD74F">
        <w:rPr>
          <w:rFonts w:ascii="Arial" w:eastAsia="Arial" w:hAnsi="Arial" w:cs="Arial"/>
        </w:rPr>
        <w:t xml:space="preserve"> </w:t>
      </w:r>
      <w:r w:rsidR="005A690D" w:rsidRPr="69AAD74F">
        <w:rPr>
          <w:rFonts w:ascii="Arial" w:eastAsia="Arial" w:hAnsi="Arial" w:cs="Arial"/>
        </w:rPr>
        <w:t>in</w:t>
      </w:r>
      <w:r w:rsidR="00393754" w:rsidRPr="69AAD74F">
        <w:rPr>
          <w:rFonts w:ascii="Arial" w:eastAsia="Arial" w:hAnsi="Arial" w:cs="Arial"/>
        </w:rPr>
        <w:t xml:space="preserve"> </w:t>
      </w:r>
      <w:r w:rsidR="005A690D" w:rsidRPr="69AAD74F">
        <w:rPr>
          <w:rFonts w:ascii="Arial" w:eastAsia="Arial" w:hAnsi="Arial" w:cs="Arial"/>
        </w:rPr>
        <w:t>support of</w:t>
      </w:r>
      <w:r w:rsidR="00393754" w:rsidRPr="69AAD74F">
        <w:rPr>
          <w:rFonts w:ascii="Arial" w:eastAsia="Arial" w:hAnsi="Arial" w:cs="Arial"/>
        </w:rPr>
        <w:t xml:space="preserve"> NICE’s ambitions of better aligned pathways for medicines and new technologies</w:t>
      </w:r>
      <w:r w:rsidR="00401109" w:rsidRPr="69AAD74F">
        <w:rPr>
          <w:rFonts w:ascii="Arial" w:eastAsia="Arial" w:hAnsi="Arial" w:cs="Arial"/>
        </w:rPr>
        <w:t xml:space="preserve">. It </w:t>
      </w:r>
      <w:r w:rsidR="719A46D7" w:rsidRPr="69AAD74F">
        <w:rPr>
          <w:rFonts w:ascii="Arial" w:eastAsia="Arial" w:hAnsi="Arial" w:cs="Arial"/>
        </w:rPr>
        <w:t xml:space="preserve">will </w:t>
      </w:r>
      <w:r w:rsidR="00401109" w:rsidRPr="69AAD74F">
        <w:rPr>
          <w:rFonts w:ascii="Arial" w:eastAsia="Arial" w:hAnsi="Arial" w:cs="Arial"/>
        </w:rPr>
        <w:t>support the continuation and development of</w:t>
      </w:r>
      <w:r w:rsidR="1722A9C0" w:rsidRPr="69AAD74F">
        <w:rPr>
          <w:rFonts w:ascii="Arial" w:eastAsia="Arial" w:hAnsi="Arial" w:cs="Arial"/>
        </w:rPr>
        <w:t xml:space="preserve"> two-way </w:t>
      </w:r>
      <w:r w:rsidR="00FC4B37">
        <w:rPr>
          <w:rFonts w:ascii="Arial" w:eastAsia="Arial" w:hAnsi="Arial" w:cs="Arial"/>
        </w:rPr>
        <w:t>safety intelligence</w:t>
      </w:r>
      <w:r w:rsidR="1722A9C0" w:rsidRPr="69AAD74F">
        <w:rPr>
          <w:rFonts w:ascii="Arial" w:eastAsia="Arial" w:hAnsi="Arial" w:cs="Arial"/>
        </w:rPr>
        <w:t xml:space="preserve"> flows and </w:t>
      </w:r>
      <w:r w:rsidR="4A7E96BE" w:rsidRPr="52F81A72">
        <w:rPr>
          <w:rFonts w:ascii="Arial" w:eastAsia="Arial" w:hAnsi="Arial" w:cs="Arial"/>
        </w:rPr>
        <w:t xml:space="preserve">facilitate </w:t>
      </w:r>
      <w:r w:rsidR="1722A9C0" w:rsidRPr="69AAD74F">
        <w:rPr>
          <w:rFonts w:ascii="Arial" w:eastAsia="Arial" w:hAnsi="Arial" w:cs="Arial"/>
        </w:rPr>
        <w:t>any remedial action needed by NICE in response</w:t>
      </w:r>
      <w:r w:rsidR="5F17A475" w:rsidRPr="52F81A72">
        <w:rPr>
          <w:rFonts w:ascii="Arial" w:eastAsia="Arial" w:hAnsi="Arial" w:cs="Arial"/>
        </w:rPr>
        <w:t xml:space="preserve"> to shared information</w:t>
      </w:r>
      <w:r w:rsidR="1722A9C0" w:rsidRPr="69AAD74F">
        <w:rPr>
          <w:rFonts w:ascii="Arial" w:eastAsia="Arial" w:hAnsi="Arial" w:cs="Arial"/>
        </w:rPr>
        <w:t>.</w:t>
      </w:r>
    </w:p>
    <w:p w14:paraId="4EF94035" w14:textId="67348A89" w:rsidR="1722A9C0" w:rsidRDefault="1722A9C0" w:rsidP="000C2D7A">
      <w:pPr>
        <w:pStyle w:val="ListParagraph"/>
        <w:spacing w:line="360" w:lineRule="auto"/>
        <w:ind w:left="851" w:hanging="425"/>
        <w:rPr>
          <w:rFonts w:ascii="Arial" w:eastAsia="Arial" w:hAnsi="Arial" w:cs="Arial"/>
        </w:rPr>
      </w:pPr>
    </w:p>
    <w:p w14:paraId="4CB49B1A" w14:textId="7D8CECBD" w:rsidR="1722A9C0" w:rsidRDefault="59EF3779" w:rsidP="000C2D7A">
      <w:pPr>
        <w:pStyle w:val="ListParagraph"/>
        <w:numPr>
          <w:ilvl w:val="0"/>
          <w:numId w:val="13"/>
        </w:numPr>
        <w:spacing w:line="360" w:lineRule="auto"/>
        <w:ind w:left="851" w:hanging="425"/>
        <w:rPr>
          <w:rFonts w:ascii="Arial" w:eastAsia="Arial" w:hAnsi="Arial" w:cs="Arial"/>
        </w:rPr>
      </w:pPr>
      <w:r w:rsidRPr="7B1AC1EE">
        <w:rPr>
          <w:rFonts w:ascii="Arial" w:eastAsia="Arial" w:hAnsi="Arial" w:cs="Arial"/>
        </w:rPr>
        <w:t>PSOG will support NICE to</w:t>
      </w:r>
      <w:r w:rsidR="1722A9C0" w:rsidRPr="7B1AC1EE">
        <w:rPr>
          <w:rFonts w:ascii="Arial" w:eastAsia="Arial" w:hAnsi="Arial" w:cs="Arial"/>
        </w:rPr>
        <w:t xml:space="preserve"> engage, where requested with the national inquiry into maternity and neonatal care and with the maternity and neonatal taskforce. This will ensure NICE guidance and standards are reflected appropriately in the outputs of the inquiry, including any enabling role it may play in improving future maternal and neonatal care quality and outcomes.</w:t>
      </w:r>
    </w:p>
    <w:p w14:paraId="2BA2331A" w14:textId="77777777" w:rsidR="00C620BF" w:rsidRPr="00C620BF" w:rsidRDefault="00C620BF" w:rsidP="000C2D7A">
      <w:pPr>
        <w:pStyle w:val="ListParagraph"/>
        <w:ind w:left="851" w:hanging="425"/>
        <w:rPr>
          <w:rFonts w:ascii="Arial" w:eastAsia="Arial" w:hAnsi="Arial" w:cs="Arial"/>
        </w:rPr>
      </w:pPr>
    </w:p>
    <w:p w14:paraId="4D0A9FD3" w14:textId="0C0A88F4" w:rsidR="00C620BF" w:rsidRDefault="16BB71E5" w:rsidP="000C2D7A">
      <w:pPr>
        <w:pStyle w:val="ListParagraph"/>
        <w:numPr>
          <w:ilvl w:val="0"/>
          <w:numId w:val="13"/>
        </w:numPr>
        <w:spacing w:line="360" w:lineRule="auto"/>
        <w:ind w:left="851" w:hanging="425"/>
        <w:rPr>
          <w:rFonts w:ascii="Arial" w:eastAsia="Arial" w:hAnsi="Arial" w:cs="Arial"/>
        </w:rPr>
      </w:pPr>
      <w:r w:rsidRPr="69AAD74F">
        <w:rPr>
          <w:rFonts w:ascii="Arial" w:eastAsia="Arial" w:hAnsi="Arial" w:cs="Arial"/>
        </w:rPr>
        <w:t>W</w:t>
      </w:r>
      <w:r w:rsidR="4B407394" w:rsidRPr="69AAD74F">
        <w:rPr>
          <w:rFonts w:ascii="Arial" w:eastAsia="Arial" w:hAnsi="Arial" w:cs="Arial"/>
        </w:rPr>
        <w:t>e will undertake proactive engagement with the coronial system</w:t>
      </w:r>
      <w:r w:rsidR="00C620BF" w:rsidRPr="69AAD74F">
        <w:rPr>
          <w:rFonts w:ascii="Arial" w:eastAsia="Arial" w:hAnsi="Arial" w:cs="Arial"/>
        </w:rPr>
        <w:t xml:space="preserve"> in England</w:t>
      </w:r>
      <w:r w:rsidR="00F64539" w:rsidRPr="69AAD74F">
        <w:rPr>
          <w:rFonts w:ascii="Arial" w:eastAsia="Arial" w:hAnsi="Arial" w:cs="Arial"/>
        </w:rPr>
        <w:t xml:space="preserve">, </w:t>
      </w:r>
      <w:r w:rsidR="00FB6FC1" w:rsidRPr="69AAD74F">
        <w:rPr>
          <w:rFonts w:ascii="Arial" w:eastAsia="Arial" w:hAnsi="Arial" w:cs="Arial"/>
        </w:rPr>
        <w:t>to improve Coroner’s understanding of</w:t>
      </w:r>
      <w:r w:rsidR="00F64539" w:rsidRPr="69AAD74F">
        <w:rPr>
          <w:rFonts w:ascii="Arial" w:eastAsia="Arial" w:hAnsi="Arial" w:cs="Arial"/>
        </w:rPr>
        <w:t xml:space="preserve"> NICE’s role and remit</w:t>
      </w:r>
      <w:r w:rsidR="00FB6FC1" w:rsidRPr="69AAD74F">
        <w:rPr>
          <w:rFonts w:ascii="Arial" w:eastAsia="Arial" w:hAnsi="Arial" w:cs="Arial"/>
        </w:rPr>
        <w:t xml:space="preserve"> by providing a dedicated briefing session to all Coroners</w:t>
      </w:r>
      <w:r w:rsidR="6D16890C" w:rsidRPr="52F81A72">
        <w:rPr>
          <w:rFonts w:ascii="Arial" w:eastAsia="Arial" w:hAnsi="Arial" w:cs="Arial"/>
        </w:rPr>
        <w:t xml:space="preserve">. </w:t>
      </w:r>
      <w:r w:rsidR="199E8419" w:rsidRPr="52F81A72">
        <w:rPr>
          <w:rFonts w:ascii="Arial" w:eastAsia="Arial" w:hAnsi="Arial" w:cs="Arial"/>
        </w:rPr>
        <w:t>W</w:t>
      </w:r>
      <w:r w:rsidR="00FB6FC1" w:rsidRPr="52F81A72">
        <w:rPr>
          <w:rFonts w:ascii="Arial" w:eastAsia="Arial" w:hAnsi="Arial" w:cs="Arial"/>
        </w:rPr>
        <w:t>e</w:t>
      </w:r>
      <w:r w:rsidR="00FB6FC1" w:rsidRPr="69AAD74F">
        <w:rPr>
          <w:rFonts w:ascii="Arial" w:eastAsia="Arial" w:hAnsi="Arial" w:cs="Arial"/>
        </w:rPr>
        <w:t xml:space="preserve"> will </w:t>
      </w:r>
      <w:r w:rsidR="37493912" w:rsidRPr="52F81A72">
        <w:rPr>
          <w:rFonts w:ascii="Arial" w:eastAsia="Arial" w:hAnsi="Arial" w:cs="Arial"/>
        </w:rPr>
        <w:t>invite a senior</w:t>
      </w:r>
      <w:r w:rsidR="00FB6FC1" w:rsidRPr="69AAD74F">
        <w:rPr>
          <w:rFonts w:ascii="Arial" w:eastAsia="Arial" w:hAnsi="Arial" w:cs="Arial"/>
        </w:rPr>
        <w:t xml:space="preserve"> Coroner </w:t>
      </w:r>
      <w:r w:rsidR="537DED1D" w:rsidRPr="52F81A72">
        <w:rPr>
          <w:rFonts w:ascii="Arial" w:eastAsia="Arial" w:hAnsi="Arial" w:cs="Arial"/>
        </w:rPr>
        <w:t xml:space="preserve">to lead </w:t>
      </w:r>
      <w:r w:rsidR="00FB6FC1" w:rsidRPr="69AAD74F">
        <w:rPr>
          <w:rFonts w:ascii="Arial" w:eastAsia="Arial" w:hAnsi="Arial" w:cs="Arial"/>
        </w:rPr>
        <w:t xml:space="preserve">a learning session for NICE staff at our internal Clinical Network meetings. </w:t>
      </w:r>
      <w:r w:rsidR="007B54CF" w:rsidRPr="69AAD74F">
        <w:rPr>
          <w:rFonts w:ascii="Arial" w:eastAsia="Arial" w:hAnsi="Arial" w:cs="Arial"/>
        </w:rPr>
        <w:t xml:space="preserve">We will audit our performance against </w:t>
      </w:r>
      <w:r w:rsidR="00B03091" w:rsidRPr="69AAD74F">
        <w:rPr>
          <w:rFonts w:ascii="Arial" w:eastAsia="Arial" w:hAnsi="Arial" w:cs="Arial"/>
        </w:rPr>
        <w:t>actions committed to in response to</w:t>
      </w:r>
      <w:r w:rsidR="007B54CF" w:rsidRPr="69AAD74F">
        <w:rPr>
          <w:rFonts w:ascii="Arial" w:eastAsia="Arial" w:hAnsi="Arial" w:cs="Arial"/>
        </w:rPr>
        <w:t xml:space="preserve"> Coroners reports annually</w:t>
      </w:r>
      <w:r w:rsidR="00B03091" w:rsidRPr="69AAD74F">
        <w:rPr>
          <w:rFonts w:ascii="Arial" w:eastAsia="Arial" w:hAnsi="Arial" w:cs="Arial"/>
        </w:rPr>
        <w:t>.</w:t>
      </w:r>
    </w:p>
    <w:p w14:paraId="001B814E" w14:textId="2BE9C823" w:rsidR="69AAD74F" w:rsidRDefault="69AAD74F" w:rsidP="000C2D7A">
      <w:pPr>
        <w:spacing w:line="360" w:lineRule="auto"/>
        <w:ind w:left="851" w:hanging="425"/>
        <w:rPr>
          <w:rFonts w:ascii="Arial" w:eastAsia="Arial" w:hAnsi="Arial" w:cs="Arial"/>
        </w:rPr>
      </w:pPr>
    </w:p>
    <w:p w14:paraId="0373533A" w14:textId="07F2B23D" w:rsidR="6C0F38E3" w:rsidRPr="008E2CFF" w:rsidRDefault="6C0F38E3" w:rsidP="000C2D7A">
      <w:pPr>
        <w:pStyle w:val="ListParagraph"/>
        <w:numPr>
          <w:ilvl w:val="0"/>
          <w:numId w:val="13"/>
        </w:numPr>
        <w:spacing w:line="360" w:lineRule="auto"/>
        <w:ind w:left="851" w:hanging="425"/>
        <w:rPr>
          <w:rFonts w:ascii="Arial" w:eastAsia="Arial" w:hAnsi="Arial" w:cs="Arial"/>
        </w:rPr>
      </w:pPr>
      <w:r w:rsidRPr="7B1EF6F5">
        <w:rPr>
          <w:rFonts w:ascii="Arial" w:eastAsia="Arial" w:hAnsi="Arial" w:cs="Arial"/>
        </w:rPr>
        <w:t xml:space="preserve">PSOG will support </w:t>
      </w:r>
      <w:r w:rsidR="07EBEC3E" w:rsidRPr="7B1EF6F5">
        <w:rPr>
          <w:rFonts w:ascii="Arial" w:eastAsia="Arial" w:hAnsi="Arial" w:cs="Arial"/>
        </w:rPr>
        <w:t xml:space="preserve">NICE </w:t>
      </w:r>
      <w:r w:rsidR="415DCDD0" w:rsidRPr="7B1EF6F5">
        <w:rPr>
          <w:rFonts w:ascii="Arial" w:eastAsia="Arial" w:hAnsi="Arial" w:cs="Arial"/>
        </w:rPr>
        <w:t>guidance development</w:t>
      </w:r>
      <w:r w:rsidRPr="7B1EF6F5">
        <w:rPr>
          <w:rFonts w:ascii="Arial" w:eastAsia="Arial" w:hAnsi="Arial" w:cs="Arial"/>
        </w:rPr>
        <w:t xml:space="preserve"> teams with the </w:t>
      </w:r>
      <w:r w:rsidR="17AFE019" w:rsidRPr="7B1EF6F5">
        <w:rPr>
          <w:rFonts w:ascii="Arial" w:eastAsia="Arial" w:hAnsi="Arial" w:cs="Arial"/>
        </w:rPr>
        <w:t xml:space="preserve">inclusion </w:t>
      </w:r>
      <w:r w:rsidRPr="7B1EF6F5">
        <w:rPr>
          <w:rFonts w:ascii="Arial" w:eastAsia="Arial" w:hAnsi="Arial" w:cs="Arial"/>
        </w:rPr>
        <w:t>of safety consideration steps in their processes and provide advice and input where requested</w:t>
      </w:r>
      <w:r w:rsidR="001A3633" w:rsidRPr="7B1EF6F5">
        <w:rPr>
          <w:rFonts w:ascii="Arial" w:eastAsia="Arial" w:hAnsi="Arial" w:cs="Arial"/>
        </w:rPr>
        <w:t xml:space="preserve">, including reviewing </w:t>
      </w:r>
      <w:r w:rsidR="009723BB" w:rsidRPr="7B1EF6F5">
        <w:rPr>
          <w:rFonts w:ascii="Arial" w:eastAsia="Arial" w:hAnsi="Arial" w:cs="Arial"/>
        </w:rPr>
        <w:t>how new steps such as enhanced safety consideration in EVA are applied</w:t>
      </w:r>
      <w:r w:rsidR="000947A9" w:rsidRPr="7B1EF6F5">
        <w:rPr>
          <w:rFonts w:ascii="Arial" w:eastAsia="Arial" w:hAnsi="Arial" w:cs="Arial"/>
        </w:rPr>
        <w:t xml:space="preserve"> and working</w:t>
      </w:r>
      <w:r w:rsidR="009723BB" w:rsidRPr="7B1EF6F5">
        <w:rPr>
          <w:rFonts w:ascii="Arial" w:eastAsia="Arial" w:hAnsi="Arial" w:cs="Arial"/>
        </w:rPr>
        <w:t xml:space="preserve">. Externally we will continue to support </w:t>
      </w:r>
      <w:r w:rsidR="13A0124A" w:rsidRPr="7B1EF6F5">
        <w:rPr>
          <w:rFonts w:ascii="Arial" w:eastAsia="Arial" w:hAnsi="Arial" w:cs="Arial"/>
        </w:rPr>
        <w:t xml:space="preserve">work led by </w:t>
      </w:r>
      <w:r w:rsidR="00C53ACE" w:rsidRPr="7B1EF6F5">
        <w:rPr>
          <w:rFonts w:ascii="Arial" w:eastAsia="Arial" w:hAnsi="Arial" w:cs="Arial"/>
        </w:rPr>
        <w:t xml:space="preserve">Professor Jane </w:t>
      </w:r>
      <w:proofErr w:type="spellStart"/>
      <w:r w:rsidR="00C53ACE" w:rsidRPr="7B1EF6F5">
        <w:rPr>
          <w:rFonts w:ascii="Arial" w:eastAsia="Arial" w:hAnsi="Arial" w:cs="Arial"/>
        </w:rPr>
        <w:t>Blazeby</w:t>
      </w:r>
      <w:proofErr w:type="spellEnd"/>
      <w:r w:rsidR="00C53ACE" w:rsidRPr="7B1EF6F5">
        <w:rPr>
          <w:rFonts w:ascii="Arial" w:eastAsia="Arial" w:hAnsi="Arial" w:cs="Arial"/>
        </w:rPr>
        <w:t xml:space="preserve"> on strengthening governance nationally for interventional procedures guidance</w:t>
      </w:r>
      <w:r w:rsidR="23CB49CA" w:rsidRPr="7B1EF6F5">
        <w:rPr>
          <w:rFonts w:ascii="Arial" w:eastAsia="Arial" w:hAnsi="Arial" w:cs="Arial"/>
        </w:rPr>
        <w:t xml:space="preserve">. </w:t>
      </w:r>
    </w:p>
    <w:p w14:paraId="785B3B80" w14:textId="4A5A731C" w:rsidR="52985236" w:rsidRDefault="1722A9C0" w:rsidP="69AAD74F">
      <w:pPr>
        <w:pStyle w:val="ListParagraph"/>
        <w:spacing w:line="360" w:lineRule="auto"/>
        <w:ind w:left="432" w:hanging="432"/>
        <w:rPr>
          <w:rFonts w:ascii="Arial" w:eastAsia="Arial" w:hAnsi="Arial" w:cs="Arial"/>
        </w:rPr>
      </w:pPr>
      <w:r w:rsidRPr="69AAD74F">
        <w:rPr>
          <w:rFonts w:ascii="Arial" w:eastAsia="Arial" w:hAnsi="Arial" w:cs="Arial"/>
        </w:rPr>
        <w:t xml:space="preserve"> </w:t>
      </w:r>
    </w:p>
    <w:p w14:paraId="4370C6F9" w14:textId="0CB69B95" w:rsidR="000A103F" w:rsidRDefault="000A103F" w:rsidP="7B1EF6F5">
      <w:pPr>
        <w:pStyle w:val="Heading1boardreport"/>
        <w:rPr>
          <w:highlight w:val="lightGray"/>
        </w:rPr>
      </w:pPr>
      <w:r>
        <w:t xml:space="preserve">Cross organisational impact </w:t>
      </w:r>
    </w:p>
    <w:p w14:paraId="588E0B68" w14:textId="77777777" w:rsidR="00AD682F" w:rsidRDefault="00AD682F" w:rsidP="00AD682F">
      <w:pPr>
        <w:pStyle w:val="NICEnormalnumbered"/>
      </w:pPr>
      <w:r>
        <w:t>Staff from across NICE who contribute to the work of PSOG should have the cross-organisational nature of this work recognised in their job role.</w:t>
      </w:r>
    </w:p>
    <w:p w14:paraId="5C588386" w14:textId="1C43D806" w:rsidR="00AD682F" w:rsidRDefault="00AD682F" w:rsidP="00AD682F">
      <w:pPr>
        <w:pStyle w:val="NICEnormalnumbered"/>
      </w:pPr>
      <w:r>
        <w:t>This will be progressed with relevant</w:t>
      </w:r>
      <w:r w:rsidR="001C14C7">
        <w:t xml:space="preserve"> and new</w:t>
      </w:r>
      <w:r>
        <w:t xml:space="preserve"> PSOG members over the coming year and captured in future annual appraisals</w:t>
      </w:r>
      <w:r w:rsidR="00EF70E6">
        <w:t>, career conversations</w:t>
      </w:r>
      <w:r>
        <w:t xml:space="preserve"> and updated role descriptions.  </w:t>
      </w:r>
    </w:p>
    <w:p w14:paraId="4ABA975A" w14:textId="77777777" w:rsidR="0017277D" w:rsidRDefault="0017277D" w:rsidP="003D3B28">
      <w:pPr>
        <w:pStyle w:val="Heading1boardreport"/>
      </w:pPr>
      <w:r w:rsidRPr="0017277D">
        <w:t>Risk assessment</w:t>
      </w:r>
      <w:r w:rsidR="000A103F">
        <w:t xml:space="preserve"> </w:t>
      </w:r>
    </w:p>
    <w:p w14:paraId="53AF4806" w14:textId="77777777" w:rsidR="007D77A3" w:rsidRDefault="00AD682F" w:rsidP="007D77A3">
      <w:pPr>
        <w:pStyle w:val="NICEnormalnumbered"/>
        <w:numPr>
          <w:ilvl w:val="0"/>
          <w:numId w:val="0"/>
        </w:numPr>
      </w:pPr>
      <w:r>
        <w:t>The team considered potential risks and concluded that this paper does not propose new or substantive change</w:t>
      </w:r>
      <w:r w:rsidR="00EF70E6">
        <w:t>s</w:t>
      </w:r>
      <w:r>
        <w:t xml:space="preserve"> to current arrangements. Any risk is therefore negligible.</w:t>
      </w:r>
    </w:p>
    <w:p w14:paraId="42FEED0C" w14:textId="19BBC633" w:rsidR="004B4705" w:rsidRDefault="000A103F" w:rsidP="007D77A3">
      <w:pPr>
        <w:pStyle w:val="Heading1boardreport"/>
      </w:pPr>
      <w:r>
        <w:t>Board action required</w:t>
      </w:r>
    </w:p>
    <w:p w14:paraId="48D8BAA1" w14:textId="77777777" w:rsidR="000A103F" w:rsidRPr="000A103F" w:rsidRDefault="000A103F" w:rsidP="000A103F">
      <w:pPr>
        <w:pStyle w:val="NICEnormalnumbered"/>
      </w:pPr>
      <w:r w:rsidRPr="000A103F">
        <w:t>The Board is asked to:</w:t>
      </w:r>
    </w:p>
    <w:p w14:paraId="3D7C8117" w14:textId="1B3E11EE" w:rsidR="00AD682F" w:rsidRPr="00205561" w:rsidRDefault="00AD682F" w:rsidP="00AD682F">
      <w:pPr>
        <w:pStyle w:val="NICEnormalnumbered"/>
        <w:numPr>
          <w:ilvl w:val="1"/>
          <w:numId w:val="39"/>
        </w:numPr>
      </w:pPr>
      <w:r w:rsidRPr="00205561">
        <w:t>Note the progress made by the patient safety team over the past year</w:t>
      </w:r>
      <w:r w:rsidR="00205561">
        <w:t>.</w:t>
      </w:r>
    </w:p>
    <w:p w14:paraId="6C711795" w14:textId="72720531" w:rsidR="009C6E2D" w:rsidRPr="00205561" w:rsidRDefault="00AD682F" w:rsidP="00A820E1">
      <w:pPr>
        <w:pStyle w:val="NICEnormalnumbered"/>
        <w:numPr>
          <w:ilvl w:val="1"/>
          <w:numId w:val="39"/>
        </w:numPr>
      </w:pPr>
      <w:r w:rsidRPr="00205561">
        <w:t>Note the planned steps for further develop</w:t>
      </w:r>
      <w:r w:rsidR="00EF70E6" w:rsidRPr="00205561">
        <w:t>ment of</w:t>
      </w:r>
      <w:r w:rsidRPr="00205561">
        <w:t xml:space="preserve"> NICE's patient safety role, in alignment with NICE's strategic objectives</w:t>
      </w:r>
      <w:r w:rsidR="00205561">
        <w:t>.</w:t>
      </w:r>
    </w:p>
    <w:p w14:paraId="49A2B33A" w14:textId="77777777" w:rsidR="004B4705" w:rsidRDefault="004B4705" w:rsidP="004511A7">
      <w:pPr>
        <w:pStyle w:val="NICEnormal"/>
      </w:pPr>
    </w:p>
    <w:p w14:paraId="01C29AE8" w14:textId="70F222E4" w:rsidR="004B4705" w:rsidRPr="00DB6F82" w:rsidRDefault="004B4705" w:rsidP="004B4705">
      <w:pPr>
        <w:pStyle w:val="NICEnormal"/>
      </w:pPr>
      <w:r>
        <w:t xml:space="preserve">© NICE </w:t>
      </w:r>
      <w:r w:rsidR="00AD682F">
        <w:t>202</w:t>
      </w:r>
      <w:r w:rsidR="00977ECF">
        <w:t>5</w:t>
      </w:r>
      <w:r>
        <w:t xml:space="preserve">. All rights reserved. </w:t>
      </w:r>
      <w:hyperlink r:id="rId21" w:anchor="notice-of-rights">
        <w:r w:rsidRPr="52985236">
          <w:rPr>
            <w:rStyle w:val="Hyperlink"/>
          </w:rPr>
          <w:t>Subject to Notice of rights</w:t>
        </w:r>
      </w:hyperlink>
      <w:r>
        <w:t>.</w:t>
      </w:r>
    </w:p>
    <w:p w14:paraId="21BD59CD" w14:textId="7E2686AF" w:rsidR="004B4705" w:rsidRDefault="00AD682F" w:rsidP="004511A7">
      <w:pPr>
        <w:pStyle w:val="NICEnormal"/>
      </w:pPr>
      <w:proofErr w:type="gramStart"/>
      <w:r>
        <w:t>December,</w:t>
      </w:r>
      <w:proofErr w:type="gramEnd"/>
      <w:r>
        <w:t xml:space="preserve"> 202</w:t>
      </w:r>
      <w:r w:rsidR="00977ECF">
        <w:t>5</w:t>
      </w:r>
    </w:p>
    <w:sectPr w:rsidR="004B4705" w:rsidSect="00B0463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E45D" w14:textId="77777777" w:rsidR="00B65DBE" w:rsidRDefault="00B65DBE">
      <w:r>
        <w:separator/>
      </w:r>
    </w:p>
  </w:endnote>
  <w:endnote w:type="continuationSeparator" w:id="0">
    <w:p w14:paraId="6A4A98DD" w14:textId="77777777" w:rsidR="00B65DBE" w:rsidRDefault="00B65DBE">
      <w:r>
        <w:continuationSeparator/>
      </w:r>
    </w:p>
  </w:endnote>
  <w:endnote w:id="1">
    <w:p w14:paraId="52F39684" w14:textId="77777777" w:rsidR="0032761E" w:rsidRDefault="0032761E">
      <w:pPr>
        <w:pStyle w:val="EndnoteText"/>
      </w:pPr>
      <w:r>
        <w:rPr>
          <w:rStyle w:val="EndnoteReference"/>
        </w:rPr>
        <w:endnoteRef/>
      </w:r>
      <w:r>
        <w:t xml:space="preserve"> Vincent C, </w:t>
      </w:r>
      <w:r w:rsidRPr="0032761E">
        <w:t>Oikonomou</w:t>
      </w:r>
      <w:r>
        <w:t xml:space="preserve"> E, </w:t>
      </w:r>
      <w:r w:rsidRPr="0032761E">
        <w:t>Carthey</w:t>
      </w:r>
      <w:r>
        <w:t xml:space="preserve"> J,</w:t>
      </w:r>
      <w:r w:rsidRPr="0032761E">
        <w:t xml:space="preserve"> Macrae</w:t>
      </w:r>
      <w:r>
        <w:t xml:space="preserve"> C. </w:t>
      </w:r>
      <w:r w:rsidRPr="0032761E">
        <w:t>Redesigning safety regulation in the NHS</w:t>
      </w:r>
      <w:r>
        <w:t xml:space="preserve">  </w:t>
      </w:r>
      <w:r w:rsidRPr="0032761E">
        <w:t>BMJ 2020;368:m760 doi: 10.1136/bmj.m760</w:t>
      </w:r>
    </w:p>
  </w:endnote>
  <w:endnote w:id="2">
    <w:p w14:paraId="3BB74645" w14:textId="77777777" w:rsidR="0055108C" w:rsidRDefault="0055108C">
      <w:pPr>
        <w:pStyle w:val="EndnoteText"/>
      </w:pPr>
      <w:r>
        <w:rPr>
          <w:rStyle w:val="EndnoteReference"/>
        </w:rPr>
        <w:endnoteRef/>
      </w:r>
      <w:r>
        <w:t xml:space="preserve"> </w:t>
      </w:r>
      <w:r w:rsidRPr="0055108C">
        <w:t>Southall S, Patrick H, Harris K, Bird C. Introducing a systematic and sustainable patient safety oversight function in a U.K. arms-length healthcare body. </w:t>
      </w:r>
      <w:r w:rsidRPr="0055108C">
        <w:rPr>
          <w:i/>
          <w:iCs/>
        </w:rPr>
        <w:t>Journal of Patient Safety and Risk Management</w:t>
      </w:r>
      <w:r w:rsidRPr="0055108C">
        <w:t>. 2024;0(0). doi:</w:t>
      </w:r>
      <w:hyperlink r:id="rId1" w:history="1">
        <w:r w:rsidRPr="0055108C">
          <w:rPr>
            <w:rStyle w:val="Hyperlink"/>
          </w:rPr>
          <w:t>10.1177/25160435241282044</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DB69" w14:textId="4D45A6E4" w:rsidR="009E4A52" w:rsidRPr="009E4A52" w:rsidRDefault="009E4A52" w:rsidP="009E4A52">
    <w:pPr>
      <w:pStyle w:val="Footer"/>
      <w:rPr>
        <w:szCs w:val="16"/>
      </w:rPr>
    </w:pPr>
    <w:r w:rsidRPr="009E4A52">
      <w:rPr>
        <w:szCs w:val="16"/>
      </w:rPr>
      <w:t>Annual report on patient safety</w:t>
    </w:r>
    <w:r w:rsidRPr="009E4A52">
      <w:rPr>
        <w:szCs w:val="16"/>
      </w:rPr>
      <w:tab/>
    </w:r>
    <w:r w:rsidRPr="009E4A52">
      <w:rPr>
        <w:szCs w:val="16"/>
      </w:rPr>
      <w:tab/>
      <w:t xml:space="preserve">Page </w:t>
    </w:r>
    <w:r w:rsidRPr="009E4A52">
      <w:rPr>
        <w:szCs w:val="16"/>
      </w:rPr>
      <w:fldChar w:fldCharType="begin"/>
    </w:r>
    <w:r w:rsidRPr="009E4A52">
      <w:rPr>
        <w:szCs w:val="16"/>
      </w:rPr>
      <w:instrText xml:space="preserve"> PAGE  \* Arabic  \* MERGEFORMAT </w:instrText>
    </w:r>
    <w:r w:rsidRPr="009E4A52">
      <w:rPr>
        <w:szCs w:val="16"/>
      </w:rPr>
      <w:fldChar w:fldCharType="separate"/>
    </w:r>
    <w:r w:rsidRPr="009E4A52">
      <w:rPr>
        <w:szCs w:val="16"/>
      </w:rPr>
      <w:t>1</w:t>
    </w:r>
    <w:r w:rsidRPr="009E4A52">
      <w:rPr>
        <w:szCs w:val="16"/>
      </w:rPr>
      <w:fldChar w:fldCharType="end"/>
    </w:r>
    <w:r w:rsidRPr="009E4A52">
      <w:rPr>
        <w:szCs w:val="16"/>
      </w:rPr>
      <w:t xml:space="preserve"> of </w:t>
    </w:r>
    <w:r w:rsidRPr="009E4A52">
      <w:rPr>
        <w:szCs w:val="16"/>
      </w:rPr>
      <w:fldChar w:fldCharType="begin"/>
    </w:r>
    <w:r w:rsidRPr="009E4A52">
      <w:rPr>
        <w:szCs w:val="16"/>
      </w:rPr>
      <w:instrText xml:space="preserve"> NUMPAGES  \* Arabic  \* MERGEFORMAT </w:instrText>
    </w:r>
    <w:r w:rsidRPr="009E4A52">
      <w:rPr>
        <w:szCs w:val="16"/>
      </w:rPr>
      <w:fldChar w:fldCharType="separate"/>
    </w:r>
    <w:r w:rsidRPr="009E4A52">
      <w:rPr>
        <w:szCs w:val="16"/>
      </w:rPr>
      <w:t>20</w:t>
    </w:r>
    <w:r w:rsidRPr="009E4A52">
      <w:rPr>
        <w:szCs w:val="16"/>
      </w:rPr>
      <w:fldChar w:fldCharType="end"/>
    </w:r>
  </w:p>
  <w:p w14:paraId="7AECFFD7" w14:textId="29757C1E" w:rsidR="004B4705" w:rsidRPr="009E4A52" w:rsidRDefault="009E4A52" w:rsidP="004B4705">
    <w:pPr>
      <w:pStyle w:val="Footer"/>
      <w:tabs>
        <w:tab w:val="right" w:pos="8931"/>
        <w:tab w:val="right" w:pos="13892"/>
      </w:tabs>
      <w:rPr>
        <w:szCs w:val="16"/>
      </w:rPr>
    </w:pPr>
    <w:r w:rsidRPr="009E4A52">
      <w:rPr>
        <w:szCs w:val="16"/>
      </w:rPr>
      <w:t>Public Board meeting</w:t>
    </w:r>
    <w:r w:rsidR="004B4705" w:rsidRPr="009E4A52">
      <w:rPr>
        <w:szCs w:val="16"/>
      </w:rPr>
      <w:tab/>
    </w:r>
    <w:r w:rsidR="003B7BCF" w:rsidRPr="009E4A52">
      <w:rPr>
        <w:szCs w:val="16"/>
      </w:rPr>
      <w:tab/>
    </w:r>
  </w:p>
  <w:p w14:paraId="6D97BE2B" w14:textId="732B3F19" w:rsidR="004B4705" w:rsidRPr="002A231B" w:rsidRDefault="446D95DD" w:rsidP="004B4705">
    <w:pPr>
      <w:pStyle w:val="Footer"/>
    </w:pPr>
    <w:r w:rsidRPr="009E4A52">
      <w:t xml:space="preserve">10 December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23F5" w14:textId="77777777" w:rsidR="00B65DBE" w:rsidRDefault="00B65DBE">
      <w:r>
        <w:separator/>
      </w:r>
    </w:p>
  </w:footnote>
  <w:footnote w:type="continuationSeparator" w:id="0">
    <w:p w14:paraId="50DDA2F9" w14:textId="77777777" w:rsidR="00B65DBE" w:rsidRDefault="00B65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A346" w14:textId="77777777" w:rsidR="00241DA3" w:rsidRDefault="00241DA3" w:rsidP="006E0F0C">
    <w:pPr>
      <w:pStyle w:val="Header"/>
      <w:ind w:left="0"/>
    </w:pPr>
    <w:r w:rsidRPr="0078208D">
      <w:rPr>
        <w:noProof/>
      </w:rPr>
      <w:drawing>
        <wp:anchor distT="0" distB="0" distL="114300" distR="114300" simplePos="0" relativeHeight="251658240" behindDoc="0" locked="0" layoutInCell="1" allowOverlap="1" wp14:anchorId="53B7D7FD" wp14:editId="06A4474A">
          <wp:simplePos x="0" y="0"/>
          <wp:positionH relativeFrom="column">
            <wp:posOffset>0</wp:posOffset>
          </wp:positionH>
          <wp:positionV relativeFrom="paragraph">
            <wp:posOffset>1270</wp:posOffset>
          </wp:positionV>
          <wp:extent cx="2400300" cy="600075"/>
          <wp:effectExtent l="0" t="0" r="0" b="9525"/>
          <wp:wrapSquare wrapText="bothSides"/>
          <wp:docPr id="13914964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96419"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anchor>
      </w:drawing>
    </w:r>
    <w:r w:rsidR="006E0F0C">
      <w:tab/>
    </w:r>
  </w:p>
  <w:p w14:paraId="2C7CF334" w14:textId="6085B5BB" w:rsidR="004B4705" w:rsidRPr="006E0F0C" w:rsidRDefault="00241DA3" w:rsidP="006E0F0C">
    <w:pPr>
      <w:pStyle w:val="Header"/>
      <w:ind w:left="0"/>
    </w:pPr>
    <w:r>
      <w:tab/>
    </w:r>
    <w:r w:rsidR="006E0F0C">
      <w:tab/>
    </w:r>
    <w:r w:rsidR="006E0F0C" w:rsidRPr="009E4A52">
      <w:t xml:space="preserve">Item </w:t>
    </w:r>
    <w:r w:rsidR="009E4A52" w:rsidRPr="009E4A52">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5BFF8"/>
    <w:multiLevelType w:val="hybridMultilevel"/>
    <w:tmpl w:val="FFFFFFFF"/>
    <w:lvl w:ilvl="0" w:tplc="F2BA8284">
      <w:start w:val="1"/>
      <w:numFmt w:val="bullet"/>
      <w:lvlText w:val=""/>
      <w:lvlJc w:val="left"/>
      <w:pPr>
        <w:ind w:left="720" w:hanging="360"/>
      </w:pPr>
      <w:rPr>
        <w:rFonts w:ascii="Symbol" w:hAnsi="Symbol" w:hint="default"/>
      </w:rPr>
    </w:lvl>
    <w:lvl w:ilvl="1" w:tplc="766A25D4">
      <w:start w:val="1"/>
      <w:numFmt w:val="bullet"/>
      <w:lvlText w:val="o"/>
      <w:lvlJc w:val="left"/>
      <w:pPr>
        <w:ind w:left="1440" w:hanging="360"/>
      </w:pPr>
      <w:rPr>
        <w:rFonts w:ascii="Courier New" w:hAnsi="Courier New" w:hint="default"/>
      </w:rPr>
    </w:lvl>
    <w:lvl w:ilvl="2" w:tplc="78164482">
      <w:start w:val="1"/>
      <w:numFmt w:val="bullet"/>
      <w:lvlText w:val=""/>
      <w:lvlJc w:val="left"/>
      <w:pPr>
        <w:ind w:left="2160" w:hanging="360"/>
      </w:pPr>
      <w:rPr>
        <w:rFonts w:ascii="Wingdings" w:hAnsi="Wingdings" w:hint="default"/>
      </w:rPr>
    </w:lvl>
    <w:lvl w:ilvl="3" w:tplc="99CA53EC">
      <w:start w:val="1"/>
      <w:numFmt w:val="bullet"/>
      <w:lvlText w:val=""/>
      <w:lvlJc w:val="left"/>
      <w:pPr>
        <w:ind w:left="2880" w:hanging="360"/>
      </w:pPr>
      <w:rPr>
        <w:rFonts w:ascii="Symbol" w:hAnsi="Symbol" w:hint="default"/>
      </w:rPr>
    </w:lvl>
    <w:lvl w:ilvl="4" w:tplc="0A68A03A">
      <w:start w:val="1"/>
      <w:numFmt w:val="bullet"/>
      <w:lvlText w:val="o"/>
      <w:lvlJc w:val="left"/>
      <w:pPr>
        <w:ind w:left="3600" w:hanging="360"/>
      </w:pPr>
      <w:rPr>
        <w:rFonts w:ascii="Courier New" w:hAnsi="Courier New" w:hint="default"/>
      </w:rPr>
    </w:lvl>
    <w:lvl w:ilvl="5" w:tplc="516E6C0C">
      <w:start w:val="1"/>
      <w:numFmt w:val="bullet"/>
      <w:lvlText w:val=""/>
      <w:lvlJc w:val="left"/>
      <w:pPr>
        <w:ind w:left="4320" w:hanging="360"/>
      </w:pPr>
      <w:rPr>
        <w:rFonts w:ascii="Wingdings" w:hAnsi="Wingdings" w:hint="default"/>
      </w:rPr>
    </w:lvl>
    <w:lvl w:ilvl="6" w:tplc="7B7CE618">
      <w:start w:val="1"/>
      <w:numFmt w:val="bullet"/>
      <w:lvlText w:val=""/>
      <w:lvlJc w:val="left"/>
      <w:pPr>
        <w:ind w:left="5040" w:hanging="360"/>
      </w:pPr>
      <w:rPr>
        <w:rFonts w:ascii="Symbol" w:hAnsi="Symbol" w:hint="default"/>
      </w:rPr>
    </w:lvl>
    <w:lvl w:ilvl="7" w:tplc="DE169B5E">
      <w:start w:val="1"/>
      <w:numFmt w:val="bullet"/>
      <w:lvlText w:val="o"/>
      <w:lvlJc w:val="left"/>
      <w:pPr>
        <w:ind w:left="5760" w:hanging="360"/>
      </w:pPr>
      <w:rPr>
        <w:rFonts w:ascii="Courier New" w:hAnsi="Courier New" w:hint="default"/>
      </w:rPr>
    </w:lvl>
    <w:lvl w:ilvl="8" w:tplc="D110C97A">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6122CD"/>
    <w:multiLevelType w:val="multilevel"/>
    <w:tmpl w:val="8E5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15797"/>
    <w:multiLevelType w:val="hybridMultilevel"/>
    <w:tmpl w:val="4FD88FF2"/>
    <w:lvl w:ilvl="0" w:tplc="FFFFFFFF">
      <w:start w:val="1"/>
      <w:numFmt w:val="bullet"/>
      <w:pStyle w:val="Paragraph"/>
      <w:lvlText w:val=""/>
      <w:lvlJc w:val="left"/>
      <w:pPr>
        <w:ind w:left="720" w:hanging="360"/>
      </w:pPr>
      <w:rPr>
        <w:rFonts w:ascii="Symbol" w:hAnsi="Symbol" w:hint="default"/>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4CDACBC"/>
    <w:multiLevelType w:val="hybridMultilevel"/>
    <w:tmpl w:val="A8D09EDA"/>
    <w:lvl w:ilvl="0" w:tplc="B48E2146">
      <w:start w:val="1"/>
      <w:numFmt w:val="bullet"/>
      <w:lvlText w:val="·"/>
      <w:lvlJc w:val="left"/>
      <w:pPr>
        <w:ind w:left="720" w:hanging="360"/>
      </w:pPr>
      <w:rPr>
        <w:rFonts w:ascii="Symbol" w:hAnsi="Symbol" w:hint="default"/>
      </w:rPr>
    </w:lvl>
    <w:lvl w:ilvl="1" w:tplc="FE3AC5C4">
      <w:start w:val="1"/>
      <w:numFmt w:val="bullet"/>
      <w:lvlText w:val="o"/>
      <w:lvlJc w:val="left"/>
      <w:pPr>
        <w:ind w:left="1440" w:hanging="360"/>
      </w:pPr>
      <w:rPr>
        <w:rFonts w:ascii="Courier New" w:hAnsi="Courier New" w:hint="default"/>
      </w:rPr>
    </w:lvl>
    <w:lvl w:ilvl="2" w:tplc="6246908C">
      <w:start w:val="1"/>
      <w:numFmt w:val="bullet"/>
      <w:lvlText w:val=""/>
      <w:lvlJc w:val="left"/>
      <w:pPr>
        <w:ind w:left="2160" w:hanging="360"/>
      </w:pPr>
      <w:rPr>
        <w:rFonts w:ascii="Wingdings" w:hAnsi="Wingdings" w:hint="default"/>
      </w:rPr>
    </w:lvl>
    <w:lvl w:ilvl="3" w:tplc="B02864F2">
      <w:start w:val="1"/>
      <w:numFmt w:val="bullet"/>
      <w:lvlText w:val=""/>
      <w:lvlJc w:val="left"/>
      <w:pPr>
        <w:ind w:left="2880" w:hanging="360"/>
      </w:pPr>
      <w:rPr>
        <w:rFonts w:ascii="Symbol" w:hAnsi="Symbol" w:hint="default"/>
      </w:rPr>
    </w:lvl>
    <w:lvl w:ilvl="4" w:tplc="EEE09242">
      <w:start w:val="1"/>
      <w:numFmt w:val="bullet"/>
      <w:lvlText w:val="o"/>
      <w:lvlJc w:val="left"/>
      <w:pPr>
        <w:ind w:left="3600" w:hanging="360"/>
      </w:pPr>
      <w:rPr>
        <w:rFonts w:ascii="Courier New" w:hAnsi="Courier New" w:hint="default"/>
      </w:rPr>
    </w:lvl>
    <w:lvl w:ilvl="5" w:tplc="6A9A111A">
      <w:start w:val="1"/>
      <w:numFmt w:val="bullet"/>
      <w:lvlText w:val=""/>
      <w:lvlJc w:val="left"/>
      <w:pPr>
        <w:ind w:left="4320" w:hanging="360"/>
      </w:pPr>
      <w:rPr>
        <w:rFonts w:ascii="Wingdings" w:hAnsi="Wingdings" w:hint="default"/>
      </w:rPr>
    </w:lvl>
    <w:lvl w:ilvl="6" w:tplc="953C9D04">
      <w:start w:val="1"/>
      <w:numFmt w:val="bullet"/>
      <w:lvlText w:val=""/>
      <w:lvlJc w:val="left"/>
      <w:pPr>
        <w:ind w:left="5040" w:hanging="360"/>
      </w:pPr>
      <w:rPr>
        <w:rFonts w:ascii="Symbol" w:hAnsi="Symbol" w:hint="default"/>
      </w:rPr>
    </w:lvl>
    <w:lvl w:ilvl="7" w:tplc="1B56011C">
      <w:start w:val="1"/>
      <w:numFmt w:val="bullet"/>
      <w:lvlText w:val="o"/>
      <w:lvlJc w:val="left"/>
      <w:pPr>
        <w:ind w:left="5760" w:hanging="360"/>
      </w:pPr>
      <w:rPr>
        <w:rFonts w:ascii="Courier New" w:hAnsi="Courier New" w:hint="default"/>
      </w:rPr>
    </w:lvl>
    <w:lvl w:ilvl="8" w:tplc="D8469754">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DE25E"/>
    <w:multiLevelType w:val="hybridMultilevel"/>
    <w:tmpl w:val="FFFFFFFF"/>
    <w:lvl w:ilvl="0" w:tplc="37DA0D88">
      <w:start w:val="1"/>
      <w:numFmt w:val="bullet"/>
      <w:lvlText w:val=""/>
      <w:lvlJc w:val="left"/>
      <w:pPr>
        <w:ind w:left="720" w:hanging="360"/>
      </w:pPr>
      <w:rPr>
        <w:rFonts w:ascii="Symbol" w:hAnsi="Symbol" w:hint="default"/>
      </w:rPr>
    </w:lvl>
    <w:lvl w:ilvl="1" w:tplc="78805BC8">
      <w:start w:val="1"/>
      <w:numFmt w:val="bullet"/>
      <w:lvlText w:val="o"/>
      <w:lvlJc w:val="left"/>
      <w:pPr>
        <w:ind w:left="1440" w:hanging="360"/>
      </w:pPr>
      <w:rPr>
        <w:rFonts w:ascii="Courier New" w:hAnsi="Courier New" w:hint="default"/>
      </w:rPr>
    </w:lvl>
    <w:lvl w:ilvl="2" w:tplc="62548C24">
      <w:start w:val="1"/>
      <w:numFmt w:val="bullet"/>
      <w:lvlText w:val=""/>
      <w:lvlJc w:val="left"/>
      <w:pPr>
        <w:ind w:left="2160" w:hanging="360"/>
      </w:pPr>
      <w:rPr>
        <w:rFonts w:ascii="Wingdings" w:hAnsi="Wingdings" w:hint="default"/>
      </w:rPr>
    </w:lvl>
    <w:lvl w:ilvl="3" w:tplc="EAFC5F8C">
      <w:start w:val="1"/>
      <w:numFmt w:val="bullet"/>
      <w:lvlText w:val=""/>
      <w:lvlJc w:val="left"/>
      <w:pPr>
        <w:ind w:left="2880" w:hanging="360"/>
      </w:pPr>
      <w:rPr>
        <w:rFonts w:ascii="Symbol" w:hAnsi="Symbol" w:hint="default"/>
      </w:rPr>
    </w:lvl>
    <w:lvl w:ilvl="4" w:tplc="F23EFD24">
      <w:start w:val="1"/>
      <w:numFmt w:val="bullet"/>
      <w:lvlText w:val="o"/>
      <w:lvlJc w:val="left"/>
      <w:pPr>
        <w:ind w:left="3600" w:hanging="360"/>
      </w:pPr>
      <w:rPr>
        <w:rFonts w:ascii="Courier New" w:hAnsi="Courier New" w:hint="default"/>
      </w:rPr>
    </w:lvl>
    <w:lvl w:ilvl="5" w:tplc="DEDE8AC8">
      <w:start w:val="1"/>
      <w:numFmt w:val="bullet"/>
      <w:lvlText w:val=""/>
      <w:lvlJc w:val="left"/>
      <w:pPr>
        <w:ind w:left="4320" w:hanging="360"/>
      </w:pPr>
      <w:rPr>
        <w:rFonts w:ascii="Wingdings" w:hAnsi="Wingdings" w:hint="default"/>
      </w:rPr>
    </w:lvl>
    <w:lvl w:ilvl="6" w:tplc="93D2807C">
      <w:start w:val="1"/>
      <w:numFmt w:val="bullet"/>
      <w:lvlText w:val=""/>
      <w:lvlJc w:val="left"/>
      <w:pPr>
        <w:ind w:left="5040" w:hanging="360"/>
      </w:pPr>
      <w:rPr>
        <w:rFonts w:ascii="Symbol" w:hAnsi="Symbol" w:hint="default"/>
      </w:rPr>
    </w:lvl>
    <w:lvl w:ilvl="7" w:tplc="ABCC3D1E">
      <w:start w:val="1"/>
      <w:numFmt w:val="bullet"/>
      <w:lvlText w:val="o"/>
      <w:lvlJc w:val="left"/>
      <w:pPr>
        <w:ind w:left="5760" w:hanging="360"/>
      </w:pPr>
      <w:rPr>
        <w:rFonts w:ascii="Courier New" w:hAnsi="Courier New" w:hint="default"/>
      </w:rPr>
    </w:lvl>
    <w:lvl w:ilvl="8" w:tplc="35A0BBCC">
      <w:start w:val="1"/>
      <w:numFmt w:val="bullet"/>
      <w:lvlText w:val=""/>
      <w:lvlJc w:val="left"/>
      <w:pPr>
        <w:ind w:left="6480" w:hanging="360"/>
      </w:pPr>
      <w:rPr>
        <w:rFonts w:ascii="Wingdings" w:hAnsi="Wingdings" w:hint="default"/>
      </w:r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EF86CE"/>
    <w:multiLevelType w:val="hybridMultilevel"/>
    <w:tmpl w:val="811685D0"/>
    <w:lvl w:ilvl="0" w:tplc="FB047790">
      <w:start w:val="1"/>
      <w:numFmt w:val="bullet"/>
      <w:lvlText w:val="·"/>
      <w:lvlJc w:val="left"/>
      <w:pPr>
        <w:ind w:left="720" w:hanging="360"/>
      </w:pPr>
      <w:rPr>
        <w:rFonts w:ascii="Symbol" w:hAnsi="Symbol" w:hint="default"/>
      </w:rPr>
    </w:lvl>
    <w:lvl w:ilvl="1" w:tplc="615207FC">
      <w:start w:val="1"/>
      <w:numFmt w:val="bullet"/>
      <w:lvlText w:val="o"/>
      <w:lvlJc w:val="left"/>
      <w:pPr>
        <w:ind w:left="1440" w:hanging="360"/>
      </w:pPr>
      <w:rPr>
        <w:rFonts w:ascii="Courier New" w:hAnsi="Courier New" w:hint="default"/>
      </w:rPr>
    </w:lvl>
    <w:lvl w:ilvl="2" w:tplc="C324C3E2">
      <w:start w:val="1"/>
      <w:numFmt w:val="bullet"/>
      <w:lvlText w:val=""/>
      <w:lvlJc w:val="left"/>
      <w:pPr>
        <w:ind w:left="2160" w:hanging="360"/>
      </w:pPr>
      <w:rPr>
        <w:rFonts w:ascii="Wingdings" w:hAnsi="Wingdings" w:hint="default"/>
      </w:rPr>
    </w:lvl>
    <w:lvl w:ilvl="3" w:tplc="27AEA794">
      <w:start w:val="1"/>
      <w:numFmt w:val="bullet"/>
      <w:lvlText w:val=""/>
      <w:lvlJc w:val="left"/>
      <w:pPr>
        <w:ind w:left="2880" w:hanging="360"/>
      </w:pPr>
      <w:rPr>
        <w:rFonts w:ascii="Symbol" w:hAnsi="Symbol" w:hint="default"/>
      </w:rPr>
    </w:lvl>
    <w:lvl w:ilvl="4" w:tplc="843A0A78">
      <w:start w:val="1"/>
      <w:numFmt w:val="bullet"/>
      <w:lvlText w:val="o"/>
      <w:lvlJc w:val="left"/>
      <w:pPr>
        <w:ind w:left="3600" w:hanging="360"/>
      </w:pPr>
      <w:rPr>
        <w:rFonts w:ascii="Courier New" w:hAnsi="Courier New" w:hint="default"/>
      </w:rPr>
    </w:lvl>
    <w:lvl w:ilvl="5" w:tplc="F22AC1CC">
      <w:start w:val="1"/>
      <w:numFmt w:val="bullet"/>
      <w:lvlText w:val=""/>
      <w:lvlJc w:val="left"/>
      <w:pPr>
        <w:ind w:left="4320" w:hanging="360"/>
      </w:pPr>
      <w:rPr>
        <w:rFonts w:ascii="Wingdings" w:hAnsi="Wingdings" w:hint="default"/>
      </w:rPr>
    </w:lvl>
    <w:lvl w:ilvl="6" w:tplc="218EC500">
      <w:start w:val="1"/>
      <w:numFmt w:val="bullet"/>
      <w:lvlText w:val=""/>
      <w:lvlJc w:val="left"/>
      <w:pPr>
        <w:ind w:left="5040" w:hanging="360"/>
      </w:pPr>
      <w:rPr>
        <w:rFonts w:ascii="Symbol" w:hAnsi="Symbol" w:hint="default"/>
      </w:rPr>
    </w:lvl>
    <w:lvl w:ilvl="7" w:tplc="2EEC5BDA">
      <w:start w:val="1"/>
      <w:numFmt w:val="bullet"/>
      <w:lvlText w:val="o"/>
      <w:lvlJc w:val="left"/>
      <w:pPr>
        <w:ind w:left="5760" w:hanging="360"/>
      </w:pPr>
      <w:rPr>
        <w:rFonts w:ascii="Courier New" w:hAnsi="Courier New" w:hint="default"/>
      </w:rPr>
    </w:lvl>
    <w:lvl w:ilvl="8" w:tplc="4CCC9EA6">
      <w:start w:val="1"/>
      <w:numFmt w:val="bullet"/>
      <w:lvlText w:val=""/>
      <w:lvlJc w:val="left"/>
      <w:pPr>
        <w:ind w:left="6480" w:hanging="360"/>
      </w:pPr>
      <w:rPr>
        <w:rFonts w:ascii="Wingdings" w:hAnsi="Wingding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E1A7E"/>
    <w:multiLevelType w:val="multilevel"/>
    <w:tmpl w:val="317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CD7698"/>
    <w:multiLevelType w:val="hybridMultilevel"/>
    <w:tmpl w:val="7098E84C"/>
    <w:lvl w:ilvl="0" w:tplc="2C74EBE8">
      <w:start w:val="1"/>
      <w:numFmt w:val="bullet"/>
      <w:lvlText w:val=""/>
      <w:lvlJc w:val="left"/>
      <w:pPr>
        <w:ind w:left="720" w:hanging="360"/>
      </w:pPr>
      <w:rPr>
        <w:rFonts w:ascii="Symbol" w:hAnsi="Symbol" w:hint="default"/>
      </w:rPr>
    </w:lvl>
    <w:lvl w:ilvl="1" w:tplc="C6345086">
      <w:start w:val="1"/>
      <w:numFmt w:val="bullet"/>
      <w:lvlText w:val="o"/>
      <w:lvlJc w:val="left"/>
      <w:pPr>
        <w:ind w:left="1440" w:hanging="360"/>
      </w:pPr>
      <w:rPr>
        <w:rFonts w:ascii="Courier New" w:hAnsi="Courier New" w:hint="default"/>
      </w:rPr>
    </w:lvl>
    <w:lvl w:ilvl="2" w:tplc="B36E1C44">
      <w:start w:val="1"/>
      <w:numFmt w:val="bullet"/>
      <w:lvlText w:val=""/>
      <w:lvlJc w:val="left"/>
      <w:pPr>
        <w:ind w:left="2160" w:hanging="360"/>
      </w:pPr>
      <w:rPr>
        <w:rFonts w:ascii="Wingdings" w:hAnsi="Wingdings" w:hint="default"/>
      </w:rPr>
    </w:lvl>
    <w:lvl w:ilvl="3" w:tplc="9D56909C">
      <w:start w:val="1"/>
      <w:numFmt w:val="bullet"/>
      <w:lvlText w:val=""/>
      <w:lvlJc w:val="left"/>
      <w:pPr>
        <w:ind w:left="2880" w:hanging="360"/>
      </w:pPr>
      <w:rPr>
        <w:rFonts w:ascii="Symbol" w:hAnsi="Symbol" w:hint="default"/>
      </w:rPr>
    </w:lvl>
    <w:lvl w:ilvl="4" w:tplc="292E4678">
      <w:start w:val="1"/>
      <w:numFmt w:val="bullet"/>
      <w:lvlText w:val="o"/>
      <w:lvlJc w:val="left"/>
      <w:pPr>
        <w:ind w:left="3600" w:hanging="360"/>
      </w:pPr>
      <w:rPr>
        <w:rFonts w:ascii="Courier New" w:hAnsi="Courier New" w:hint="default"/>
      </w:rPr>
    </w:lvl>
    <w:lvl w:ilvl="5" w:tplc="FAD6AC70">
      <w:start w:val="1"/>
      <w:numFmt w:val="bullet"/>
      <w:lvlText w:val=""/>
      <w:lvlJc w:val="left"/>
      <w:pPr>
        <w:ind w:left="4320" w:hanging="360"/>
      </w:pPr>
      <w:rPr>
        <w:rFonts w:ascii="Wingdings" w:hAnsi="Wingdings" w:hint="default"/>
      </w:rPr>
    </w:lvl>
    <w:lvl w:ilvl="6" w:tplc="B2B2C88C">
      <w:start w:val="1"/>
      <w:numFmt w:val="bullet"/>
      <w:lvlText w:val=""/>
      <w:lvlJc w:val="left"/>
      <w:pPr>
        <w:ind w:left="5040" w:hanging="360"/>
      </w:pPr>
      <w:rPr>
        <w:rFonts w:ascii="Symbol" w:hAnsi="Symbol" w:hint="default"/>
      </w:rPr>
    </w:lvl>
    <w:lvl w:ilvl="7" w:tplc="4F8637AA">
      <w:start w:val="1"/>
      <w:numFmt w:val="bullet"/>
      <w:lvlText w:val="o"/>
      <w:lvlJc w:val="left"/>
      <w:pPr>
        <w:ind w:left="5760" w:hanging="360"/>
      </w:pPr>
      <w:rPr>
        <w:rFonts w:ascii="Courier New" w:hAnsi="Courier New" w:hint="default"/>
      </w:rPr>
    </w:lvl>
    <w:lvl w:ilvl="8" w:tplc="EC82C29C">
      <w:start w:val="1"/>
      <w:numFmt w:val="bullet"/>
      <w:lvlText w:val=""/>
      <w:lvlJc w:val="left"/>
      <w:pPr>
        <w:ind w:left="6480" w:hanging="360"/>
      </w:pPr>
      <w:rPr>
        <w:rFonts w:ascii="Wingdings" w:hAnsi="Wingdings" w:hint="default"/>
      </w:rPr>
    </w:lvl>
  </w:abstractNum>
  <w:abstractNum w:abstractNumId="1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B6F0FB6"/>
    <w:multiLevelType w:val="hybridMultilevel"/>
    <w:tmpl w:val="C83C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F9FD40"/>
    <w:multiLevelType w:val="hybridMultilevel"/>
    <w:tmpl w:val="FFFFFFFF"/>
    <w:lvl w:ilvl="0" w:tplc="AA6C87AC">
      <w:start w:val="1"/>
      <w:numFmt w:val="bullet"/>
      <w:lvlText w:val=""/>
      <w:lvlJc w:val="left"/>
      <w:pPr>
        <w:ind w:left="720" w:hanging="360"/>
      </w:pPr>
      <w:rPr>
        <w:rFonts w:ascii="Symbol" w:hAnsi="Symbol" w:hint="default"/>
      </w:rPr>
    </w:lvl>
    <w:lvl w:ilvl="1" w:tplc="3F6CA6F6">
      <w:start w:val="1"/>
      <w:numFmt w:val="bullet"/>
      <w:lvlText w:val="o"/>
      <w:lvlJc w:val="left"/>
      <w:pPr>
        <w:ind w:left="1440" w:hanging="360"/>
      </w:pPr>
      <w:rPr>
        <w:rFonts w:ascii="Courier New" w:hAnsi="Courier New" w:hint="default"/>
      </w:rPr>
    </w:lvl>
    <w:lvl w:ilvl="2" w:tplc="B1AE03E0">
      <w:start w:val="1"/>
      <w:numFmt w:val="bullet"/>
      <w:lvlText w:val=""/>
      <w:lvlJc w:val="left"/>
      <w:pPr>
        <w:ind w:left="2160" w:hanging="360"/>
      </w:pPr>
      <w:rPr>
        <w:rFonts w:ascii="Wingdings" w:hAnsi="Wingdings" w:hint="default"/>
      </w:rPr>
    </w:lvl>
    <w:lvl w:ilvl="3" w:tplc="F9A6ECB2">
      <w:start w:val="1"/>
      <w:numFmt w:val="bullet"/>
      <w:lvlText w:val=""/>
      <w:lvlJc w:val="left"/>
      <w:pPr>
        <w:ind w:left="2880" w:hanging="360"/>
      </w:pPr>
      <w:rPr>
        <w:rFonts w:ascii="Symbol" w:hAnsi="Symbol" w:hint="default"/>
      </w:rPr>
    </w:lvl>
    <w:lvl w:ilvl="4" w:tplc="F7F29512">
      <w:start w:val="1"/>
      <w:numFmt w:val="bullet"/>
      <w:lvlText w:val="o"/>
      <w:lvlJc w:val="left"/>
      <w:pPr>
        <w:ind w:left="3600" w:hanging="360"/>
      </w:pPr>
      <w:rPr>
        <w:rFonts w:ascii="Courier New" w:hAnsi="Courier New" w:hint="default"/>
      </w:rPr>
    </w:lvl>
    <w:lvl w:ilvl="5" w:tplc="66E84DA0">
      <w:start w:val="1"/>
      <w:numFmt w:val="bullet"/>
      <w:lvlText w:val=""/>
      <w:lvlJc w:val="left"/>
      <w:pPr>
        <w:ind w:left="4320" w:hanging="360"/>
      </w:pPr>
      <w:rPr>
        <w:rFonts w:ascii="Wingdings" w:hAnsi="Wingdings" w:hint="default"/>
      </w:rPr>
    </w:lvl>
    <w:lvl w:ilvl="6" w:tplc="7F624652">
      <w:start w:val="1"/>
      <w:numFmt w:val="bullet"/>
      <w:lvlText w:val=""/>
      <w:lvlJc w:val="left"/>
      <w:pPr>
        <w:ind w:left="5040" w:hanging="360"/>
      </w:pPr>
      <w:rPr>
        <w:rFonts w:ascii="Symbol" w:hAnsi="Symbol" w:hint="default"/>
      </w:rPr>
    </w:lvl>
    <w:lvl w:ilvl="7" w:tplc="239EDC06">
      <w:start w:val="1"/>
      <w:numFmt w:val="bullet"/>
      <w:lvlText w:val="o"/>
      <w:lvlJc w:val="left"/>
      <w:pPr>
        <w:ind w:left="5760" w:hanging="360"/>
      </w:pPr>
      <w:rPr>
        <w:rFonts w:ascii="Courier New" w:hAnsi="Courier New" w:hint="default"/>
      </w:rPr>
    </w:lvl>
    <w:lvl w:ilvl="8" w:tplc="529E052E">
      <w:start w:val="1"/>
      <w:numFmt w:val="bullet"/>
      <w:lvlText w:val=""/>
      <w:lvlJc w:val="left"/>
      <w:pPr>
        <w:ind w:left="6480" w:hanging="360"/>
      </w:pPr>
      <w:rPr>
        <w:rFonts w:ascii="Wingdings" w:hAnsi="Wingdings" w:hint="default"/>
      </w:rPr>
    </w:lvl>
  </w:abstractNum>
  <w:abstractNum w:abstractNumId="24" w15:restartNumberingAfterBreak="0">
    <w:nsid w:val="3F7DA963"/>
    <w:multiLevelType w:val="multilevel"/>
    <w:tmpl w:val="81145D28"/>
    <w:lvl w:ilvl="0">
      <w:start w:val="1"/>
      <w:numFmt w:val="bullet"/>
      <w:lvlText w:val=""/>
      <w:lvlJc w:val="left"/>
      <w:pPr>
        <w:ind w:left="1004" w:hanging="284"/>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587003C"/>
    <w:multiLevelType w:val="hybridMultilevel"/>
    <w:tmpl w:val="4B985948"/>
    <w:lvl w:ilvl="0" w:tplc="A3A6B3CC">
      <w:start w:val="9"/>
      <w:numFmt w:val="decimal"/>
      <w:lvlText w:val="9"/>
      <w:lvlJc w:val="left"/>
      <w:pPr>
        <w:ind w:left="720" w:hanging="360"/>
      </w:pPr>
    </w:lvl>
    <w:lvl w:ilvl="1" w:tplc="1F9279A0">
      <w:start w:val="1"/>
      <w:numFmt w:val="lowerLetter"/>
      <w:lvlText w:val="%2."/>
      <w:lvlJc w:val="left"/>
      <w:pPr>
        <w:ind w:left="1440" w:hanging="360"/>
      </w:pPr>
    </w:lvl>
    <w:lvl w:ilvl="2" w:tplc="93D49130">
      <w:start w:val="1"/>
      <w:numFmt w:val="lowerRoman"/>
      <w:lvlText w:val="%3."/>
      <w:lvlJc w:val="right"/>
      <w:pPr>
        <w:ind w:left="2160" w:hanging="180"/>
      </w:pPr>
    </w:lvl>
    <w:lvl w:ilvl="3" w:tplc="88A0DBB4">
      <w:start w:val="1"/>
      <w:numFmt w:val="decimal"/>
      <w:lvlText w:val="%4."/>
      <w:lvlJc w:val="left"/>
      <w:pPr>
        <w:ind w:left="2880" w:hanging="360"/>
      </w:pPr>
    </w:lvl>
    <w:lvl w:ilvl="4" w:tplc="1722F21E">
      <w:start w:val="1"/>
      <w:numFmt w:val="lowerLetter"/>
      <w:lvlText w:val="%5."/>
      <w:lvlJc w:val="left"/>
      <w:pPr>
        <w:ind w:left="3600" w:hanging="360"/>
      </w:pPr>
    </w:lvl>
    <w:lvl w:ilvl="5" w:tplc="FBD839DA">
      <w:start w:val="1"/>
      <w:numFmt w:val="lowerRoman"/>
      <w:lvlText w:val="%6."/>
      <w:lvlJc w:val="right"/>
      <w:pPr>
        <w:ind w:left="4320" w:hanging="180"/>
      </w:pPr>
    </w:lvl>
    <w:lvl w:ilvl="6" w:tplc="B1163DAA">
      <w:start w:val="1"/>
      <w:numFmt w:val="decimal"/>
      <w:lvlText w:val="%7."/>
      <w:lvlJc w:val="left"/>
      <w:pPr>
        <w:ind w:left="5040" w:hanging="360"/>
      </w:pPr>
    </w:lvl>
    <w:lvl w:ilvl="7" w:tplc="33F6CE62">
      <w:start w:val="1"/>
      <w:numFmt w:val="lowerLetter"/>
      <w:lvlText w:val="%8."/>
      <w:lvlJc w:val="left"/>
      <w:pPr>
        <w:ind w:left="5760" w:hanging="360"/>
      </w:pPr>
    </w:lvl>
    <w:lvl w:ilvl="8" w:tplc="FDF2E9EE">
      <w:start w:val="1"/>
      <w:numFmt w:val="lowerRoman"/>
      <w:lvlText w:val="%9."/>
      <w:lvlJc w:val="right"/>
      <w:pPr>
        <w:ind w:left="6480" w:hanging="180"/>
      </w:pPr>
    </w:lvl>
  </w:abstractNum>
  <w:abstractNum w:abstractNumId="2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74E0711"/>
    <w:multiLevelType w:val="hybridMultilevel"/>
    <w:tmpl w:val="38BE50CE"/>
    <w:lvl w:ilvl="0" w:tplc="62A865AA">
      <w:start w:val="1"/>
      <w:numFmt w:val="bullet"/>
      <w:lvlText w:val="·"/>
      <w:lvlJc w:val="left"/>
      <w:pPr>
        <w:ind w:left="720" w:hanging="360"/>
      </w:pPr>
      <w:rPr>
        <w:rFonts w:ascii="Symbol" w:hAnsi="Symbol" w:hint="default"/>
      </w:rPr>
    </w:lvl>
    <w:lvl w:ilvl="1" w:tplc="8902791A">
      <w:start w:val="1"/>
      <w:numFmt w:val="bullet"/>
      <w:lvlText w:val="o"/>
      <w:lvlJc w:val="left"/>
      <w:pPr>
        <w:ind w:left="1440" w:hanging="360"/>
      </w:pPr>
      <w:rPr>
        <w:rFonts w:ascii="Courier New" w:hAnsi="Courier New" w:hint="default"/>
      </w:rPr>
    </w:lvl>
    <w:lvl w:ilvl="2" w:tplc="5C742EA6">
      <w:start w:val="1"/>
      <w:numFmt w:val="bullet"/>
      <w:lvlText w:val=""/>
      <w:lvlJc w:val="left"/>
      <w:pPr>
        <w:ind w:left="2160" w:hanging="360"/>
      </w:pPr>
      <w:rPr>
        <w:rFonts w:ascii="Wingdings" w:hAnsi="Wingdings" w:hint="default"/>
      </w:rPr>
    </w:lvl>
    <w:lvl w:ilvl="3" w:tplc="1A267976">
      <w:start w:val="1"/>
      <w:numFmt w:val="bullet"/>
      <w:lvlText w:val=""/>
      <w:lvlJc w:val="left"/>
      <w:pPr>
        <w:ind w:left="2880" w:hanging="360"/>
      </w:pPr>
      <w:rPr>
        <w:rFonts w:ascii="Symbol" w:hAnsi="Symbol" w:hint="default"/>
      </w:rPr>
    </w:lvl>
    <w:lvl w:ilvl="4" w:tplc="45427072">
      <w:start w:val="1"/>
      <w:numFmt w:val="bullet"/>
      <w:lvlText w:val="o"/>
      <w:lvlJc w:val="left"/>
      <w:pPr>
        <w:ind w:left="3600" w:hanging="360"/>
      </w:pPr>
      <w:rPr>
        <w:rFonts w:ascii="Courier New" w:hAnsi="Courier New" w:hint="default"/>
      </w:rPr>
    </w:lvl>
    <w:lvl w:ilvl="5" w:tplc="284C345A">
      <w:start w:val="1"/>
      <w:numFmt w:val="bullet"/>
      <w:lvlText w:val=""/>
      <w:lvlJc w:val="left"/>
      <w:pPr>
        <w:ind w:left="4320" w:hanging="360"/>
      </w:pPr>
      <w:rPr>
        <w:rFonts w:ascii="Wingdings" w:hAnsi="Wingdings" w:hint="default"/>
      </w:rPr>
    </w:lvl>
    <w:lvl w:ilvl="6" w:tplc="F0082948">
      <w:start w:val="1"/>
      <w:numFmt w:val="bullet"/>
      <w:lvlText w:val=""/>
      <w:lvlJc w:val="left"/>
      <w:pPr>
        <w:ind w:left="5040" w:hanging="360"/>
      </w:pPr>
      <w:rPr>
        <w:rFonts w:ascii="Symbol" w:hAnsi="Symbol" w:hint="default"/>
      </w:rPr>
    </w:lvl>
    <w:lvl w:ilvl="7" w:tplc="F29615EE">
      <w:start w:val="1"/>
      <w:numFmt w:val="bullet"/>
      <w:lvlText w:val="o"/>
      <w:lvlJc w:val="left"/>
      <w:pPr>
        <w:ind w:left="5760" w:hanging="360"/>
      </w:pPr>
      <w:rPr>
        <w:rFonts w:ascii="Courier New" w:hAnsi="Courier New" w:hint="default"/>
      </w:rPr>
    </w:lvl>
    <w:lvl w:ilvl="8" w:tplc="D15E7EA4">
      <w:start w:val="1"/>
      <w:numFmt w:val="bullet"/>
      <w:lvlText w:val=""/>
      <w:lvlJc w:val="left"/>
      <w:pPr>
        <w:ind w:left="6480" w:hanging="360"/>
      </w:pPr>
      <w:rPr>
        <w:rFonts w:ascii="Wingdings" w:hAnsi="Wingdings" w:hint="default"/>
      </w:rPr>
    </w:lvl>
  </w:abstractNum>
  <w:abstractNum w:abstractNumId="29" w15:restartNumberingAfterBreak="0">
    <w:nsid w:val="47AE3090"/>
    <w:multiLevelType w:val="hybridMultilevel"/>
    <w:tmpl w:val="95FED974"/>
    <w:lvl w:ilvl="0" w:tplc="DB2A9904">
      <w:start w:val="5"/>
      <w:numFmt w:val="decimal"/>
      <w:lvlText w:val="5"/>
      <w:lvlJc w:val="left"/>
      <w:pPr>
        <w:ind w:left="720" w:hanging="360"/>
      </w:pPr>
    </w:lvl>
    <w:lvl w:ilvl="1" w:tplc="DA4C206E">
      <w:start w:val="1"/>
      <w:numFmt w:val="lowerLetter"/>
      <w:lvlText w:val="%2."/>
      <w:lvlJc w:val="left"/>
      <w:pPr>
        <w:ind w:left="1440" w:hanging="360"/>
      </w:pPr>
    </w:lvl>
    <w:lvl w:ilvl="2" w:tplc="9D5C8352">
      <w:start w:val="1"/>
      <w:numFmt w:val="lowerRoman"/>
      <w:lvlText w:val="%3."/>
      <w:lvlJc w:val="right"/>
      <w:pPr>
        <w:ind w:left="2160" w:hanging="180"/>
      </w:pPr>
    </w:lvl>
    <w:lvl w:ilvl="3" w:tplc="738881C0">
      <w:start w:val="1"/>
      <w:numFmt w:val="decimal"/>
      <w:lvlText w:val="%4."/>
      <w:lvlJc w:val="left"/>
      <w:pPr>
        <w:ind w:left="2880" w:hanging="360"/>
      </w:pPr>
    </w:lvl>
    <w:lvl w:ilvl="4" w:tplc="3642D86E">
      <w:start w:val="1"/>
      <w:numFmt w:val="lowerLetter"/>
      <w:lvlText w:val="%5."/>
      <w:lvlJc w:val="left"/>
      <w:pPr>
        <w:ind w:left="3600" w:hanging="360"/>
      </w:pPr>
    </w:lvl>
    <w:lvl w:ilvl="5" w:tplc="6DF4C860">
      <w:start w:val="1"/>
      <w:numFmt w:val="lowerRoman"/>
      <w:lvlText w:val="%6."/>
      <w:lvlJc w:val="right"/>
      <w:pPr>
        <w:ind w:left="4320" w:hanging="180"/>
      </w:pPr>
    </w:lvl>
    <w:lvl w:ilvl="6" w:tplc="96220188">
      <w:start w:val="1"/>
      <w:numFmt w:val="decimal"/>
      <w:lvlText w:val="%7."/>
      <w:lvlJc w:val="left"/>
      <w:pPr>
        <w:ind w:left="5040" w:hanging="360"/>
      </w:pPr>
    </w:lvl>
    <w:lvl w:ilvl="7" w:tplc="3CFE3E1C">
      <w:start w:val="1"/>
      <w:numFmt w:val="lowerLetter"/>
      <w:lvlText w:val="%8."/>
      <w:lvlJc w:val="left"/>
      <w:pPr>
        <w:ind w:left="5760" w:hanging="360"/>
      </w:pPr>
    </w:lvl>
    <w:lvl w:ilvl="8" w:tplc="124AFB7A">
      <w:start w:val="1"/>
      <w:numFmt w:val="lowerRoman"/>
      <w:lvlText w:val="%9."/>
      <w:lvlJc w:val="right"/>
      <w:pPr>
        <w:ind w:left="6480" w:hanging="180"/>
      </w:pPr>
    </w:lvl>
  </w:abstractNum>
  <w:abstractNum w:abstractNumId="3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4C3D134"/>
    <w:multiLevelType w:val="hybridMultilevel"/>
    <w:tmpl w:val="CE9CAFA0"/>
    <w:lvl w:ilvl="0" w:tplc="05C6DB38">
      <w:start w:val="1"/>
      <w:numFmt w:val="bullet"/>
      <w:lvlText w:val="·"/>
      <w:lvlJc w:val="left"/>
      <w:pPr>
        <w:ind w:left="720" w:hanging="360"/>
      </w:pPr>
      <w:rPr>
        <w:rFonts w:ascii="Symbol" w:hAnsi="Symbol" w:hint="default"/>
      </w:rPr>
    </w:lvl>
    <w:lvl w:ilvl="1" w:tplc="7A6E3F38">
      <w:start w:val="1"/>
      <w:numFmt w:val="bullet"/>
      <w:lvlText w:val="o"/>
      <w:lvlJc w:val="left"/>
      <w:pPr>
        <w:ind w:left="1440" w:hanging="360"/>
      </w:pPr>
      <w:rPr>
        <w:rFonts w:ascii="Courier New" w:hAnsi="Courier New" w:hint="default"/>
      </w:rPr>
    </w:lvl>
    <w:lvl w:ilvl="2" w:tplc="BD18F9CE">
      <w:start w:val="1"/>
      <w:numFmt w:val="bullet"/>
      <w:lvlText w:val=""/>
      <w:lvlJc w:val="left"/>
      <w:pPr>
        <w:ind w:left="2160" w:hanging="360"/>
      </w:pPr>
      <w:rPr>
        <w:rFonts w:ascii="Wingdings" w:hAnsi="Wingdings" w:hint="default"/>
      </w:rPr>
    </w:lvl>
    <w:lvl w:ilvl="3" w:tplc="F3CA3EE2">
      <w:start w:val="1"/>
      <w:numFmt w:val="bullet"/>
      <w:lvlText w:val=""/>
      <w:lvlJc w:val="left"/>
      <w:pPr>
        <w:ind w:left="2880" w:hanging="360"/>
      </w:pPr>
      <w:rPr>
        <w:rFonts w:ascii="Symbol" w:hAnsi="Symbol" w:hint="default"/>
      </w:rPr>
    </w:lvl>
    <w:lvl w:ilvl="4" w:tplc="BB261802">
      <w:start w:val="1"/>
      <w:numFmt w:val="bullet"/>
      <w:lvlText w:val="o"/>
      <w:lvlJc w:val="left"/>
      <w:pPr>
        <w:ind w:left="3600" w:hanging="360"/>
      </w:pPr>
      <w:rPr>
        <w:rFonts w:ascii="Courier New" w:hAnsi="Courier New" w:hint="default"/>
      </w:rPr>
    </w:lvl>
    <w:lvl w:ilvl="5" w:tplc="44805612">
      <w:start w:val="1"/>
      <w:numFmt w:val="bullet"/>
      <w:lvlText w:val=""/>
      <w:lvlJc w:val="left"/>
      <w:pPr>
        <w:ind w:left="4320" w:hanging="360"/>
      </w:pPr>
      <w:rPr>
        <w:rFonts w:ascii="Wingdings" w:hAnsi="Wingdings" w:hint="default"/>
      </w:rPr>
    </w:lvl>
    <w:lvl w:ilvl="6" w:tplc="5C2C927E">
      <w:start w:val="1"/>
      <w:numFmt w:val="bullet"/>
      <w:lvlText w:val=""/>
      <w:lvlJc w:val="left"/>
      <w:pPr>
        <w:ind w:left="5040" w:hanging="360"/>
      </w:pPr>
      <w:rPr>
        <w:rFonts w:ascii="Symbol" w:hAnsi="Symbol" w:hint="default"/>
      </w:rPr>
    </w:lvl>
    <w:lvl w:ilvl="7" w:tplc="76948C3A">
      <w:start w:val="1"/>
      <w:numFmt w:val="bullet"/>
      <w:lvlText w:val="o"/>
      <w:lvlJc w:val="left"/>
      <w:pPr>
        <w:ind w:left="5760" w:hanging="360"/>
      </w:pPr>
      <w:rPr>
        <w:rFonts w:ascii="Courier New" w:hAnsi="Courier New" w:hint="default"/>
      </w:rPr>
    </w:lvl>
    <w:lvl w:ilvl="8" w:tplc="3252CD7C">
      <w:start w:val="1"/>
      <w:numFmt w:val="bullet"/>
      <w:lvlText w:val=""/>
      <w:lvlJc w:val="left"/>
      <w:pPr>
        <w:ind w:left="6480" w:hanging="360"/>
      </w:pPr>
      <w:rPr>
        <w:rFonts w:ascii="Wingdings" w:hAnsi="Wingdings" w:hint="default"/>
      </w:rPr>
    </w:lvl>
  </w:abstractNum>
  <w:abstractNum w:abstractNumId="3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3C0C9D"/>
    <w:multiLevelType w:val="multilevel"/>
    <w:tmpl w:val="35B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11405"/>
    <w:multiLevelType w:val="hybridMultilevel"/>
    <w:tmpl w:val="5072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559ED0"/>
    <w:multiLevelType w:val="hybridMultilevel"/>
    <w:tmpl w:val="FFFFFFFF"/>
    <w:lvl w:ilvl="0" w:tplc="123E3E82">
      <w:start w:val="1"/>
      <w:numFmt w:val="bullet"/>
      <w:lvlText w:val=""/>
      <w:lvlJc w:val="left"/>
      <w:pPr>
        <w:ind w:left="720" w:hanging="360"/>
      </w:pPr>
      <w:rPr>
        <w:rFonts w:ascii="Symbol" w:hAnsi="Symbol" w:hint="default"/>
      </w:rPr>
    </w:lvl>
    <w:lvl w:ilvl="1" w:tplc="616CEBAC">
      <w:start w:val="1"/>
      <w:numFmt w:val="bullet"/>
      <w:lvlText w:val="o"/>
      <w:lvlJc w:val="left"/>
      <w:pPr>
        <w:ind w:left="1440" w:hanging="360"/>
      </w:pPr>
      <w:rPr>
        <w:rFonts w:ascii="Courier New" w:hAnsi="Courier New" w:hint="default"/>
      </w:rPr>
    </w:lvl>
    <w:lvl w:ilvl="2" w:tplc="AC281116">
      <w:start w:val="1"/>
      <w:numFmt w:val="bullet"/>
      <w:lvlText w:val=""/>
      <w:lvlJc w:val="left"/>
      <w:pPr>
        <w:ind w:left="2160" w:hanging="360"/>
      </w:pPr>
      <w:rPr>
        <w:rFonts w:ascii="Wingdings" w:hAnsi="Wingdings" w:hint="default"/>
      </w:rPr>
    </w:lvl>
    <w:lvl w:ilvl="3" w:tplc="E8E89C74">
      <w:start w:val="1"/>
      <w:numFmt w:val="bullet"/>
      <w:lvlText w:val=""/>
      <w:lvlJc w:val="left"/>
      <w:pPr>
        <w:ind w:left="2880" w:hanging="360"/>
      </w:pPr>
      <w:rPr>
        <w:rFonts w:ascii="Symbol" w:hAnsi="Symbol" w:hint="default"/>
      </w:rPr>
    </w:lvl>
    <w:lvl w:ilvl="4" w:tplc="852A179C">
      <w:start w:val="1"/>
      <w:numFmt w:val="bullet"/>
      <w:lvlText w:val="o"/>
      <w:lvlJc w:val="left"/>
      <w:pPr>
        <w:ind w:left="3600" w:hanging="360"/>
      </w:pPr>
      <w:rPr>
        <w:rFonts w:ascii="Courier New" w:hAnsi="Courier New" w:hint="default"/>
      </w:rPr>
    </w:lvl>
    <w:lvl w:ilvl="5" w:tplc="078E442A">
      <w:start w:val="1"/>
      <w:numFmt w:val="bullet"/>
      <w:lvlText w:val=""/>
      <w:lvlJc w:val="left"/>
      <w:pPr>
        <w:ind w:left="4320" w:hanging="360"/>
      </w:pPr>
      <w:rPr>
        <w:rFonts w:ascii="Wingdings" w:hAnsi="Wingdings" w:hint="default"/>
      </w:rPr>
    </w:lvl>
    <w:lvl w:ilvl="6" w:tplc="9168D23C">
      <w:start w:val="1"/>
      <w:numFmt w:val="bullet"/>
      <w:lvlText w:val=""/>
      <w:lvlJc w:val="left"/>
      <w:pPr>
        <w:ind w:left="5040" w:hanging="360"/>
      </w:pPr>
      <w:rPr>
        <w:rFonts w:ascii="Symbol" w:hAnsi="Symbol" w:hint="default"/>
      </w:rPr>
    </w:lvl>
    <w:lvl w:ilvl="7" w:tplc="FE76BBC0">
      <w:start w:val="1"/>
      <w:numFmt w:val="bullet"/>
      <w:lvlText w:val="o"/>
      <w:lvlJc w:val="left"/>
      <w:pPr>
        <w:ind w:left="5760" w:hanging="360"/>
      </w:pPr>
      <w:rPr>
        <w:rFonts w:ascii="Courier New" w:hAnsi="Courier New" w:hint="default"/>
      </w:rPr>
    </w:lvl>
    <w:lvl w:ilvl="8" w:tplc="2E200A92">
      <w:start w:val="1"/>
      <w:numFmt w:val="bullet"/>
      <w:lvlText w:val=""/>
      <w:lvlJc w:val="left"/>
      <w:pPr>
        <w:ind w:left="6480" w:hanging="360"/>
      </w:pPr>
      <w:rPr>
        <w:rFonts w:ascii="Wingdings" w:hAnsi="Wingdings" w:hint="default"/>
      </w:rPr>
    </w:lvl>
  </w:abstractNum>
  <w:abstractNum w:abstractNumId="4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85EE669"/>
    <w:multiLevelType w:val="hybridMultilevel"/>
    <w:tmpl w:val="9F12FB8C"/>
    <w:lvl w:ilvl="0" w:tplc="08090001">
      <w:start w:val="1"/>
      <w:numFmt w:val="bullet"/>
      <w:lvlText w:val=""/>
      <w:lvlJc w:val="left"/>
      <w:pPr>
        <w:ind w:left="720" w:hanging="360"/>
      </w:pPr>
      <w:rPr>
        <w:rFonts w:ascii="Symbol" w:hAnsi="Symbol" w:hint="default"/>
      </w:rPr>
    </w:lvl>
    <w:lvl w:ilvl="1" w:tplc="18B6492A">
      <w:start w:val="1"/>
      <w:numFmt w:val="lowerLetter"/>
      <w:lvlText w:val="%2."/>
      <w:lvlJc w:val="left"/>
      <w:pPr>
        <w:ind w:left="1440" w:hanging="360"/>
      </w:pPr>
    </w:lvl>
    <w:lvl w:ilvl="2" w:tplc="51A21BE6">
      <w:start w:val="1"/>
      <w:numFmt w:val="lowerRoman"/>
      <w:lvlText w:val="%3."/>
      <w:lvlJc w:val="right"/>
      <w:pPr>
        <w:ind w:left="2160" w:hanging="180"/>
      </w:pPr>
    </w:lvl>
    <w:lvl w:ilvl="3" w:tplc="B810B624">
      <w:start w:val="1"/>
      <w:numFmt w:val="decimal"/>
      <w:lvlText w:val="%4."/>
      <w:lvlJc w:val="left"/>
      <w:pPr>
        <w:ind w:left="2880" w:hanging="360"/>
      </w:pPr>
    </w:lvl>
    <w:lvl w:ilvl="4" w:tplc="381C1636">
      <w:start w:val="1"/>
      <w:numFmt w:val="lowerLetter"/>
      <w:lvlText w:val="%5."/>
      <w:lvlJc w:val="left"/>
      <w:pPr>
        <w:ind w:left="3600" w:hanging="360"/>
      </w:pPr>
    </w:lvl>
    <w:lvl w:ilvl="5" w:tplc="59D0EE12">
      <w:start w:val="1"/>
      <w:numFmt w:val="lowerRoman"/>
      <w:lvlText w:val="%6."/>
      <w:lvlJc w:val="right"/>
      <w:pPr>
        <w:ind w:left="4320" w:hanging="180"/>
      </w:pPr>
    </w:lvl>
    <w:lvl w:ilvl="6" w:tplc="B8760680">
      <w:start w:val="1"/>
      <w:numFmt w:val="decimal"/>
      <w:lvlText w:val="%7."/>
      <w:lvlJc w:val="left"/>
      <w:pPr>
        <w:ind w:left="5040" w:hanging="360"/>
      </w:pPr>
    </w:lvl>
    <w:lvl w:ilvl="7" w:tplc="B46AF24E">
      <w:start w:val="1"/>
      <w:numFmt w:val="lowerLetter"/>
      <w:lvlText w:val="%8."/>
      <w:lvlJc w:val="left"/>
      <w:pPr>
        <w:ind w:left="5760" w:hanging="360"/>
      </w:pPr>
    </w:lvl>
    <w:lvl w:ilvl="8" w:tplc="2EFCF902">
      <w:start w:val="1"/>
      <w:numFmt w:val="lowerRoman"/>
      <w:lvlText w:val="%9."/>
      <w:lvlJc w:val="right"/>
      <w:pPr>
        <w:ind w:left="6480" w:hanging="180"/>
      </w:pPr>
    </w:lvl>
  </w:abstractNum>
  <w:abstractNum w:abstractNumId="43"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5B619A"/>
    <w:multiLevelType w:val="hybridMultilevel"/>
    <w:tmpl w:val="0E18F8D2"/>
    <w:lvl w:ilvl="0" w:tplc="5192A56C">
      <w:start w:val="1"/>
      <w:numFmt w:val="decimal"/>
      <w:pStyle w:val="Numberedlist"/>
      <w:lvlText w:val="%1"/>
      <w:lvlJc w:val="left"/>
      <w:pPr>
        <w:ind w:left="1400" w:hanging="360"/>
      </w:pPr>
      <w:rPr>
        <w:rFonts w:hint="default"/>
        <w:b w:val="0"/>
        <w:bCs w:val="0"/>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5" w15:restartNumberingAfterBreak="0">
    <w:nsid w:val="7976F933"/>
    <w:multiLevelType w:val="hybridMultilevel"/>
    <w:tmpl w:val="5688151E"/>
    <w:lvl w:ilvl="0" w:tplc="9B8E228E">
      <w:start w:val="1"/>
      <w:numFmt w:val="bullet"/>
      <w:lvlText w:val="·"/>
      <w:lvlJc w:val="left"/>
      <w:pPr>
        <w:ind w:left="720" w:hanging="360"/>
      </w:pPr>
      <w:rPr>
        <w:rFonts w:ascii="Symbol" w:hAnsi="Symbol" w:hint="default"/>
      </w:rPr>
    </w:lvl>
    <w:lvl w:ilvl="1" w:tplc="F5FA18B4">
      <w:start w:val="1"/>
      <w:numFmt w:val="bullet"/>
      <w:lvlText w:val="o"/>
      <w:lvlJc w:val="left"/>
      <w:pPr>
        <w:ind w:left="1440" w:hanging="360"/>
      </w:pPr>
      <w:rPr>
        <w:rFonts w:ascii="Courier New" w:hAnsi="Courier New" w:hint="default"/>
      </w:rPr>
    </w:lvl>
    <w:lvl w:ilvl="2" w:tplc="0FEADAB8">
      <w:start w:val="1"/>
      <w:numFmt w:val="bullet"/>
      <w:lvlText w:val=""/>
      <w:lvlJc w:val="left"/>
      <w:pPr>
        <w:ind w:left="2160" w:hanging="360"/>
      </w:pPr>
      <w:rPr>
        <w:rFonts w:ascii="Wingdings" w:hAnsi="Wingdings" w:hint="default"/>
      </w:rPr>
    </w:lvl>
    <w:lvl w:ilvl="3" w:tplc="4DC26D56">
      <w:start w:val="1"/>
      <w:numFmt w:val="bullet"/>
      <w:lvlText w:val=""/>
      <w:lvlJc w:val="left"/>
      <w:pPr>
        <w:ind w:left="2880" w:hanging="360"/>
      </w:pPr>
      <w:rPr>
        <w:rFonts w:ascii="Symbol" w:hAnsi="Symbol" w:hint="default"/>
      </w:rPr>
    </w:lvl>
    <w:lvl w:ilvl="4" w:tplc="1840C078">
      <w:start w:val="1"/>
      <w:numFmt w:val="bullet"/>
      <w:lvlText w:val="o"/>
      <w:lvlJc w:val="left"/>
      <w:pPr>
        <w:ind w:left="3600" w:hanging="360"/>
      </w:pPr>
      <w:rPr>
        <w:rFonts w:ascii="Courier New" w:hAnsi="Courier New" w:hint="default"/>
      </w:rPr>
    </w:lvl>
    <w:lvl w:ilvl="5" w:tplc="2D269A92">
      <w:start w:val="1"/>
      <w:numFmt w:val="bullet"/>
      <w:lvlText w:val=""/>
      <w:lvlJc w:val="left"/>
      <w:pPr>
        <w:ind w:left="4320" w:hanging="360"/>
      </w:pPr>
      <w:rPr>
        <w:rFonts w:ascii="Wingdings" w:hAnsi="Wingdings" w:hint="default"/>
      </w:rPr>
    </w:lvl>
    <w:lvl w:ilvl="6" w:tplc="4DE8454A">
      <w:start w:val="1"/>
      <w:numFmt w:val="bullet"/>
      <w:lvlText w:val=""/>
      <w:lvlJc w:val="left"/>
      <w:pPr>
        <w:ind w:left="5040" w:hanging="360"/>
      </w:pPr>
      <w:rPr>
        <w:rFonts w:ascii="Symbol" w:hAnsi="Symbol" w:hint="default"/>
      </w:rPr>
    </w:lvl>
    <w:lvl w:ilvl="7" w:tplc="7F52CB64">
      <w:start w:val="1"/>
      <w:numFmt w:val="bullet"/>
      <w:lvlText w:val="o"/>
      <w:lvlJc w:val="left"/>
      <w:pPr>
        <w:ind w:left="5760" w:hanging="360"/>
      </w:pPr>
      <w:rPr>
        <w:rFonts w:ascii="Courier New" w:hAnsi="Courier New" w:hint="default"/>
      </w:rPr>
    </w:lvl>
    <w:lvl w:ilvl="8" w:tplc="64DCDE92">
      <w:start w:val="1"/>
      <w:numFmt w:val="bullet"/>
      <w:lvlText w:val=""/>
      <w:lvlJc w:val="left"/>
      <w:pPr>
        <w:ind w:left="6480" w:hanging="360"/>
      </w:pPr>
      <w:rPr>
        <w:rFonts w:ascii="Wingdings" w:hAnsi="Wingdings" w:hint="default"/>
      </w:rPr>
    </w:lvl>
  </w:abstractNum>
  <w:abstractNum w:abstractNumId="4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3174094">
    <w:abstractNumId w:val="45"/>
  </w:num>
  <w:num w:numId="2" w16cid:durableId="1667325075">
    <w:abstractNumId w:val="26"/>
  </w:num>
  <w:num w:numId="3" w16cid:durableId="1244875005">
    <w:abstractNumId w:val="33"/>
  </w:num>
  <w:num w:numId="4" w16cid:durableId="1645885534">
    <w:abstractNumId w:val="29"/>
  </w:num>
  <w:num w:numId="5" w16cid:durableId="510530263">
    <w:abstractNumId w:val="28"/>
  </w:num>
  <w:num w:numId="6" w16cid:durableId="1981686716">
    <w:abstractNumId w:val="42"/>
  </w:num>
  <w:num w:numId="7" w16cid:durableId="1260983937">
    <w:abstractNumId w:val="9"/>
  </w:num>
  <w:num w:numId="8" w16cid:durableId="2043822545">
    <w:abstractNumId w:val="39"/>
  </w:num>
  <w:num w:numId="9" w16cid:durableId="1724979749">
    <w:abstractNumId w:val="23"/>
  </w:num>
  <w:num w:numId="10" w16cid:durableId="181555221">
    <w:abstractNumId w:val="1"/>
  </w:num>
  <w:num w:numId="11" w16cid:durableId="1382630320">
    <w:abstractNumId w:val="17"/>
  </w:num>
  <w:num w:numId="12" w16cid:durableId="1488011670">
    <w:abstractNumId w:val="24"/>
  </w:num>
  <w:num w:numId="13" w16cid:durableId="1138693465">
    <w:abstractNumId w:val="6"/>
  </w:num>
  <w:num w:numId="14" w16cid:durableId="1113094373">
    <w:abstractNumId w:val="11"/>
  </w:num>
  <w:num w:numId="15" w16cid:durableId="116532623">
    <w:abstractNumId w:val="3"/>
  </w:num>
  <w:num w:numId="16" w16cid:durableId="2039620118">
    <w:abstractNumId w:val="41"/>
  </w:num>
  <w:num w:numId="17" w16cid:durableId="2116749296">
    <w:abstractNumId w:val="25"/>
  </w:num>
  <w:num w:numId="18" w16cid:durableId="611715962">
    <w:abstractNumId w:val="27"/>
  </w:num>
  <w:num w:numId="19" w16cid:durableId="377554922">
    <w:abstractNumId w:val="7"/>
  </w:num>
  <w:num w:numId="20" w16cid:durableId="1967815002">
    <w:abstractNumId w:val="12"/>
  </w:num>
  <w:num w:numId="21" w16cid:durableId="1478373446">
    <w:abstractNumId w:val="20"/>
  </w:num>
  <w:num w:numId="22" w16cid:durableId="1216622483">
    <w:abstractNumId w:val="22"/>
  </w:num>
  <w:num w:numId="23" w16cid:durableId="1028289363">
    <w:abstractNumId w:val="31"/>
  </w:num>
  <w:num w:numId="24" w16cid:durableId="1748379919">
    <w:abstractNumId w:val="10"/>
  </w:num>
  <w:num w:numId="25" w16cid:durableId="1008825018">
    <w:abstractNumId w:val="38"/>
  </w:num>
  <w:num w:numId="26" w16cid:durableId="128134450">
    <w:abstractNumId w:val="16"/>
  </w:num>
  <w:num w:numId="27" w16cid:durableId="503516617">
    <w:abstractNumId w:val="30"/>
  </w:num>
  <w:num w:numId="28" w16cid:durableId="1971012577">
    <w:abstractNumId w:val="34"/>
  </w:num>
  <w:num w:numId="29" w16cid:durableId="1256014139">
    <w:abstractNumId w:val="18"/>
  </w:num>
  <w:num w:numId="30" w16cid:durableId="230039927">
    <w:abstractNumId w:val="0"/>
  </w:num>
  <w:num w:numId="31" w16cid:durableId="882135492">
    <w:abstractNumId w:val="2"/>
  </w:num>
  <w:num w:numId="32" w16cid:durableId="194315641">
    <w:abstractNumId w:val="14"/>
  </w:num>
  <w:num w:numId="33" w16cid:durableId="1279488302">
    <w:abstractNumId w:val="21"/>
  </w:num>
  <w:num w:numId="34" w16cid:durableId="102305755">
    <w:abstractNumId w:val="8"/>
  </w:num>
  <w:num w:numId="35" w16cid:durableId="1863712968">
    <w:abstractNumId w:val="40"/>
  </w:num>
  <w:num w:numId="36" w16cid:durableId="426196748">
    <w:abstractNumId w:val="37"/>
  </w:num>
  <w:num w:numId="37" w16cid:durableId="1440686053">
    <w:abstractNumId w:val="43"/>
  </w:num>
  <w:num w:numId="38" w16cid:durableId="87122838">
    <w:abstractNumId w:val="15"/>
  </w:num>
  <w:num w:numId="39" w16cid:durableId="2069259383">
    <w:abstractNumId w:val="5"/>
  </w:num>
  <w:num w:numId="40" w16cid:durableId="1082874494">
    <w:abstractNumId w:val="5"/>
  </w:num>
  <w:num w:numId="41" w16cid:durableId="1943028700">
    <w:abstractNumId w:val="4"/>
  </w:num>
  <w:num w:numId="42" w16cid:durableId="78869557">
    <w:abstractNumId w:val="13"/>
  </w:num>
  <w:num w:numId="43" w16cid:durableId="1896156210">
    <w:abstractNumId w:val="35"/>
  </w:num>
  <w:num w:numId="44" w16cid:durableId="849442228">
    <w:abstractNumId w:val="36"/>
  </w:num>
  <w:num w:numId="45" w16cid:durableId="544606329">
    <w:abstractNumId w:val="19"/>
  </w:num>
  <w:num w:numId="46" w16cid:durableId="609512517">
    <w:abstractNumId w:val="4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93"/>
    <w:rsid w:val="000119FB"/>
    <w:rsid w:val="00012B32"/>
    <w:rsid w:val="00016260"/>
    <w:rsid w:val="00016817"/>
    <w:rsid w:val="000227DF"/>
    <w:rsid w:val="000242AA"/>
    <w:rsid w:val="00026CEB"/>
    <w:rsid w:val="000313CD"/>
    <w:rsid w:val="00037619"/>
    <w:rsid w:val="00050797"/>
    <w:rsid w:val="000541A3"/>
    <w:rsid w:val="00057044"/>
    <w:rsid w:val="0006125D"/>
    <w:rsid w:val="00092A5E"/>
    <w:rsid w:val="000947A9"/>
    <w:rsid w:val="00094B5D"/>
    <w:rsid w:val="000A103F"/>
    <w:rsid w:val="000A1EC0"/>
    <w:rsid w:val="000A49DC"/>
    <w:rsid w:val="000C2D7A"/>
    <w:rsid w:val="000C3F75"/>
    <w:rsid w:val="000C4168"/>
    <w:rsid w:val="000D2402"/>
    <w:rsid w:val="000E6C5F"/>
    <w:rsid w:val="000F1C2F"/>
    <w:rsid w:val="000F3D50"/>
    <w:rsid w:val="000F69D5"/>
    <w:rsid w:val="00100A85"/>
    <w:rsid w:val="00101F34"/>
    <w:rsid w:val="00102783"/>
    <w:rsid w:val="001100C3"/>
    <w:rsid w:val="00111FAC"/>
    <w:rsid w:val="0011416A"/>
    <w:rsid w:val="001172E1"/>
    <w:rsid w:val="001202DE"/>
    <w:rsid w:val="001219F1"/>
    <w:rsid w:val="00123D3F"/>
    <w:rsid w:val="00127E74"/>
    <w:rsid w:val="00131EB8"/>
    <w:rsid w:val="00133C11"/>
    <w:rsid w:val="0013531A"/>
    <w:rsid w:val="00136D0F"/>
    <w:rsid w:val="00155824"/>
    <w:rsid w:val="0015744C"/>
    <w:rsid w:val="00161AA0"/>
    <w:rsid w:val="0016459F"/>
    <w:rsid w:val="0017277D"/>
    <w:rsid w:val="00174A8C"/>
    <w:rsid w:val="00175188"/>
    <w:rsid w:val="001761B5"/>
    <w:rsid w:val="001904D7"/>
    <w:rsid w:val="001A3633"/>
    <w:rsid w:val="001B0506"/>
    <w:rsid w:val="001C032E"/>
    <w:rsid w:val="001C14C7"/>
    <w:rsid w:val="001D0EE5"/>
    <w:rsid w:val="001D4CAB"/>
    <w:rsid w:val="001F17BE"/>
    <w:rsid w:val="001F6E47"/>
    <w:rsid w:val="001F7E2E"/>
    <w:rsid w:val="00205561"/>
    <w:rsid w:val="0021029D"/>
    <w:rsid w:val="00212A6B"/>
    <w:rsid w:val="002169E7"/>
    <w:rsid w:val="00226702"/>
    <w:rsid w:val="00230A6B"/>
    <w:rsid w:val="00231DA6"/>
    <w:rsid w:val="002324F6"/>
    <w:rsid w:val="00233340"/>
    <w:rsid w:val="00235CAB"/>
    <w:rsid w:val="00241DA3"/>
    <w:rsid w:val="00251D56"/>
    <w:rsid w:val="002526E6"/>
    <w:rsid w:val="002535B1"/>
    <w:rsid w:val="00253CA9"/>
    <w:rsid w:val="0025401B"/>
    <w:rsid w:val="00256CDD"/>
    <w:rsid w:val="0026015D"/>
    <w:rsid w:val="00262EEB"/>
    <w:rsid w:val="00272B84"/>
    <w:rsid w:val="00290066"/>
    <w:rsid w:val="002A024B"/>
    <w:rsid w:val="002A1893"/>
    <w:rsid w:val="002A3712"/>
    <w:rsid w:val="002A5FB6"/>
    <w:rsid w:val="002B1F0F"/>
    <w:rsid w:val="002B33DA"/>
    <w:rsid w:val="002C3FAA"/>
    <w:rsid w:val="002D0669"/>
    <w:rsid w:val="002D0A9E"/>
    <w:rsid w:val="002D4F55"/>
    <w:rsid w:val="002D5D93"/>
    <w:rsid w:val="002E65D3"/>
    <w:rsid w:val="002F0230"/>
    <w:rsid w:val="002F0D8B"/>
    <w:rsid w:val="002F15CF"/>
    <w:rsid w:val="002F1C6F"/>
    <w:rsid w:val="002F2DFB"/>
    <w:rsid w:val="002F2FD9"/>
    <w:rsid w:val="002F60CB"/>
    <w:rsid w:val="003028E6"/>
    <w:rsid w:val="003051D0"/>
    <w:rsid w:val="0031564D"/>
    <w:rsid w:val="0031664C"/>
    <w:rsid w:val="003174B6"/>
    <w:rsid w:val="00321C1F"/>
    <w:rsid w:val="003225BF"/>
    <w:rsid w:val="0032761E"/>
    <w:rsid w:val="003330E6"/>
    <w:rsid w:val="00335091"/>
    <w:rsid w:val="00335267"/>
    <w:rsid w:val="00343F9B"/>
    <w:rsid w:val="0035208A"/>
    <w:rsid w:val="00353D3E"/>
    <w:rsid w:val="00357A2A"/>
    <w:rsid w:val="0036168D"/>
    <w:rsid w:val="00362226"/>
    <w:rsid w:val="00377E36"/>
    <w:rsid w:val="0038143A"/>
    <w:rsid w:val="003830CE"/>
    <w:rsid w:val="00385976"/>
    <w:rsid w:val="00393754"/>
    <w:rsid w:val="00397BC3"/>
    <w:rsid w:val="00397BF1"/>
    <w:rsid w:val="003A1330"/>
    <w:rsid w:val="003A2A77"/>
    <w:rsid w:val="003A5D46"/>
    <w:rsid w:val="003A60AF"/>
    <w:rsid w:val="003B12B7"/>
    <w:rsid w:val="003B1379"/>
    <w:rsid w:val="003B1F4F"/>
    <w:rsid w:val="003B2524"/>
    <w:rsid w:val="003B30E4"/>
    <w:rsid w:val="003B5ED6"/>
    <w:rsid w:val="003B7BCF"/>
    <w:rsid w:val="003C03C3"/>
    <w:rsid w:val="003C36AC"/>
    <w:rsid w:val="003C40E1"/>
    <w:rsid w:val="003C4235"/>
    <w:rsid w:val="003C5B8E"/>
    <w:rsid w:val="003C6903"/>
    <w:rsid w:val="003C7593"/>
    <w:rsid w:val="003D2570"/>
    <w:rsid w:val="003D3B28"/>
    <w:rsid w:val="003E5450"/>
    <w:rsid w:val="003F043D"/>
    <w:rsid w:val="003F2AC2"/>
    <w:rsid w:val="003F2E09"/>
    <w:rsid w:val="00401109"/>
    <w:rsid w:val="00403933"/>
    <w:rsid w:val="00411EA2"/>
    <w:rsid w:val="00421134"/>
    <w:rsid w:val="00423B0A"/>
    <w:rsid w:val="00424556"/>
    <w:rsid w:val="0043410B"/>
    <w:rsid w:val="004348EA"/>
    <w:rsid w:val="004511A7"/>
    <w:rsid w:val="004519B2"/>
    <w:rsid w:val="0045411D"/>
    <w:rsid w:val="00455C80"/>
    <w:rsid w:val="004566D2"/>
    <w:rsid w:val="00461997"/>
    <w:rsid w:val="004639F1"/>
    <w:rsid w:val="004717F3"/>
    <w:rsid w:val="00474308"/>
    <w:rsid w:val="0047477F"/>
    <w:rsid w:val="004802DE"/>
    <w:rsid w:val="004820E9"/>
    <w:rsid w:val="0048361F"/>
    <w:rsid w:val="00484FE9"/>
    <w:rsid w:val="00485B88"/>
    <w:rsid w:val="004914C0"/>
    <w:rsid w:val="004918B5"/>
    <w:rsid w:val="00497F23"/>
    <w:rsid w:val="004A77D0"/>
    <w:rsid w:val="004B4705"/>
    <w:rsid w:val="004B514C"/>
    <w:rsid w:val="004B6121"/>
    <w:rsid w:val="004C0F69"/>
    <w:rsid w:val="004E0898"/>
    <w:rsid w:val="00503454"/>
    <w:rsid w:val="00517DE9"/>
    <w:rsid w:val="00525AEB"/>
    <w:rsid w:val="00526C07"/>
    <w:rsid w:val="0053387C"/>
    <w:rsid w:val="00534888"/>
    <w:rsid w:val="00543C27"/>
    <w:rsid w:val="00544532"/>
    <w:rsid w:val="00546CDB"/>
    <w:rsid w:val="0055108C"/>
    <w:rsid w:val="0055602B"/>
    <w:rsid w:val="00560E07"/>
    <w:rsid w:val="005614AA"/>
    <w:rsid w:val="005860F4"/>
    <w:rsid w:val="005866B1"/>
    <w:rsid w:val="00587DCB"/>
    <w:rsid w:val="00593A6A"/>
    <w:rsid w:val="005A5E10"/>
    <w:rsid w:val="005A62F6"/>
    <w:rsid w:val="005A690D"/>
    <w:rsid w:val="005B0269"/>
    <w:rsid w:val="005C051F"/>
    <w:rsid w:val="005C3AB4"/>
    <w:rsid w:val="005C762E"/>
    <w:rsid w:val="005D098C"/>
    <w:rsid w:val="005D37DB"/>
    <w:rsid w:val="005D5803"/>
    <w:rsid w:val="005D68EB"/>
    <w:rsid w:val="005E2CB5"/>
    <w:rsid w:val="005E320D"/>
    <w:rsid w:val="005E3543"/>
    <w:rsid w:val="00603E56"/>
    <w:rsid w:val="00605A95"/>
    <w:rsid w:val="0060662A"/>
    <w:rsid w:val="00610599"/>
    <w:rsid w:val="00614BDA"/>
    <w:rsid w:val="00617519"/>
    <w:rsid w:val="00621F56"/>
    <w:rsid w:val="006220FB"/>
    <w:rsid w:val="006331B4"/>
    <w:rsid w:val="006343F3"/>
    <w:rsid w:val="00637EDB"/>
    <w:rsid w:val="00642906"/>
    <w:rsid w:val="00645490"/>
    <w:rsid w:val="006571D4"/>
    <w:rsid w:val="00667DF3"/>
    <w:rsid w:val="00667EF0"/>
    <w:rsid w:val="00670BCA"/>
    <w:rsid w:val="00680B94"/>
    <w:rsid w:val="00682B55"/>
    <w:rsid w:val="00691190"/>
    <w:rsid w:val="00691DDF"/>
    <w:rsid w:val="00694C96"/>
    <w:rsid w:val="006A3BF2"/>
    <w:rsid w:val="006A721F"/>
    <w:rsid w:val="006D2D2E"/>
    <w:rsid w:val="006D42DE"/>
    <w:rsid w:val="006D73F1"/>
    <w:rsid w:val="006E0F0C"/>
    <w:rsid w:val="007100CF"/>
    <w:rsid w:val="00713032"/>
    <w:rsid w:val="00725ED2"/>
    <w:rsid w:val="007277C3"/>
    <w:rsid w:val="00732519"/>
    <w:rsid w:val="00732EB5"/>
    <w:rsid w:val="00736184"/>
    <w:rsid w:val="00737F9C"/>
    <w:rsid w:val="00757530"/>
    <w:rsid w:val="0076734D"/>
    <w:rsid w:val="0077554D"/>
    <w:rsid w:val="0077684E"/>
    <w:rsid w:val="007A174B"/>
    <w:rsid w:val="007A4EEE"/>
    <w:rsid w:val="007B54CF"/>
    <w:rsid w:val="007B5BCA"/>
    <w:rsid w:val="007C1E9E"/>
    <w:rsid w:val="007C7652"/>
    <w:rsid w:val="007D77A3"/>
    <w:rsid w:val="007E1D08"/>
    <w:rsid w:val="00801B76"/>
    <w:rsid w:val="00803BFF"/>
    <w:rsid w:val="0081404B"/>
    <w:rsid w:val="008159A5"/>
    <w:rsid w:val="008323BE"/>
    <w:rsid w:val="0084101D"/>
    <w:rsid w:val="00846819"/>
    <w:rsid w:val="008505C3"/>
    <w:rsid w:val="00855316"/>
    <w:rsid w:val="00856BBF"/>
    <w:rsid w:val="00862C0C"/>
    <w:rsid w:val="00872022"/>
    <w:rsid w:val="008853CB"/>
    <w:rsid w:val="00892486"/>
    <w:rsid w:val="0089777C"/>
    <w:rsid w:val="008A3CB5"/>
    <w:rsid w:val="008A6557"/>
    <w:rsid w:val="008B4A6D"/>
    <w:rsid w:val="008B5817"/>
    <w:rsid w:val="008C02F6"/>
    <w:rsid w:val="008C054B"/>
    <w:rsid w:val="008C782E"/>
    <w:rsid w:val="008D56DC"/>
    <w:rsid w:val="008D6069"/>
    <w:rsid w:val="008E2CFF"/>
    <w:rsid w:val="008E7585"/>
    <w:rsid w:val="008F4527"/>
    <w:rsid w:val="00907F46"/>
    <w:rsid w:val="00910982"/>
    <w:rsid w:val="00912132"/>
    <w:rsid w:val="00919F37"/>
    <w:rsid w:val="00921354"/>
    <w:rsid w:val="009226DA"/>
    <w:rsid w:val="00925C76"/>
    <w:rsid w:val="00926D3F"/>
    <w:rsid w:val="0094366C"/>
    <w:rsid w:val="00953ADF"/>
    <w:rsid w:val="00956E8F"/>
    <w:rsid w:val="00970BD7"/>
    <w:rsid w:val="00971131"/>
    <w:rsid w:val="009723BB"/>
    <w:rsid w:val="00977ECF"/>
    <w:rsid w:val="00977ED8"/>
    <w:rsid w:val="009871F3"/>
    <w:rsid w:val="00994BCA"/>
    <w:rsid w:val="00994C9D"/>
    <w:rsid w:val="009A0289"/>
    <w:rsid w:val="009B1D56"/>
    <w:rsid w:val="009B35A8"/>
    <w:rsid w:val="009B621A"/>
    <w:rsid w:val="009C1529"/>
    <w:rsid w:val="009C2F53"/>
    <w:rsid w:val="009C45D9"/>
    <w:rsid w:val="009C5008"/>
    <w:rsid w:val="009C6E2D"/>
    <w:rsid w:val="009D3CB8"/>
    <w:rsid w:val="009D485E"/>
    <w:rsid w:val="009D7F7B"/>
    <w:rsid w:val="009E48F7"/>
    <w:rsid w:val="009E4A52"/>
    <w:rsid w:val="009E67ED"/>
    <w:rsid w:val="009F5B6F"/>
    <w:rsid w:val="009F5FE8"/>
    <w:rsid w:val="00A06657"/>
    <w:rsid w:val="00A133C3"/>
    <w:rsid w:val="00A24C1C"/>
    <w:rsid w:val="00A2558E"/>
    <w:rsid w:val="00A34D99"/>
    <w:rsid w:val="00A35DCF"/>
    <w:rsid w:val="00A36575"/>
    <w:rsid w:val="00A43D4C"/>
    <w:rsid w:val="00A77431"/>
    <w:rsid w:val="00A820E1"/>
    <w:rsid w:val="00A86D3D"/>
    <w:rsid w:val="00A915A3"/>
    <w:rsid w:val="00A956DE"/>
    <w:rsid w:val="00AB1164"/>
    <w:rsid w:val="00AB2948"/>
    <w:rsid w:val="00AB39FA"/>
    <w:rsid w:val="00AB5A0E"/>
    <w:rsid w:val="00AB7B0A"/>
    <w:rsid w:val="00AD1F29"/>
    <w:rsid w:val="00AD5CB7"/>
    <w:rsid w:val="00AD5E0B"/>
    <w:rsid w:val="00AD682F"/>
    <w:rsid w:val="00AD6933"/>
    <w:rsid w:val="00AD6B7B"/>
    <w:rsid w:val="00AE0AD4"/>
    <w:rsid w:val="00B03091"/>
    <w:rsid w:val="00B0463B"/>
    <w:rsid w:val="00B1464C"/>
    <w:rsid w:val="00B15262"/>
    <w:rsid w:val="00B217F4"/>
    <w:rsid w:val="00B23862"/>
    <w:rsid w:val="00B24A82"/>
    <w:rsid w:val="00B40137"/>
    <w:rsid w:val="00B52535"/>
    <w:rsid w:val="00B5324F"/>
    <w:rsid w:val="00B5609C"/>
    <w:rsid w:val="00B60D70"/>
    <w:rsid w:val="00B62D1D"/>
    <w:rsid w:val="00B65DBE"/>
    <w:rsid w:val="00B776C4"/>
    <w:rsid w:val="00B77AD7"/>
    <w:rsid w:val="00B80046"/>
    <w:rsid w:val="00B828C4"/>
    <w:rsid w:val="00B82976"/>
    <w:rsid w:val="00B84BC1"/>
    <w:rsid w:val="00B85372"/>
    <w:rsid w:val="00B86770"/>
    <w:rsid w:val="00B87289"/>
    <w:rsid w:val="00B913E7"/>
    <w:rsid w:val="00BA0179"/>
    <w:rsid w:val="00BA3C55"/>
    <w:rsid w:val="00BA51EA"/>
    <w:rsid w:val="00BA589F"/>
    <w:rsid w:val="00BB047B"/>
    <w:rsid w:val="00BB6398"/>
    <w:rsid w:val="00BC0E86"/>
    <w:rsid w:val="00BC20DE"/>
    <w:rsid w:val="00BD0372"/>
    <w:rsid w:val="00BD0522"/>
    <w:rsid w:val="00BD246E"/>
    <w:rsid w:val="00BD6762"/>
    <w:rsid w:val="00BE497C"/>
    <w:rsid w:val="00BF2487"/>
    <w:rsid w:val="00BF4768"/>
    <w:rsid w:val="00BF6573"/>
    <w:rsid w:val="00C0057A"/>
    <w:rsid w:val="00C00962"/>
    <w:rsid w:val="00C139CA"/>
    <w:rsid w:val="00C16F8D"/>
    <w:rsid w:val="00C21627"/>
    <w:rsid w:val="00C222AA"/>
    <w:rsid w:val="00C42ED6"/>
    <w:rsid w:val="00C433C5"/>
    <w:rsid w:val="00C441D0"/>
    <w:rsid w:val="00C44BF4"/>
    <w:rsid w:val="00C5052A"/>
    <w:rsid w:val="00C51429"/>
    <w:rsid w:val="00C53ACE"/>
    <w:rsid w:val="00C620BF"/>
    <w:rsid w:val="00C6760C"/>
    <w:rsid w:val="00C72082"/>
    <w:rsid w:val="00C81E25"/>
    <w:rsid w:val="00C90424"/>
    <w:rsid w:val="00C95465"/>
    <w:rsid w:val="00C96EF7"/>
    <w:rsid w:val="00CA3397"/>
    <w:rsid w:val="00CA33E1"/>
    <w:rsid w:val="00CA74E6"/>
    <w:rsid w:val="00CB3288"/>
    <w:rsid w:val="00CB66A3"/>
    <w:rsid w:val="00CB6BEB"/>
    <w:rsid w:val="00CC09F1"/>
    <w:rsid w:val="00CD4BF3"/>
    <w:rsid w:val="00CD5DAF"/>
    <w:rsid w:val="00CE7855"/>
    <w:rsid w:val="00D0127E"/>
    <w:rsid w:val="00D05A23"/>
    <w:rsid w:val="00D21D1F"/>
    <w:rsid w:val="00D23DE3"/>
    <w:rsid w:val="00D3612A"/>
    <w:rsid w:val="00D37703"/>
    <w:rsid w:val="00D37F25"/>
    <w:rsid w:val="00D409D4"/>
    <w:rsid w:val="00D453F6"/>
    <w:rsid w:val="00D52D25"/>
    <w:rsid w:val="00D5471C"/>
    <w:rsid w:val="00D60D8D"/>
    <w:rsid w:val="00D63975"/>
    <w:rsid w:val="00D70CAC"/>
    <w:rsid w:val="00D72670"/>
    <w:rsid w:val="00D72DEB"/>
    <w:rsid w:val="00D73C98"/>
    <w:rsid w:val="00D866E4"/>
    <w:rsid w:val="00D879EA"/>
    <w:rsid w:val="00D92B45"/>
    <w:rsid w:val="00D96E62"/>
    <w:rsid w:val="00DA11DD"/>
    <w:rsid w:val="00DA1354"/>
    <w:rsid w:val="00DA250C"/>
    <w:rsid w:val="00DA64CA"/>
    <w:rsid w:val="00DB3AD8"/>
    <w:rsid w:val="00DB7569"/>
    <w:rsid w:val="00DB7E8F"/>
    <w:rsid w:val="00DC0120"/>
    <w:rsid w:val="00DC71C1"/>
    <w:rsid w:val="00DC8E33"/>
    <w:rsid w:val="00DD2A2C"/>
    <w:rsid w:val="00DD4562"/>
    <w:rsid w:val="00DD7BCC"/>
    <w:rsid w:val="00DE3E2F"/>
    <w:rsid w:val="00DE4397"/>
    <w:rsid w:val="00DE52A0"/>
    <w:rsid w:val="00DE5FA3"/>
    <w:rsid w:val="00DE643F"/>
    <w:rsid w:val="00DE76F0"/>
    <w:rsid w:val="00DF2E38"/>
    <w:rsid w:val="00E03104"/>
    <w:rsid w:val="00E2509B"/>
    <w:rsid w:val="00E3322C"/>
    <w:rsid w:val="00E368E5"/>
    <w:rsid w:val="00E42198"/>
    <w:rsid w:val="00E43488"/>
    <w:rsid w:val="00E45BF5"/>
    <w:rsid w:val="00E4622C"/>
    <w:rsid w:val="00E46571"/>
    <w:rsid w:val="00E51FFB"/>
    <w:rsid w:val="00E56811"/>
    <w:rsid w:val="00E63855"/>
    <w:rsid w:val="00E67E5D"/>
    <w:rsid w:val="00E740FA"/>
    <w:rsid w:val="00E7451D"/>
    <w:rsid w:val="00E85602"/>
    <w:rsid w:val="00E95993"/>
    <w:rsid w:val="00E9645C"/>
    <w:rsid w:val="00EB03BB"/>
    <w:rsid w:val="00EB1C36"/>
    <w:rsid w:val="00EC1A99"/>
    <w:rsid w:val="00ED2085"/>
    <w:rsid w:val="00ED75EB"/>
    <w:rsid w:val="00EE0508"/>
    <w:rsid w:val="00EE1031"/>
    <w:rsid w:val="00EE2EB2"/>
    <w:rsid w:val="00EE406C"/>
    <w:rsid w:val="00EF0DD3"/>
    <w:rsid w:val="00EF66CB"/>
    <w:rsid w:val="00EF70E6"/>
    <w:rsid w:val="00F00942"/>
    <w:rsid w:val="00F00A50"/>
    <w:rsid w:val="00F07534"/>
    <w:rsid w:val="00F11280"/>
    <w:rsid w:val="00F26A9F"/>
    <w:rsid w:val="00F26E68"/>
    <w:rsid w:val="00F31B81"/>
    <w:rsid w:val="00F33119"/>
    <w:rsid w:val="00F4433E"/>
    <w:rsid w:val="00F44389"/>
    <w:rsid w:val="00F46B59"/>
    <w:rsid w:val="00F476C7"/>
    <w:rsid w:val="00F64539"/>
    <w:rsid w:val="00F649A0"/>
    <w:rsid w:val="00F73C47"/>
    <w:rsid w:val="00F74344"/>
    <w:rsid w:val="00F81F2C"/>
    <w:rsid w:val="00F84AF2"/>
    <w:rsid w:val="00F84EE3"/>
    <w:rsid w:val="00F90076"/>
    <w:rsid w:val="00F90E63"/>
    <w:rsid w:val="00F9177F"/>
    <w:rsid w:val="00F924B7"/>
    <w:rsid w:val="00F9C0CE"/>
    <w:rsid w:val="00FA66A6"/>
    <w:rsid w:val="00FA6EE7"/>
    <w:rsid w:val="00FB4756"/>
    <w:rsid w:val="00FB47DD"/>
    <w:rsid w:val="00FB6FC1"/>
    <w:rsid w:val="00FB73D3"/>
    <w:rsid w:val="00FC3B6B"/>
    <w:rsid w:val="00FC4993"/>
    <w:rsid w:val="00FC4B37"/>
    <w:rsid w:val="00FD39EA"/>
    <w:rsid w:val="00FD4365"/>
    <w:rsid w:val="00FD4756"/>
    <w:rsid w:val="00FE21A0"/>
    <w:rsid w:val="00FE5215"/>
    <w:rsid w:val="00FE5E53"/>
    <w:rsid w:val="00FF01FF"/>
    <w:rsid w:val="010A4F9C"/>
    <w:rsid w:val="0147868B"/>
    <w:rsid w:val="01B7FF5D"/>
    <w:rsid w:val="01C73B3B"/>
    <w:rsid w:val="01C751B5"/>
    <w:rsid w:val="01E17303"/>
    <w:rsid w:val="0247A294"/>
    <w:rsid w:val="02669D56"/>
    <w:rsid w:val="027FFB09"/>
    <w:rsid w:val="029B09E4"/>
    <w:rsid w:val="02E20CB5"/>
    <w:rsid w:val="02ED9126"/>
    <w:rsid w:val="02F651CE"/>
    <w:rsid w:val="032EDFB9"/>
    <w:rsid w:val="036D1E1C"/>
    <w:rsid w:val="0379BC3F"/>
    <w:rsid w:val="03E19719"/>
    <w:rsid w:val="0481CDEA"/>
    <w:rsid w:val="049E9A17"/>
    <w:rsid w:val="04D3E7A5"/>
    <w:rsid w:val="04E3FC4D"/>
    <w:rsid w:val="04F2080A"/>
    <w:rsid w:val="05C4D0DB"/>
    <w:rsid w:val="05DEFAED"/>
    <w:rsid w:val="05F181E3"/>
    <w:rsid w:val="062A7AC8"/>
    <w:rsid w:val="069D742B"/>
    <w:rsid w:val="06BB7CE7"/>
    <w:rsid w:val="06C42456"/>
    <w:rsid w:val="07967D9A"/>
    <w:rsid w:val="079C8F63"/>
    <w:rsid w:val="07EBEC3E"/>
    <w:rsid w:val="084A3112"/>
    <w:rsid w:val="087EC2EF"/>
    <w:rsid w:val="088BAAEF"/>
    <w:rsid w:val="088F4448"/>
    <w:rsid w:val="089F497C"/>
    <w:rsid w:val="08B8910F"/>
    <w:rsid w:val="0941DDD8"/>
    <w:rsid w:val="098154C9"/>
    <w:rsid w:val="09BE862B"/>
    <w:rsid w:val="0A9D55B8"/>
    <w:rsid w:val="0ADDB9CD"/>
    <w:rsid w:val="0B2EF4ED"/>
    <w:rsid w:val="0B5987A0"/>
    <w:rsid w:val="0BC9634F"/>
    <w:rsid w:val="0BE58BCA"/>
    <w:rsid w:val="0BF5B2F0"/>
    <w:rsid w:val="0C1D16A3"/>
    <w:rsid w:val="0C297C88"/>
    <w:rsid w:val="0C7B2816"/>
    <w:rsid w:val="0CC5C7A6"/>
    <w:rsid w:val="0CE171AA"/>
    <w:rsid w:val="0CF26F57"/>
    <w:rsid w:val="0D070988"/>
    <w:rsid w:val="0D58CD22"/>
    <w:rsid w:val="0D6C5898"/>
    <w:rsid w:val="0D704B3D"/>
    <w:rsid w:val="0D79B6A7"/>
    <w:rsid w:val="0D7CFA2D"/>
    <w:rsid w:val="0D87C561"/>
    <w:rsid w:val="0D90063C"/>
    <w:rsid w:val="0DA692D5"/>
    <w:rsid w:val="0DD8618A"/>
    <w:rsid w:val="0DEA7AE1"/>
    <w:rsid w:val="0DFFB952"/>
    <w:rsid w:val="0E1287DF"/>
    <w:rsid w:val="0E7AEBDC"/>
    <w:rsid w:val="0E9FDDE6"/>
    <w:rsid w:val="0EF320D0"/>
    <w:rsid w:val="0F06FE4B"/>
    <w:rsid w:val="0F252119"/>
    <w:rsid w:val="0F8FC97D"/>
    <w:rsid w:val="0F90D617"/>
    <w:rsid w:val="107B9A3D"/>
    <w:rsid w:val="109586CB"/>
    <w:rsid w:val="10BFD3BD"/>
    <w:rsid w:val="11429394"/>
    <w:rsid w:val="1180E4A6"/>
    <w:rsid w:val="11C09520"/>
    <w:rsid w:val="11D3E249"/>
    <w:rsid w:val="121A5B99"/>
    <w:rsid w:val="122F4642"/>
    <w:rsid w:val="123A915F"/>
    <w:rsid w:val="124465FC"/>
    <w:rsid w:val="1284FAA4"/>
    <w:rsid w:val="12A35C2D"/>
    <w:rsid w:val="12AB4F6D"/>
    <w:rsid w:val="12AFD36B"/>
    <w:rsid w:val="13658DBE"/>
    <w:rsid w:val="138262A3"/>
    <w:rsid w:val="138AD17A"/>
    <w:rsid w:val="13A0124A"/>
    <w:rsid w:val="14379E07"/>
    <w:rsid w:val="1465A875"/>
    <w:rsid w:val="14910BBA"/>
    <w:rsid w:val="149ED605"/>
    <w:rsid w:val="14A18391"/>
    <w:rsid w:val="14C0C928"/>
    <w:rsid w:val="14F4C03F"/>
    <w:rsid w:val="1500B3E2"/>
    <w:rsid w:val="150B1DCC"/>
    <w:rsid w:val="153BBC4A"/>
    <w:rsid w:val="15ACAE42"/>
    <w:rsid w:val="16044D29"/>
    <w:rsid w:val="1613D217"/>
    <w:rsid w:val="1614E39B"/>
    <w:rsid w:val="1634E4D0"/>
    <w:rsid w:val="163FDE40"/>
    <w:rsid w:val="1658712F"/>
    <w:rsid w:val="16626905"/>
    <w:rsid w:val="167A5C41"/>
    <w:rsid w:val="16BB71E5"/>
    <w:rsid w:val="170E2FDA"/>
    <w:rsid w:val="171A6E7A"/>
    <w:rsid w:val="17221EC3"/>
    <w:rsid w:val="1722A9C0"/>
    <w:rsid w:val="178BAFD4"/>
    <w:rsid w:val="17AFE019"/>
    <w:rsid w:val="17C8438A"/>
    <w:rsid w:val="17C85113"/>
    <w:rsid w:val="17EC589F"/>
    <w:rsid w:val="186FBA81"/>
    <w:rsid w:val="18AF793F"/>
    <w:rsid w:val="18C1215E"/>
    <w:rsid w:val="191E04C5"/>
    <w:rsid w:val="19785752"/>
    <w:rsid w:val="1992DFC8"/>
    <w:rsid w:val="199E8419"/>
    <w:rsid w:val="1A0A0F44"/>
    <w:rsid w:val="1A48D665"/>
    <w:rsid w:val="1A5490BB"/>
    <w:rsid w:val="1A609C4F"/>
    <w:rsid w:val="1AB41852"/>
    <w:rsid w:val="1AB6275C"/>
    <w:rsid w:val="1AF75B69"/>
    <w:rsid w:val="1AF953F9"/>
    <w:rsid w:val="1B5FD8E9"/>
    <w:rsid w:val="1B6A9200"/>
    <w:rsid w:val="1B6B415C"/>
    <w:rsid w:val="1B7091FD"/>
    <w:rsid w:val="1BE865BF"/>
    <w:rsid w:val="1C71D460"/>
    <w:rsid w:val="1C825A37"/>
    <w:rsid w:val="1CB172F6"/>
    <w:rsid w:val="1CC54A34"/>
    <w:rsid w:val="1D0017E2"/>
    <w:rsid w:val="1D110151"/>
    <w:rsid w:val="1D1D4B92"/>
    <w:rsid w:val="1DB06A93"/>
    <w:rsid w:val="1DBE469D"/>
    <w:rsid w:val="1DD8E808"/>
    <w:rsid w:val="1E00181D"/>
    <w:rsid w:val="1E6D01F0"/>
    <w:rsid w:val="1ECB5899"/>
    <w:rsid w:val="1ECECB86"/>
    <w:rsid w:val="1ECF2A0E"/>
    <w:rsid w:val="1EF4ECD7"/>
    <w:rsid w:val="1EF6AA9E"/>
    <w:rsid w:val="1F240167"/>
    <w:rsid w:val="1F4835D7"/>
    <w:rsid w:val="1F68F912"/>
    <w:rsid w:val="1F831004"/>
    <w:rsid w:val="1F93EC90"/>
    <w:rsid w:val="1FC89E30"/>
    <w:rsid w:val="1FD0D0E1"/>
    <w:rsid w:val="2028B97B"/>
    <w:rsid w:val="207EE1C7"/>
    <w:rsid w:val="20A0FD3B"/>
    <w:rsid w:val="20C9A342"/>
    <w:rsid w:val="20F7C646"/>
    <w:rsid w:val="2156CDCB"/>
    <w:rsid w:val="21658FE9"/>
    <w:rsid w:val="21736EC3"/>
    <w:rsid w:val="22A19C9D"/>
    <w:rsid w:val="22C8772E"/>
    <w:rsid w:val="23283F97"/>
    <w:rsid w:val="237C4F18"/>
    <w:rsid w:val="23CB49CA"/>
    <w:rsid w:val="23FD1D42"/>
    <w:rsid w:val="241840C2"/>
    <w:rsid w:val="24574A4C"/>
    <w:rsid w:val="245D8B3B"/>
    <w:rsid w:val="24CAFD36"/>
    <w:rsid w:val="24CF68FC"/>
    <w:rsid w:val="254D1422"/>
    <w:rsid w:val="25C6EDA9"/>
    <w:rsid w:val="25ED51F9"/>
    <w:rsid w:val="26DD6AA3"/>
    <w:rsid w:val="271FD0FF"/>
    <w:rsid w:val="278467D3"/>
    <w:rsid w:val="2795E8F3"/>
    <w:rsid w:val="27A44CC4"/>
    <w:rsid w:val="27D22BFB"/>
    <w:rsid w:val="280CC327"/>
    <w:rsid w:val="286EA943"/>
    <w:rsid w:val="28A6BA06"/>
    <w:rsid w:val="28A8D5E4"/>
    <w:rsid w:val="28D145D4"/>
    <w:rsid w:val="290061C8"/>
    <w:rsid w:val="293AA18C"/>
    <w:rsid w:val="296FD087"/>
    <w:rsid w:val="29801FF8"/>
    <w:rsid w:val="29A536ED"/>
    <w:rsid w:val="29B85463"/>
    <w:rsid w:val="29EF9C49"/>
    <w:rsid w:val="29F20939"/>
    <w:rsid w:val="29F9E1A5"/>
    <w:rsid w:val="2A1F0706"/>
    <w:rsid w:val="2A501E62"/>
    <w:rsid w:val="2AB8B9E8"/>
    <w:rsid w:val="2AC2838F"/>
    <w:rsid w:val="2AC9B12A"/>
    <w:rsid w:val="2AD51F29"/>
    <w:rsid w:val="2AD65BCB"/>
    <w:rsid w:val="2B3444B4"/>
    <w:rsid w:val="2B6D79C5"/>
    <w:rsid w:val="2B767AB9"/>
    <w:rsid w:val="2BA6F895"/>
    <w:rsid w:val="2BD99E37"/>
    <w:rsid w:val="2BE574A0"/>
    <w:rsid w:val="2C8B2558"/>
    <w:rsid w:val="2CA32ED5"/>
    <w:rsid w:val="2CE47FCD"/>
    <w:rsid w:val="2D1E1155"/>
    <w:rsid w:val="2D308A48"/>
    <w:rsid w:val="2D34F0EB"/>
    <w:rsid w:val="2D4BE5A6"/>
    <w:rsid w:val="2DAA0A15"/>
    <w:rsid w:val="2DF3BA71"/>
    <w:rsid w:val="2E1EE188"/>
    <w:rsid w:val="2E3C67E5"/>
    <w:rsid w:val="2E4BBB1E"/>
    <w:rsid w:val="2E616B99"/>
    <w:rsid w:val="2E645696"/>
    <w:rsid w:val="2EFDC7A9"/>
    <w:rsid w:val="2F01371F"/>
    <w:rsid w:val="2F4EBBBA"/>
    <w:rsid w:val="2F9D5BB4"/>
    <w:rsid w:val="2FBEC361"/>
    <w:rsid w:val="2FEF454C"/>
    <w:rsid w:val="302354C3"/>
    <w:rsid w:val="302617A8"/>
    <w:rsid w:val="302DED6D"/>
    <w:rsid w:val="30495D9E"/>
    <w:rsid w:val="3063E0D7"/>
    <w:rsid w:val="307F1F5B"/>
    <w:rsid w:val="3104375C"/>
    <w:rsid w:val="312DE19D"/>
    <w:rsid w:val="3138C192"/>
    <w:rsid w:val="313DE523"/>
    <w:rsid w:val="3171F70C"/>
    <w:rsid w:val="319B3D67"/>
    <w:rsid w:val="319E9ED0"/>
    <w:rsid w:val="31A13FAA"/>
    <w:rsid w:val="31F7116E"/>
    <w:rsid w:val="3243C806"/>
    <w:rsid w:val="3245DF6C"/>
    <w:rsid w:val="32615C36"/>
    <w:rsid w:val="327EB42F"/>
    <w:rsid w:val="32F6BA51"/>
    <w:rsid w:val="33A9E3AD"/>
    <w:rsid w:val="34047650"/>
    <w:rsid w:val="341D5077"/>
    <w:rsid w:val="3422E749"/>
    <w:rsid w:val="34470189"/>
    <w:rsid w:val="34712FD9"/>
    <w:rsid w:val="348CBFF0"/>
    <w:rsid w:val="348D4B69"/>
    <w:rsid w:val="349B5FD6"/>
    <w:rsid w:val="34E38260"/>
    <w:rsid w:val="34E88F1B"/>
    <w:rsid w:val="3535CD11"/>
    <w:rsid w:val="353FD56E"/>
    <w:rsid w:val="35632B73"/>
    <w:rsid w:val="359A4414"/>
    <w:rsid w:val="359A9A94"/>
    <w:rsid w:val="35A0491A"/>
    <w:rsid w:val="35D51238"/>
    <w:rsid w:val="35F896F0"/>
    <w:rsid w:val="36009E4B"/>
    <w:rsid w:val="3605D374"/>
    <w:rsid w:val="36273C49"/>
    <w:rsid w:val="36B373CC"/>
    <w:rsid w:val="36B64531"/>
    <w:rsid w:val="36FFECC2"/>
    <w:rsid w:val="3702A37B"/>
    <w:rsid w:val="37042A33"/>
    <w:rsid w:val="37493912"/>
    <w:rsid w:val="374EABD2"/>
    <w:rsid w:val="376F7247"/>
    <w:rsid w:val="3776DA59"/>
    <w:rsid w:val="3793F5B2"/>
    <w:rsid w:val="3797284C"/>
    <w:rsid w:val="37CBEF2B"/>
    <w:rsid w:val="37E4EA75"/>
    <w:rsid w:val="38188757"/>
    <w:rsid w:val="3822E792"/>
    <w:rsid w:val="386181D0"/>
    <w:rsid w:val="38653A1B"/>
    <w:rsid w:val="3879AC38"/>
    <w:rsid w:val="38C27E5A"/>
    <w:rsid w:val="38D73456"/>
    <w:rsid w:val="38F18984"/>
    <w:rsid w:val="38FBA5E1"/>
    <w:rsid w:val="39012A1C"/>
    <w:rsid w:val="3909EF96"/>
    <w:rsid w:val="391601A3"/>
    <w:rsid w:val="392D5571"/>
    <w:rsid w:val="39AB9C56"/>
    <w:rsid w:val="39C96D49"/>
    <w:rsid w:val="39DE0B73"/>
    <w:rsid w:val="39DE7297"/>
    <w:rsid w:val="39E178B6"/>
    <w:rsid w:val="39F120E2"/>
    <w:rsid w:val="3A08EBF1"/>
    <w:rsid w:val="3A4B2F4C"/>
    <w:rsid w:val="3ABF42E1"/>
    <w:rsid w:val="3ACB463A"/>
    <w:rsid w:val="3ACC47FC"/>
    <w:rsid w:val="3AFE9BAE"/>
    <w:rsid w:val="3B6BF67F"/>
    <w:rsid w:val="3BEF293D"/>
    <w:rsid w:val="3C184200"/>
    <w:rsid w:val="3C30BC4B"/>
    <w:rsid w:val="3C5D9858"/>
    <w:rsid w:val="3C6FF55E"/>
    <w:rsid w:val="3CA62D69"/>
    <w:rsid w:val="3CCFC1E0"/>
    <w:rsid w:val="3D0EC2CF"/>
    <w:rsid w:val="3D3D5A3A"/>
    <w:rsid w:val="3D477B37"/>
    <w:rsid w:val="3D7A3A05"/>
    <w:rsid w:val="3D82E59B"/>
    <w:rsid w:val="3D839C16"/>
    <w:rsid w:val="3DCE501B"/>
    <w:rsid w:val="3DE6E8A4"/>
    <w:rsid w:val="3E1C967A"/>
    <w:rsid w:val="3E3B464D"/>
    <w:rsid w:val="3E5F9754"/>
    <w:rsid w:val="3E6FEF8F"/>
    <w:rsid w:val="3E8C7654"/>
    <w:rsid w:val="3E8FFA99"/>
    <w:rsid w:val="3ECB94C5"/>
    <w:rsid w:val="3ED1BFD5"/>
    <w:rsid w:val="3F3237D3"/>
    <w:rsid w:val="3F594356"/>
    <w:rsid w:val="3F6755AC"/>
    <w:rsid w:val="3FAEAEEA"/>
    <w:rsid w:val="4033775D"/>
    <w:rsid w:val="40458CEC"/>
    <w:rsid w:val="40771219"/>
    <w:rsid w:val="40ED3379"/>
    <w:rsid w:val="415DCDD0"/>
    <w:rsid w:val="416CACBB"/>
    <w:rsid w:val="41A3F40E"/>
    <w:rsid w:val="41AB16A4"/>
    <w:rsid w:val="41C78A27"/>
    <w:rsid w:val="41D24F10"/>
    <w:rsid w:val="42B2FAED"/>
    <w:rsid w:val="42CD1F95"/>
    <w:rsid w:val="432D6EC7"/>
    <w:rsid w:val="4340E76A"/>
    <w:rsid w:val="438A5314"/>
    <w:rsid w:val="4425F434"/>
    <w:rsid w:val="442CBDFC"/>
    <w:rsid w:val="442F2B13"/>
    <w:rsid w:val="4434A266"/>
    <w:rsid w:val="44406FB5"/>
    <w:rsid w:val="44552BE1"/>
    <w:rsid w:val="44568D57"/>
    <w:rsid w:val="446D95DD"/>
    <w:rsid w:val="449A3336"/>
    <w:rsid w:val="44CA8AD6"/>
    <w:rsid w:val="45118E86"/>
    <w:rsid w:val="4534BAC2"/>
    <w:rsid w:val="45537E69"/>
    <w:rsid w:val="45C83C69"/>
    <w:rsid w:val="45E23F82"/>
    <w:rsid w:val="45ECD623"/>
    <w:rsid w:val="4618542E"/>
    <w:rsid w:val="46265380"/>
    <w:rsid w:val="4638E3A0"/>
    <w:rsid w:val="46395F97"/>
    <w:rsid w:val="463A60E0"/>
    <w:rsid w:val="46445492"/>
    <w:rsid w:val="46BC5A19"/>
    <w:rsid w:val="46CF2EBB"/>
    <w:rsid w:val="46DF03D2"/>
    <w:rsid w:val="470678D7"/>
    <w:rsid w:val="473F884C"/>
    <w:rsid w:val="4742576D"/>
    <w:rsid w:val="475AA135"/>
    <w:rsid w:val="479B8068"/>
    <w:rsid w:val="47B013E3"/>
    <w:rsid w:val="47F81AB7"/>
    <w:rsid w:val="480C4979"/>
    <w:rsid w:val="481DDF2B"/>
    <w:rsid w:val="48270EDB"/>
    <w:rsid w:val="48584046"/>
    <w:rsid w:val="493ADCB4"/>
    <w:rsid w:val="496F794F"/>
    <w:rsid w:val="497A38BE"/>
    <w:rsid w:val="4A0EDBA7"/>
    <w:rsid w:val="4A7E96BE"/>
    <w:rsid w:val="4A9008D1"/>
    <w:rsid w:val="4A91298E"/>
    <w:rsid w:val="4ACA4077"/>
    <w:rsid w:val="4ACFA1D6"/>
    <w:rsid w:val="4AD95A7C"/>
    <w:rsid w:val="4ADD20A9"/>
    <w:rsid w:val="4B34B57F"/>
    <w:rsid w:val="4B407394"/>
    <w:rsid w:val="4B5918C2"/>
    <w:rsid w:val="4B77D192"/>
    <w:rsid w:val="4B91E92E"/>
    <w:rsid w:val="4BEA4A31"/>
    <w:rsid w:val="4C004473"/>
    <w:rsid w:val="4C032849"/>
    <w:rsid w:val="4C0E72CC"/>
    <w:rsid w:val="4C10242F"/>
    <w:rsid w:val="4CECB492"/>
    <w:rsid w:val="4CFB246B"/>
    <w:rsid w:val="4D04AE6A"/>
    <w:rsid w:val="4D34B3D5"/>
    <w:rsid w:val="4D53F4EE"/>
    <w:rsid w:val="4D7E26CD"/>
    <w:rsid w:val="4D829B15"/>
    <w:rsid w:val="4DD01F8A"/>
    <w:rsid w:val="4E3DB8F1"/>
    <w:rsid w:val="4E913285"/>
    <w:rsid w:val="4E919A4B"/>
    <w:rsid w:val="4EE95EC7"/>
    <w:rsid w:val="4F069BD5"/>
    <w:rsid w:val="4F1C40A9"/>
    <w:rsid w:val="4F5E8583"/>
    <w:rsid w:val="4F739CF5"/>
    <w:rsid w:val="4F8648C8"/>
    <w:rsid w:val="4FDA2CA8"/>
    <w:rsid w:val="4FFB46A1"/>
    <w:rsid w:val="4FFC49FB"/>
    <w:rsid w:val="505DF0DC"/>
    <w:rsid w:val="50AAC32C"/>
    <w:rsid w:val="50C5108E"/>
    <w:rsid w:val="50D3CD3D"/>
    <w:rsid w:val="511FE246"/>
    <w:rsid w:val="5139CA02"/>
    <w:rsid w:val="515E6600"/>
    <w:rsid w:val="519DE354"/>
    <w:rsid w:val="51BFBCF0"/>
    <w:rsid w:val="51D3E22C"/>
    <w:rsid w:val="51DF5C99"/>
    <w:rsid w:val="51E7A132"/>
    <w:rsid w:val="51EF2757"/>
    <w:rsid w:val="5225E51A"/>
    <w:rsid w:val="525393D9"/>
    <w:rsid w:val="527AED07"/>
    <w:rsid w:val="52985236"/>
    <w:rsid w:val="52B27DEB"/>
    <w:rsid w:val="52F81A72"/>
    <w:rsid w:val="5348FF75"/>
    <w:rsid w:val="534D7B03"/>
    <w:rsid w:val="537DED1D"/>
    <w:rsid w:val="53FF945B"/>
    <w:rsid w:val="53FFDDC3"/>
    <w:rsid w:val="5442A5EF"/>
    <w:rsid w:val="5465A166"/>
    <w:rsid w:val="5472CF37"/>
    <w:rsid w:val="5483E50B"/>
    <w:rsid w:val="5494223C"/>
    <w:rsid w:val="54A2BBEB"/>
    <w:rsid w:val="54C14AE8"/>
    <w:rsid w:val="54D6A018"/>
    <w:rsid w:val="5514069F"/>
    <w:rsid w:val="55275323"/>
    <w:rsid w:val="552CC153"/>
    <w:rsid w:val="553C5D21"/>
    <w:rsid w:val="55601F3A"/>
    <w:rsid w:val="55C83F5E"/>
    <w:rsid w:val="55D62EAC"/>
    <w:rsid w:val="56159B64"/>
    <w:rsid w:val="565C69FA"/>
    <w:rsid w:val="56AC4C60"/>
    <w:rsid w:val="56F6E223"/>
    <w:rsid w:val="570436EC"/>
    <w:rsid w:val="573471E8"/>
    <w:rsid w:val="57372FE1"/>
    <w:rsid w:val="573EA466"/>
    <w:rsid w:val="576A46F1"/>
    <w:rsid w:val="578F2EBA"/>
    <w:rsid w:val="579F9D6E"/>
    <w:rsid w:val="57AF1961"/>
    <w:rsid w:val="57CC0DE1"/>
    <w:rsid w:val="58040717"/>
    <w:rsid w:val="5847A13F"/>
    <w:rsid w:val="589F3F37"/>
    <w:rsid w:val="58E7C74F"/>
    <w:rsid w:val="58F258C0"/>
    <w:rsid w:val="58FE6412"/>
    <w:rsid w:val="5938EA3B"/>
    <w:rsid w:val="594E8FDD"/>
    <w:rsid w:val="59644776"/>
    <w:rsid w:val="59D1F3E8"/>
    <w:rsid w:val="59EF3779"/>
    <w:rsid w:val="5A1ACB61"/>
    <w:rsid w:val="5A1DE194"/>
    <w:rsid w:val="5A4160DB"/>
    <w:rsid w:val="5A9148B4"/>
    <w:rsid w:val="5AF28AF2"/>
    <w:rsid w:val="5B37AB07"/>
    <w:rsid w:val="5B4ABD5D"/>
    <w:rsid w:val="5B9E46EC"/>
    <w:rsid w:val="5BADB8C8"/>
    <w:rsid w:val="5BB013B7"/>
    <w:rsid w:val="5BE5036B"/>
    <w:rsid w:val="5BEB2C51"/>
    <w:rsid w:val="5C0087CA"/>
    <w:rsid w:val="5C29FEAD"/>
    <w:rsid w:val="5C937645"/>
    <w:rsid w:val="5CD26CE4"/>
    <w:rsid w:val="5CE21802"/>
    <w:rsid w:val="5CE4083D"/>
    <w:rsid w:val="5D267297"/>
    <w:rsid w:val="5DC4955C"/>
    <w:rsid w:val="5E0B2B75"/>
    <w:rsid w:val="5E174DDD"/>
    <w:rsid w:val="5E27BA7F"/>
    <w:rsid w:val="5E2B2D99"/>
    <w:rsid w:val="5E4F4A5A"/>
    <w:rsid w:val="5E7F8DE7"/>
    <w:rsid w:val="5E898918"/>
    <w:rsid w:val="5ED2894B"/>
    <w:rsid w:val="5F17A475"/>
    <w:rsid w:val="5F60D18E"/>
    <w:rsid w:val="5F7253CF"/>
    <w:rsid w:val="5F7B4BBE"/>
    <w:rsid w:val="5F9BF31A"/>
    <w:rsid w:val="5FC01CFA"/>
    <w:rsid w:val="5FCA3503"/>
    <w:rsid w:val="605F1495"/>
    <w:rsid w:val="60FFD6D2"/>
    <w:rsid w:val="614C6D70"/>
    <w:rsid w:val="6156CF21"/>
    <w:rsid w:val="6165628C"/>
    <w:rsid w:val="61AD9F16"/>
    <w:rsid w:val="61B8F84B"/>
    <w:rsid w:val="61CB72B5"/>
    <w:rsid w:val="61EEAD90"/>
    <w:rsid w:val="62134949"/>
    <w:rsid w:val="62426E8B"/>
    <w:rsid w:val="6263ACF3"/>
    <w:rsid w:val="62765A47"/>
    <w:rsid w:val="628E5A26"/>
    <w:rsid w:val="62CB46FD"/>
    <w:rsid w:val="63F0C521"/>
    <w:rsid w:val="63F1C579"/>
    <w:rsid w:val="641AC82E"/>
    <w:rsid w:val="6423A4C0"/>
    <w:rsid w:val="643E9344"/>
    <w:rsid w:val="645DAB3B"/>
    <w:rsid w:val="64953529"/>
    <w:rsid w:val="6499E793"/>
    <w:rsid w:val="64A55769"/>
    <w:rsid w:val="65A917D8"/>
    <w:rsid w:val="65C6A68F"/>
    <w:rsid w:val="65D4F7FE"/>
    <w:rsid w:val="65DEDC71"/>
    <w:rsid w:val="6626CCD6"/>
    <w:rsid w:val="66362C8D"/>
    <w:rsid w:val="6698FF25"/>
    <w:rsid w:val="66DD232B"/>
    <w:rsid w:val="67388073"/>
    <w:rsid w:val="67A8198B"/>
    <w:rsid w:val="6814C05A"/>
    <w:rsid w:val="68243B95"/>
    <w:rsid w:val="685140FA"/>
    <w:rsid w:val="685708A3"/>
    <w:rsid w:val="68677E21"/>
    <w:rsid w:val="6868ED7D"/>
    <w:rsid w:val="6888EBC6"/>
    <w:rsid w:val="68BABE85"/>
    <w:rsid w:val="68C1A4B9"/>
    <w:rsid w:val="68D70F69"/>
    <w:rsid w:val="690D911F"/>
    <w:rsid w:val="6925E3F2"/>
    <w:rsid w:val="694BE2D1"/>
    <w:rsid w:val="6972858D"/>
    <w:rsid w:val="69773EB9"/>
    <w:rsid w:val="69925BA9"/>
    <w:rsid w:val="6997F646"/>
    <w:rsid w:val="69A01834"/>
    <w:rsid w:val="69A6CE2E"/>
    <w:rsid w:val="69AAD74F"/>
    <w:rsid w:val="6AAB9F6E"/>
    <w:rsid w:val="6AC6B0B5"/>
    <w:rsid w:val="6AE11503"/>
    <w:rsid w:val="6B0681B7"/>
    <w:rsid w:val="6B2D0128"/>
    <w:rsid w:val="6B7A2CEB"/>
    <w:rsid w:val="6B954FDB"/>
    <w:rsid w:val="6BBC93A3"/>
    <w:rsid w:val="6BC8F7E2"/>
    <w:rsid w:val="6BEA5D74"/>
    <w:rsid w:val="6BFB25B6"/>
    <w:rsid w:val="6C0789A8"/>
    <w:rsid w:val="6C0F38E3"/>
    <w:rsid w:val="6C827768"/>
    <w:rsid w:val="6CA68444"/>
    <w:rsid w:val="6CA6A4D7"/>
    <w:rsid w:val="6CDDBB92"/>
    <w:rsid w:val="6D16890C"/>
    <w:rsid w:val="6D5A2EB1"/>
    <w:rsid w:val="6D74E7F8"/>
    <w:rsid w:val="6D7C2830"/>
    <w:rsid w:val="6D9D200C"/>
    <w:rsid w:val="6DB7A2DA"/>
    <w:rsid w:val="6E0578EB"/>
    <w:rsid w:val="6E862688"/>
    <w:rsid w:val="6EA4BB8E"/>
    <w:rsid w:val="6EACB0FE"/>
    <w:rsid w:val="6EC0D174"/>
    <w:rsid w:val="6F3453CA"/>
    <w:rsid w:val="6F35AA65"/>
    <w:rsid w:val="6F5F76A3"/>
    <w:rsid w:val="6F67B7DD"/>
    <w:rsid w:val="70133460"/>
    <w:rsid w:val="702D19BB"/>
    <w:rsid w:val="70824D5C"/>
    <w:rsid w:val="70ACC515"/>
    <w:rsid w:val="711E8E68"/>
    <w:rsid w:val="719A46D7"/>
    <w:rsid w:val="71AF49ED"/>
    <w:rsid w:val="71AF9D6F"/>
    <w:rsid w:val="71AFD7D0"/>
    <w:rsid w:val="71C86C0E"/>
    <w:rsid w:val="71DD3EA9"/>
    <w:rsid w:val="72256BB2"/>
    <w:rsid w:val="7226D526"/>
    <w:rsid w:val="7227478D"/>
    <w:rsid w:val="722E75B3"/>
    <w:rsid w:val="7237DBC0"/>
    <w:rsid w:val="72845DD2"/>
    <w:rsid w:val="72C14C0C"/>
    <w:rsid w:val="72DDD4D2"/>
    <w:rsid w:val="72E29408"/>
    <w:rsid w:val="7302DB6F"/>
    <w:rsid w:val="73187AEF"/>
    <w:rsid w:val="73995073"/>
    <w:rsid w:val="73A77F31"/>
    <w:rsid w:val="740405A4"/>
    <w:rsid w:val="742ED0DA"/>
    <w:rsid w:val="74691060"/>
    <w:rsid w:val="7491F222"/>
    <w:rsid w:val="74A35493"/>
    <w:rsid w:val="751933DE"/>
    <w:rsid w:val="7538ABA7"/>
    <w:rsid w:val="7576B7E5"/>
    <w:rsid w:val="75D7D440"/>
    <w:rsid w:val="75DC09B5"/>
    <w:rsid w:val="76418028"/>
    <w:rsid w:val="7657CC98"/>
    <w:rsid w:val="7682F011"/>
    <w:rsid w:val="76982B15"/>
    <w:rsid w:val="76C43208"/>
    <w:rsid w:val="771E7DA6"/>
    <w:rsid w:val="778131A7"/>
    <w:rsid w:val="77EF2302"/>
    <w:rsid w:val="77FEF611"/>
    <w:rsid w:val="78078372"/>
    <w:rsid w:val="7879FD8B"/>
    <w:rsid w:val="78AFD929"/>
    <w:rsid w:val="7917F0DD"/>
    <w:rsid w:val="7925E79E"/>
    <w:rsid w:val="79A01144"/>
    <w:rsid w:val="79B75808"/>
    <w:rsid w:val="7A27E77F"/>
    <w:rsid w:val="7A34C50A"/>
    <w:rsid w:val="7A8D3AEB"/>
    <w:rsid w:val="7A995DBB"/>
    <w:rsid w:val="7B1AC1EE"/>
    <w:rsid w:val="7B1EF6F5"/>
    <w:rsid w:val="7B271260"/>
    <w:rsid w:val="7B39ABF2"/>
    <w:rsid w:val="7B50820B"/>
    <w:rsid w:val="7B8C1F3B"/>
    <w:rsid w:val="7BA3742B"/>
    <w:rsid w:val="7BAD829D"/>
    <w:rsid w:val="7C02FEDC"/>
    <w:rsid w:val="7C189197"/>
    <w:rsid w:val="7C3A4979"/>
    <w:rsid w:val="7C5478E4"/>
    <w:rsid w:val="7CA78FE4"/>
    <w:rsid w:val="7D4D7841"/>
    <w:rsid w:val="7D55DCD5"/>
    <w:rsid w:val="7D5E39C7"/>
    <w:rsid w:val="7D61FAEA"/>
    <w:rsid w:val="7D7E612B"/>
    <w:rsid w:val="7DA16F4E"/>
    <w:rsid w:val="7DBC0F20"/>
    <w:rsid w:val="7DED97FF"/>
    <w:rsid w:val="7DF07868"/>
    <w:rsid w:val="7E03B30B"/>
    <w:rsid w:val="7E1892CF"/>
    <w:rsid w:val="7E1F63AB"/>
    <w:rsid w:val="7E427FEC"/>
    <w:rsid w:val="7E6B29F5"/>
    <w:rsid w:val="7E7D8A9D"/>
    <w:rsid w:val="7E818ABA"/>
    <w:rsid w:val="7ED1DD05"/>
    <w:rsid w:val="7F1E8166"/>
    <w:rsid w:val="7F358692"/>
    <w:rsid w:val="7F65FED2"/>
    <w:rsid w:val="7F721C21"/>
    <w:rsid w:val="7F8FC752"/>
    <w:rsid w:val="7FB1D61B"/>
    <w:rsid w:val="7FE809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62690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29"/>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29"/>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29"/>
      </w:numPr>
    </w:pPr>
  </w:style>
  <w:style w:type="paragraph" w:customStyle="1" w:styleId="Numberedlevel4text">
    <w:name w:val="Numbered level 4 text"/>
    <w:basedOn w:val="NICEnormal"/>
    <w:next w:val="NICEnormal"/>
    <w:locked/>
    <w:rsid w:val="00F26E68"/>
    <w:pPr>
      <w:numPr>
        <w:ilvl w:val="3"/>
        <w:numId w:val="29"/>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17"/>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19"/>
      </w:numPr>
      <w:spacing w:after="0"/>
    </w:pPr>
  </w:style>
  <w:style w:type="paragraph" w:customStyle="1" w:styleId="Bulletleft2">
    <w:name w:val="Bullet left 2"/>
    <w:basedOn w:val="NICEnormal"/>
    <w:rsid w:val="008505C3"/>
    <w:pPr>
      <w:numPr>
        <w:ilvl w:val="1"/>
        <w:numId w:val="15"/>
      </w:numPr>
      <w:spacing w:after="0"/>
      <w:ind w:left="568" w:hanging="284"/>
    </w:pPr>
  </w:style>
  <w:style w:type="paragraph" w:customStyle="1" w:styleId="Bulletleft3">
    <w:name w:val="Bullet left 3"/>
    <w:basedOn w:val="NICEnormal"/>
    <w:rsid w:val="008505C3"/>
    <w:pPr>
      <w:numPr>
        <w:ilvl w:val="2"/>
        <w:numId w:val="16"/>
      </w:numPr>
      <w:spacing w:after="0"/>
    </w:pPr>
  </w:style>
  <w:style w:type="paragraph" w:customStyle="1" w:styleId="Bulletindent1">
    <w:name w:val="Bullet indent 1"/>
    <w:basedOn w:val="NICEnormal"/>
    <w:rsid w:val="00F26E68"/>
    <w:pPr>
      <w:numPr>
        <w:numId w:val="31"/>
      </w:numPr>
      <w:spacing w:after="0"/>
    </w:pPr>
  </w:style>
  <w:style w:type="paragraph" w:customStyle="1" w:styleId="Bulletindent3">
    <w:name w:val="Bullet indent 3"/>
    <w:basedOn w:val="NICEnormal"/>
    <w:rsid w:val="00D3612A"/>
    <w:pPr>
      <w:numPr>
        <w:ilvl w:val="2"/>
        <w:numId w:val="18"/>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20"/>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32"/>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33"/>
      </w:numPr>
    </w:pPr>
  </w:style>
  <w:style w:type="paragraph" w:customStyle="1" w:styleId="Section3paragraphs">
    <w:name w:val="Section 3 paragraphs"/>
    <w:basedOn w:val="NICEnormal"/>
    <w:locked/>
    <w:rsid w:val="00D37703"/>
    <w:pPr>
      <w:numPr>
        <w:numId w:val="21"/>
      </w:numPr>
    </w:pPr>
  </w:style>
  <w:style w:type="paragraph" w:customStyle="1" w:styleId="Section411paragraphs">
    <w:name w:val="Section 4.1.1 paragraphs"/>
    <w:basedOn w:val="NICEnormal"/>
    <w:locked/>
    <w:rsid w:val="00D37703"/>
    <w:pPr>
      <w:numPr>
        <w:numId w:val="22"/>
      </w:numPr>
    </w:pPr>
  </w:style>
  <w:style w:type="paragraph" w:customStyle="1" w:styleId="Section412paragraphs">
    <w:name w:val="Section 4.1.2 paragraphs"/>
    <w:basedOn w:val="NICEnormal"/>
    <w:locked/>
    <w:rsid w:val="00D37703"/>
    <w:pPr>
      <w:numPr>
        <w:numId w:val="23"/>
      </w:numPr>
    </w:pPr>
  </w:style>
  <w:style w:type="paragraph" w:customStyle="1" w:styleId="Section42paragraphs">
    <w:name w:val="Section 4.2 paragraphs"/>
    <w:basedOn w:val="NICEnormal"/>
    <w:locked/>
    <w:rsid w:val="00D37703"/>
    <w:pPr>
      <w:numPr>
        <w:numId w:val="24"/>
      </w:numPr>
    </w:pPr>
  </w:style>
  <w:style w:type="paragraph" w:customStyle="1" w:styleId="Section43paragraphs">
    <w:name w:val="Section 4.3 paragraphs"/>
    <w:basedOn w:val="NICEnormal"/>
    <w:locked/>
    <w:rsid w:val="00AB39FA"/>
    <w:pPr>
      <w:numPr>
        <w:numId w:val="25"/>
      </w:numPr>
    </w:pPr>
  </w:style>
  <w:style w:type="paragraph" w:customStyle="1" w:styleId="Appendixlevel1">
    <w:name w:val="Appendix level 1"/>
    <w:basedOn w:val="NICEnormal"/>
    <w:autoRedefine/>
    <w:locked/>
    <w:rsid w:val="004B514C"/>
    <w:pPr>
      <w:numPr>
        <w:numId w:val="26"/>
      </w:numPr>
      <w:spacing w:before="240"/>
    </w:pPr>
  </w:style>
  <w:style w:type="paragraph" w:customStyle="1" w:styleId="Appendixlevel2">
    <w:name w:val="Appendix level 2"/>
    <w:basedOn w:val="NICEnormal"/>
    <w:locked/>
    <w:rsid w:val="004B514C"/>
    <w:pPr>
      <w:numPr>
        <w:numId w:val="27"/>
      </w:numPr>
      <w:spacing w:before="240"/>
    </w:pPr>
  </w:style>
  <w:style w:type="paragraph" w:customStyle="1" w:styleId="Appendixbullet">
    <w:name w:val="Appendix bullet"/>
    <w:basedOn w:val="NICEnormal"/>
    <w:locked/>
    <w:rsid w:val="004B514C"/>
    <w:pPr>
      <w:numPr>
        <w:numId w:val="28"/>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30"/>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34"/>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35"/>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36"/>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39"/>
      </w:numPr>
      <w:tabs>
        <w:tab w:val="left" w:pos="426"/>
      </w:tabs>
    </w:pPr>
    <w:rPr>
      <w:noProof/>
    </w:rPr>
  </w:style>
  <w:style w:type="paragraph" w:customStyle="1" w:styleId="Bullets">
    <w:name w:val="Bullets"/>
    <w:basedOn w:val="Normal"/>
    <w:uiPriority w:val="5"/>
    <w:qFormat/>
    <w:locked/>
    <w:rsid w:val="009C6E2D"/>
    <w:pPr>
      <w:numPr>
        <w:numId w:val="37"/>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8"/>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3F2AC2"/>
    <w:rPr>
      <w:b/>
      <w:bCs/>
      <w:lang w:eastAsia="en-US"/>
    </w:rPr>
  </w:style>
  <w:style w:type="character" w:customStyle="1" w:styleId="CommentSubjectChar">
    <w:name w:val="Comment Subject Char"/>
    <w:basedOn w:val="CommentTextChar"/>
    <w:link w:val="CommentSubject"/>
    <w:rsid w:val="003F2AC2"/>
    <w:rPr>
      <w:b/>
      <w:bCs/>
      <w:lang w:eastAsia="en-US"/>
    </w:rPr>
  </w:style>
  <w:style w:type="paragraph" w:customStyle="1" w:styleId="paragraph0">
    <w:name w:val="paragraph"/>
    <w:basedOn w:val="Normal"/>
    <w:rsid w:val="003A60AF"/>
    <w:pPr>
      <w:spacing w:before="100" w:beforeAutospacing="1" w:after="100" w:afterAutospacing="1"/>
    </w:pPr>
    <w:rPr>
      <w:lang w:eastAsia="en-GB"/>
    </w:rPr>
  </w:style>
  <w:style w:type="character" w:customStyle="1" w:styleId="normaltextrun">
    <w:name w:val="normaltextrun"/>
    <w:basedOn w:val="DefaultParagraphFont"/>
    <w:rsid w:val="003A60AF"/>
  </w:style>
  <w:style w:type="character" w:customStyle="1" w:styleId="eop">
    <w:name w:val="eop"/>
    <w:basedOn w:val="DefaultParagraphFont"/>
    <w:rsid w:val="003A60AF"/>
  </w:style>
  <w:style w:type="character" w:customStyle="1" w:styleId="wacimagecontainer">
    <w:name w:val="wacimagecontainer"/>
    <w:basedOn w:val="DefaultParagraphFont"/>
    <w:rsid w:val="003A60AF"/>
  </w:style>
  <w:style w:type="paragraph" w:styleId="NormalWeb">
    <w:name w:val="Normal (Web)"/>
    <w:basedOn w:val="Normal"/>
    <w:uiPriority w:val="99"/>
    <w:unhideWhenUsed/>
    <w:locked/>
    <w:rsid w:val="00994BCA"/>
    <w:pPr>
      <w:spacing w:before="100" w:beforeAutospacing="1" w:after="100" w:afterAutospacing="1"/>
    </w:pPr>
    <w:rPr>
      <w:lang w:eastAsia="en-GB"/>
    </w:rPr>
  </w:style>
  <w:style w:type="paragraph" w:styleId="FootnoteText">
    <w:name w:val="footnote text"/>
    <w:basedOn w:val="Normal"/>
    <w:link w:val="FootnoteTextChar"/>
    <w:locked/>
    <w:rsid w:val="00DE52A0"/>
    <w:rPr>
      <w:sz w:val="20"/>
      <w:szCs w:val="20"/>
    </w:rPr>
  </w:style>
  <w:style w:type="character" w:customStyle="1" w:styleId="FootnoteTextChar">
    <w:name w:val="Footnote Text Char"/>
    <w:basedOn w:val="DefaultParagraphFont"/>
    <w:link w:val="FootnoteText"/>
    <w:rsid w:val="00DE52A0"/>
    <w:rPr>
      <w:lang w:eastAsia="en-US"/>
    </w:rPr>
  </w:style>
  <w:style w:type="character" w:styleId="FootnoteReference">
    <w:name w:val="footnote reference"/>
    <w:basedOn w:val="DefaultParagraphFont"/>
    <w:locked/>
    <w:rsid w:val="00DE52A0"/>
    <w:rPr>
      <w:vertAlign w:val="superscript"/>
    </w:rPr>
  </w:style>
  <w:style w:type="paragraph" w:styleId="EndnoteText">
    <w:name w:val="endnote text"/>
    <w:basedOn w:val="Normal"/>
    <w:link w:val="EndnoteTextChar"/>
    <w:locked/>
    <w:rsid w:val="0032761E"/>
    <w:rPr>
      <w:sz w:val="20"/>
      <w:szCs w:val="20"/>
    </w:rPr>
  </w:style>
  <w:style w:type="character" w:customStyle="1" w:styleId="EndnoteTextChar">
    <w:name w:val="Endnote Text Char"/>
    <w:basedOn w:val="DefaultParagraphFont"/>
    <w:link w:val="EndnoteText"/>
    <w:rsid w:val="0032761E"/>
    <w:rPr>
      <w:lang w:eastAsia="en-US"/>
    </w:rPr>
  </w:style>
  <w:style w:type="character" w:styleId="EndnoteReference">
    <w:name w:val="endnote reference"/>
    <w:basedOn w:val="DefaultParagraphFont"/>
    <w:locked/>
    <w:rsid w:val="0032761E"/>
    <w:rPr>
      <w:vertAlign w:val="superscript"/>
    </w:rPr>
  </w:style>
  <w:style w:type="paragraph" w:customStyle="1" w:styleId="Numberedlist">
    <w:name w:val="Numbered list"/>
    <w:basedOn w:val="Normal"/>
    <w:qFormat/>
    <w:rsid w:val="00C72082"/>
    <w:pPr>
      <w:numPr>
        <w:numId w:val="46"/>
      </w:numPr>
      <w:tabs>
        <w:tab w:val="left" w:pos="993"/>
      </w:tabs>
      <w:spacing w:line="360" w:lineRule="auto"/>
      <w:ind w:left="993" w:hanging="426"/>
    </w:pPr>
    <w:rPr>
      <w:rFonts w:ascii="Arial" w:hAnsi="Arial"/>
    </w:rPr>
  </w:style>
  <w:style w:type="paragraph" w:customStyle="1" w:styleId="Paragraphnonumbersnarrow">
    <w:name w:val="Paragraph no numbers narrow"/>
    <w:basedOn w:val="Paragraphnonumbers"/>
    <w:link w:val="ParagraphnonumbersnarrowChar"/>
    <w:qFormat/>
    <w:rsid w:val="00C72082"/>
    <w:pPr>
      <w:spacing w:before="120" w:after="120" w:line="360" w:lineRule="auto"/>
    </w:pPr>
    <w:rPr>
      <w:lang w:eastAsia="en-US"/>
    </w:rPr>
  </w:style>
  <w:style w:type="character" w:customStyle="1" w:styleId="ParagraphnonumbersnarrowChar">
    <w:name w:val="Paragraph no numbers narrow Char"/>
    <w:basedOn w:val="ParagraphnonumbersChar"/>
    <w:link w:val="Paragraphnonumbersnarrow"/>
    <w:rsid w:val="00C72082"/>
    <w:rPr>
      <w:rFonts w:ascii="Arial" w:hAnsi="Arial"/>
      <w:sz w:val="24"/>
      <w:szCs w:val="24"/>
      <w:lang w:eastAsia="en-US"/>
    </w:rPr>
  </w:style>
  <w:style w:type="character" w:styleId="FollowedHyperlink">
    <w:name w:val="FollowedHyperlink"/>
    <w:basedOn w:val="DefaultParagraphFont"/>
    <w:rsid w:val="00BF2487"/>
    <w:rPr>
      <w:color w:val="954F72" w:themeColor="followedHyperlink"/>
      <w:u w:val="single"/>
    </w:rPr>
  </w:style>
  <w:style w:type="character" w:styleId="Mention">
    <w:name w:val="Mention"/>
    <w:basedOn w:val="DefaultParagraphFont"/>
    <w:uiPriority w:val="99"/>
    <w:unhideWhenUsed/>
    <w:locked/>
    <w:rsid w:val="002540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5445">
      <w:bodyDiv w:val="1"/>
      <w:marLeft w:val="0"/>
      <w:marRight w:val="0"/>
      <w:marTop w:val="0"/>
      <w:marBottom w:val="0"/>
      <w:divBdr>
        <w:top w:val="none" w:sz="0" w:space="0" w:color="auto"/>
        <w:left w:val="none" w:sz="0" w:space="0" w:color="auto"/>
        <w:bottom w:val="none" w:sz="0" w:space="0" w:color="auto"/>
        <w:right w:val="none" w:sz="0" w:space="0" w:color="auto"/>
      </w:divBdr>
    </w:div>
    <w:div w:id="52162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67c25510d550c668de3b2a/dhsc-review-of_patient-safety-across-the-health-and-care-landscape.pdf" TargetMode="External"/><Relationship Id="rId13" Type="http://schemas.openxmlformats.org/officeDocument/2006/relationships/hyperlink" Target="https://www.gov.uk/drug-safety-update/valproate-use-in-men-as-a-precaution-men-and-their-partners-should-use-effective-contraception" TargetMode="External"/><Relationship Id="rId18" Type="http://schemas.openxmlformats.org/officeDocument/2006/relationships/hyperlink" Target="https://www.hssib.org.uk/patient-safety-investigations/safety-management-systems/investigation-report/" TargetMode="External"/><Relationship Id="rId3" Type="http://schemas.openxmlformats.org/officeDocument/2006/relationships/styles" Target="styles.xml"/><Relationship Id="rId21" Type="http://schemas.openxmlformats.org/officeDocument/2006/relationships/hyperlink" Target="https://www.nice.org.uk/terms-and-conditions" TargetMode="External"/><Relationship Id="rId7" Type="http://schemas.openxmlformats.org/officeDocument/2006/relationships/endnotes" Target="endnotes.xml"/><Relationship Id="rId12" Type="http://schemas.openxmlformats.org/officeDocument/2006/relationships/hyperlink" Target="https://www.gov.uk/drug-safety-update/topiramate-topamax-introduction-of-new-safety-measures-including-a-pregnancy-prevention-programme" TargetMode="External"/><Relationship Id="rId17" Type="http://schemas.openxmlformats.org/officeDocument/2006/relationships/hyperlink" Target="https://www.nice.org.uk/about/what-we-do/our-programmes/nice-guidance/nice-interventional-procedures-guid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rug-safety-update/fluoroquinolone-antibiotics-must-now-only-be-prescribed-when-other-commonly-recommended-antibiotics-are-inappropriat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drug-safety-update/nitrofurantoin-reminder-of-the-risks-of-pulmonary-and-hepatic-adverse-drug-reaction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gbr01.safelinks.protection.outlook.com/?url=https%3A%2F%2Fwww.gov.uk%2Fgovernment%2Fnews%2Fnational-maternity-investigation-launched-to-drive-improvements&amp;data=05%7C02%7CChris.Bird%40nice.org.uk%7C9c69619962aa4cb07d3908ddbbf34841%7C6030f479b342472da5dd740ff7538de9%7C0%7C0%7C638873375740467580%7CUnknown%7CTWFpbGZsb3d8eyJFbXB0eU1hcGkiOnRydWUsIlYiOiIwLjAuMDAwMCIsIlAiOiJXaW4zMiIsIkFOIjoiTWFpbCIsIldUIjoyfQ%3D%3D%7C0%7C%7C%7C&amp;sdata=0Id3B9afkyUHrOpuezW0sSPsAHHEuQ3uMEHZGm67rcY%3D&amp;reserved=0" TargetMode="External"/><Relationship Id="rId14" Type="http://schemas.openxmlformats.org/officeDocument/2006/relationships/hyperlink" Target="https://www.gov.uk/drug-safety-update/prolonged-release-opioids-removal-of-indication-for-relief-of-post-operative-pain"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doi.org/10.1177/251604352412820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4495</Words>
  <Characters>25265</Characters>
  <Application>Microsoft Office Word</Application>
  <DocSecurity>0</DocSecurity>
  <Lines>574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2025-12-05T09:00:00Z</dcterms:created>
  <dcterms:modified xsi:type="dcterms:W3CDTF">2025-12-05T09:00:00Z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2025-12-05T09:00:55Z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a0388858-0942-47f6-8e49-2a8d42d2c71e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