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76FC" w14:textId="77777777" w:rsidR="00057044" w:rsidRDefault="00057044" w:rsidP="00ED2C6A">
      <w:pPr>
        <w:pStyle w:val="Title1"/>
      </w:pPr>
      <w:bookmarkStart w:id="0" w:name="_Hlk214956351"/>
      <w:r w:rsidRPr="003D3B28">
        <w:t>Board meeting</w:t>
      </w:r>
    </w:p>
    <w:p w14:paraId="3E078281" w14:textId="5F78F145" w:rsidR="004B4705" w:rsidRDefault="00CD6DF3" w:rsidP="003D3B28">
      <w:pPr>
        <w:pStyle w:val="Title20"/>
      </w:pPr>
      <w:r>
        <w:t xml:space="preserve">10 </w:t>
      </w:r>
      <w:r w:rsidR="00A158F5">
        <w:t>December</w:t>
      </w:r>
      <w:r w:rsidR="00A73B40">
        <w:t xml:space="preserve"> 2025</w:t>
      </w:r>
    </w:p>
    <w:p w14:paraId="41266A5A" w14:textId="451C2D14" w:rsidR="00094B5D" w:rsidRPr="008036DF" w:rsidRDefault="00F75823" w:rsidP="003D3B28">
      <w:pPr>
        <w:pStyle w:val="Title1"/>
      </w:pPr>
      <w:r>
        <w:t>Update on recent consultations related to assessment of HealthTech</w:t>
      </w:r>
    </w:p>
    <w:p w14:paraId="79CAD037" w14:textId="77777777" w:rsidR="009B1D56" w:rsidRPr="003D3B28" w:rsidRDefault="009B1D56" w:rsidP="003D3B28">
      <w:pPr>
        <w:pStyle w:val="Heading1boardreport"/>
      </w:pPr>
      <w:r w:rsidRPr="003D3B28">
        <w:t>Purpose of paper</w:t>
      </w:r>
    </w:p>
    <w:p w14:paraId="06F41940" w14:textId="398CDA66" w:rsidR="00A158F5" w:rsidRDefault="00A158F5" w:rsidP="003830CE">
      <w:pPr>
        <w:pStyle w:val="NICEnormal"/>
      </w:pPr>
      <w:r w:rsidRPr="00A158F5">
        <w:t>For information</w:t>
      </w:r>
      <w:r>
        <w:t>.</w:t>
      </w:r>
    </w:p>
    <w:p w14:paraId="22A4CBA7" w14:textId="77777777" w:rsidR="009B1D56" w:rsidRPr="003D3B28" w:rsidRDefault="009B1D56" w:rsidP="003D3B28">
      <w:pPr>
        <w:pStyle w:val="Heading1boardreport"/>
      </w:pPr>
      <w:r w:rsidRPr="003D3B28">
        <w:t>Board action required</w:t>
      </w:r>
    </w:p>
    <w:p w14:paraId="1884BF51" w14:textId="3E78C0E5" w:rsidR="009B1D56" w:rsidRPr="00A73B40" w:rsidRDefault="00A73B40" w:rsidP="00A158F5">
      <w:pPr>
        <w:pStyle w:val="NICEnormal"/>
      </w:pPr>
      <w:r w:rsidRPr="00A73B40">
        <w:t>The</w:t>
      </w:r>
      <w:r w:rsidR="00A158F5" w:rsidRPr="00A158F5">
        <w:t xml:space="preserve"> Board is asked to receive this update.</w:t>
      </w:r>
    </w:p>
    <w:p w14:paraId="37AC540D" w14:textId="77777777" w:rsidR="009B1D56" w:rsidRPr="003D3B28" w:rsidRDefault="009B1D56" w:rsidP="003D3B28">
      <w:pPr>
        <w:pStyle w:val="Heading1boardreport"/>
      </w:pPr>
      <w:proofErr w:type="gramStart"/>
      <w:r w:rsidRPr="003D3B28">
        <w:t>Brief summary</w:t>
      </w:r>
      <w:proofErr w:type="gramEnd"/>
    </w:p>
    <w:p w14:paraId="7A4893D4" w14:textId="748CB8B9" w:rsidR="00A158F5" w:rsidRPr="00F75823" w:rsidRDefault="00F75823" w:rsidP="003830CE">
      <w:pPr>
        <w:pStyle w:val="NICEnormal"/>
      </w:pPr>
      <w:r>
        <w:t>This paper provides updates on t</w:t>
      </w:r>
      <w:r w:rsidRPr="00F75823">
        <w:t xml:space="preserve">wo consultations </w:t>
      </w:r>
      <w:r w:rsidR="0B89B3F6">
        <w:t xml:space="preserve">that </w:t>
      </w:r>
      <w:r w:rsidRPr="00F75823">
        <w:t>have recently been carried out related to assessing HealthTech in NICE guidance</w:t>
      </w:r>
      <w:r>
        <w:t>.</w:t>
      </w:r>
    </w:p>
    <w:p w14:paraId="3F24EA16" w14:textId="2CC459C1" w:rsidR="009B1D56" w:rsidRPr="003D3B28" w:rsidRDefault="009B1D56" w:rsidP="003D3B28">
      <w:pPr>
        <w:pStyle w:val="Heading1boardreport"/>
      </w:pPr>
      <w:r w:rsidRPr="003D3B28">
        <w:t>Board sponsor</w:t>
      </w:r>
    </w:p>
    <w:p w14:paraId="17BE6A36" w14:textId="098D7F56" w:rsidR="004B4705" w:rsidRPr="005F10EE" w:rsidRDefault="00A158F5" w:rsidP="004511A7">
      <w:pPr>
        <w:pStyle w:val="NICEnormal"/>
      </w:pPr>
      <w:r>
        <w:t>Tom Slater</w:t>
      </w:r>
      <w:r w:rsidR="00A73B40" w:rsidRPr="00A73B40">
        <w:t xml:space="preserve">, Director of </w:t>
      </w:r>
      <w:r>
        <w:t>HealthTech</w:t>
      </w:r>
      <w:r w:rsidR="004B4705" w:rsidRPr="005F10EE">
        <w:br w:type="page"/>
      </w:r>
    </w:p>
    <w:p w14:paraId="7EFD55B5" w14:textId="77777777" w:rsidR="004B4705" w:rsidRPr="00C30FD9" w:rsidRDefault="004B4705" w:rsidP="003D3B28">
      <w:pPr>
        <w:pStyle w:val="Heading1boardreport"/>
      </w:pPr>
      <w:r>
        <w:lastRenderedPageBreak/>
        <w:t xml:space="preserve">Introduction </w:t>
      </w:r>
    </w:p>
    <w:p w14:paraId="2CA954C6" w14:textId="1D3389A8" w:rsidR="00A158F5" w:rsidRDefault="00A158F5" w:rsidP="00B0686F">
      <w:pPr>
        <w:pStyle w:val="NICEnormalnumbered"/>
      </w:pPr>
      <w:r>
        <w:t>Two consultations have recently been carried out related to assessing HealthTech in NICE guidance:</w:t>
      </w:r>
    </w:p>
    <w:p w14:paraId="4879157E" w14:textId="4BACBD73" w:rsidR="00A158F5" w:rsidRDefault="00A158F5" w:rsidP="00A158F5">
      <w:pPr>
        <w:pStyle w:val="NICEnormalnumbered"/>
        <w:numPr>
          <w:ilvl w:val="1"/>
          <w:numId w:val="25"/>
        </w:numPr>
      </w:pPr>
      <w:r>
        <w:t xml:space="preserve">An update to the </w:t>
      </w:r>
      <w:hyperlink r:id="rId11">
        <w:r w:rsidR="00F54DA4" w:rsidRPr="523CDC96">
          <w:rPr>
            <w:rStyle w:val="Hyperlink"/>
          </w:rPr>
          <w:t>NICE HealthTech programme manual</w:t>
        </w:r>
      </w:hyperlink>
      <w:r w:rsidR="00F54DA4">
        <w:t xml:space="preserve"> </w:t>
      </w:r>
      <w:r>
        <w:t>(</w:t>
      </w:r>
      <w:r w:rsidR="00F75823">
        <w:t xml:space="preserve">PMG48; </w:t>
      </w:r>
      <w:r>
        <w:t xml:space="preserve">approved </w:t>
      </w:r>
      <w:r w:rsidR="00F54DA4">
        <w:t xml:space="preserve">for consultation </w:t>
      </w:r>
      <w:r>
        <w:t xml:space="preserve">at the </w:t>
      </w:r>
      <w:r w:rsidR="00F54DA4">
        <w:t>July</w:t>
      </w:r>
      <w:r>
        <w:t xml:space="preserve"> Board (see </w:t>
      </w:r>
      <w:hyperlink r:id="rId12">
        <w:r w:rsidRPr="523CDC96">
          <w:rPr>
            <w:rStyle w:val="Hyperlink"/>
          </w:rPr>
          <w:t>item</w:t>
        </w:r>
        <w:r w:rsidR="00F54DA4" w:rsidRPr="523CDC96">
          <w:rPr>
            <w:rStyle w:val="Hyperlink"/>
          </w:rPr>
          <w:t xml:space="preserve"> 8</w:t>
        </w:r>
      </w:hyperlink>
      <w:r w:rsidR="00F54DA4">
        <w:t>; ‘HealthTech manual update</w:t>
      </w:r>
      <w:r w:rsidR="006378F5">
        <w:t>’</w:t>
      </w:r>
      <w:r>
        <w:t>)</w:t>
      </w:r>
      <w:r w:rsidR="00661E01">
        <w:t xml:space="preserve">. </w:t>
      </w:r>
      <w:r w:rsidR="00D41E33" w:rsidRPr="00D41E33">
        <w:t>This consultation provided an updated methods section for HealthTech guidance and methods for assessing products in existing use (‘late stage assessment’ [LSA])</w:t>
      </w:r>
      <w:r w:rsidR="00E93A7A">
        <w:t>.</w:t>
      </w:r>
    </w:p>
    <w:p w14:paraId="52E8A46E" w14:textId="4A3B9CEB" w:rsidR="00A158F5" w:rsidRDefault="00F75823" w:rsidP="00A158F5">
      <w:pPr>
        <w:pStyle w:val="NICEnormalnumbered"/>
        <w:numPr>
          <w:ilvl w:val="1"/>
          <w:numId w:val="25"/>
        </w:numPr>
      </w:pPr>
      <w:r>
        <w:t xml:space="preserve">An update to </w:t>
      </w:r>
      <w:hyperlink r:id="rId13" w:history="1">
        <w:r w:rsidRPr="00F75823">
          <w:rPr>
            <w:rStyle w:val="Hyperlink"/>
          </w:rPr>
          <w:t>NICE health technology evaluations: the manual</w:t>
        </w:r>
      </w:hyperlink>
      <w:r>
        <w:t xml:space="preserve"> </w:t>
      </w:r>
      <w:r w:rsidR="00A158F5">
        <w:t>(</w:t>
      </w:r>
      <w:r>
        <w:t xml:space="preserve">PMG36; </w:t>
      </w:r>
      <w:r w:rsidR="00A158F5">
        <w:t xml:space="preserve">approved </w:t>
      </w:r>
      <w:r w:rsidR="00000524">
        <w:t xml:space="preserve">for consultation </w:t>
      </w:r>
      <w:r w:rsidR="00A158F5">
        <w:t xml:space="preserve">at the </w:t>
      </w:r>
      <w:r w:rsidR="00000524">
        <w:t>September</w:t>
      </w:r>
      <w:r w:rsidR="00A158F5">
        <w:t xml:space="preserve"> Board (see </w:t>
      </w:r>
      <w:hyperlink r:id="rId14" w:history="1">
        <w:r w:rsidR="00A158F5" w:rsidRPr="00000524">
          <w:rPr>
            <w:rStyle w:val="Hyperlink"/>
          </w:rPr>
          <w:t>item</w:t>
        </w:r>
        <w:r w:rsidR="00000524" w:rsidRPr="00000524">
          <w:rPr>
            <w:rStyle w:val="Hyperlink"/>
          </w:rPr>
          <w:t xml:space="preserve"> 9</w:t>
        </w:r>
      </w:hyperlink>
      <w:r w:rsidR="00000524">
        <w:t>; ‘</w:t>
      </w:r>
      <w:r w:rsidR="00000524" w:rsidRPr="00000524">
        <w:t>Update to NICE health technology evaluations: the manual-PMG36</w:t>
      </w:r>
      <w:r w:rsidR="00000524">
        <w:t>’</w:t>
      </w:r>
      <w:r w:rsidR="00A158F5">
        <w:t>)</w:t>
      </w:r>
      <w:r w:rsidR="00000524">
        <w:t>.</w:t>
      </w:r>
      <w:r w:rsidR="00D41E33">
        <w:t xml:space="preserve"> </w:t>
      </w:r>
      <w:r w:rsidR="00D41E33" w:rsidRPr="00D41E33">
        <w:t>This consultation proposed updates to the PMG36 manual to facilitate greater production of technology appraisal guidance on HealthTech, as set out in the NHS 10 year plan</w:t>
      </w:r>
      <w:r w:rsidR="00EA7978">
        <w:t>.</w:t>
      </w:r>
    </w:p>
    <w:p w14:paraId="10387376" w14:textId="29E85571" w:rsidR="00A158F5" w:rsidRDefault="00A158F5" w:rsidP="00F54DA4">
      <w:pPr>
        <w:pStyle w:val="NICEnormalnumbered"/>
      </w:pPr>
      <w:r>
        <w:t>For both these consu</w:t>
      </w:r>
      <w:r w:rsidR="00EA0D79">
        <w:t>ltations</w:t>
      </w:r>
      <w:r>
        <w:t>, the Board deleg</w:t>
      </w:r>
      <w:r w:rsidR="00EA0D79">
        <w:t>a</w:t>
      </w:r>
      <w:r>
        <w:t xml:space="preserve">ted </w:t>
      </w:r>
      <w:r w:rsidR="00F54DA4" w:rsidRPr="00F54DA4">
        <w:t xml:space="preserve">to </w:t>
      </w:r>
      <w:r w:rsidR="00000524">
        <w:t xml:space="preserve">NICE’s </w:t>
      </w:r>
      <w:r w:rsidR="00F54DA4" w:rsidRPr="00F54DA4">
        <w:t>Guidance Executive approval of any subsequent changes to the manual</w:t>
      </w:r>
      <w:r w:rsidR="00F54DA4">
        <w:t>s</w:t>
      </w:r>
      <w:r w:rsidR="00F54DA4" w:rsidRPr="00F54DA4">
        <w:t xml:space="preserve"> post-consultation and response to consultation comments.</w:t>
      </w:r>
      <w:r w:rsidR="00F54DA4">
        <w:t xml:space="preserve"> This paper provides </w:t>
      </w:r>
      <w:r w:rsidR="00000524">
        <w:t xml:space="preserve">an </w:t>
      </w:r>
      <w:r w:rsidR="00F54DA4" w:rsidRPr="00F54DA4">
        <w:t xml:space="preserve">update </w:t>
      </w:r>
      <w:r w:rsidR="00000524">
        <w:t xml:space="preserve">on, </w:t>
      </w:r>
      <w:r w:rsidR="00F54DA4" w:rsidRPr="00F54DA4">
        <w:t>and feedback from</w:t>
      </w:r>
      <w:r w:rsidR="00000524">
        <w:t>,</w:t>
      </w:r>
      <w:r w:rsidR="00F54DA4" w:rsidRPr="00F54DA4">
        <w:t xml:space="preserve"> </w:t>
      </w:r>
      <w:r w:rsidR="00F54DA4">
        <w:t xml:space="preserve">the </w:t>
      </w:r>
      <w:r w:rsidR="00F54DA4" w:rsidRPr="00F54DA4">
        <w:t>consultation</w:t>
      </w:r>
      <w:r w:rsidR="00F54DA4">
        <w:t>s.</w:t>
      </w:r>
    </w:p>
    <w:p w14:paraId="5B6D6442" w14:textId="5C962286" w:rsidR="004B4705" w:rsidRDefault="00F54DA4" w:rsidP="003D3B28">
      <w:pPr>
        <w:pStyle w:val="Heading1boardreport"/>
      </w:pPr>
      <w:r w:rsidRPr="00F54DA4">
        <w:t>HealthTech manual update (PMG48)</w:t>
      </w:r>
    </w:p>
    <w:p w14:paraId="1A93A07C" w14:textId="5122A385" w:rsidR="00F54DA4" w:rsidRDefault="00F54DA4" w:rsidP="00F54DA4">
      <w:pPr>
        <w:pStyle w:val="NICEnormalnumbered"/>
      </w:pPr>
      <w:r>
        <w:t xml:space="preserve">This </w:t>
      </w:r>
      <w:r w:rsidR="00000524">
        <w:t>consultation</w:t>
      </w:r>
      <w:r>
        <w:t xml:space="preserve"> provided</w:t>
      </w:r>
      <w:r w:rsidRPr="00F54DA4">
        <w:t xml:space="preserve"> an updated methods section for HealthTech guidance and methods for assessing products in existing use (‘late stage assessment’ [LSA])</w:t>
      </w:r>
      <w:r>
        <w:t xml:space="preserve">. </w:t>
      </w:r>
      <w:r w:rsidR="00000524">
        <w:t>It</w:t>
      </w:r>
      <w:r>
        <w:t xml:space="preserve"> was held between 1</w:t>
      </w:r>
      <w:r w:rsidRPr="00F54DA4">
        <w:rPr>
          <w:vertAlign w:val="superscript"/>
        </w:rPr>
        <w:t>st</w:t>
      </w:r>
      <w:r>
        <w:t xml:space="preserve"> August and 4</w:t>
      </w:r>
      <w:r w:rsidRPr="00F54DA4">
        <w:rPr>
          <w:vertAlign w:val="superscript"/>
        </w:rPr>
        <w:t>th</w:t>
      </w:r>
      <w:r>
        <w:t xml:space="preserve"> September 2025.</w:t>
      </w:r>
    </w:p>
    <w:p w14:paraId="7A0652AA" w14:textId="762B64C3" w:rsidR="004B4705" w:rsidRDefault="00366650" w:rsidP="006E0F0C">
      <w:pPr>
        <w:pStyle w:val="Heading2boardreport"/>
      </w:pPr>
      <w:r>
        <w:t xml:space="preserve">Overview of </w:t>
      </w:r>
      <w:r w:rsidR="00F54DA4">
        <w:t>comments and responses</w:t>
      </w:r>
    </w:p>
    <w:p w14:paraId="27DB121C" w14:textId="54B90E77" w:rsidR="00F54DA4" w:rsidRDefault="00000524" w:rsidP="00000524">
      <w:pPr>
        <w:pStyle w:val="NICEnormalnumbered"/>
      </w:pPr>
      <w:r>
        <w:t xml:space="preserve">A full overview of comments and our responses is published on the </w:t>
      </w:r>
      <w:hyperlink r:id="rId15" w:history="1">
        <w:r w:rsidRPr="00000524">
          <w:rPr>
            <w:rStyle w:val="Hyperlink"/>
          </w:rPr>
          <w:t>NICE website</w:t>
        </w:r>
      </w:hyperlink>
      <w:r>
        <w:t xml:space="preserve">. </w:t>
      </w:r>
      <w:r w:rsidRPr="00000524">
        <w:t>We received 468 responses from 28 organisations and individuals</w:t>
      </w:r>
      <w:r>
        <w:t>.</w:t>
      </w:r>
    </w:p>
    <w:p w14:paraId="1463B051" w14:textId="58D77C67" w:rsidR="00396919" w:rsidRDefault="00000524" w:rsidP="00396919">
      <w:pPr>
        <w:pStyle w:val="Heading3boardreport"/>
      </w:pPr>
      <w:r>
        <w:lastRenderedPageBreak/>
        <w:t>Summary of key comments and responses</w:t>
      </w:r>
    </w:p>
    <w:p w14:paraId="083FB73C" w14:textId="77777777" w:rsidR="00000524" w:rsidRDefault="00000524" w:rsidP="00A341C8">
      <w:pPr>
        <w:pStyle w:val="Heading4"/>
      </w:pPr>
      <w:r>
        <w:t>General comments</w:t>
      </w:r>
    </w:p>
    <w:p w14:paraId="37A26821" w14:textId="63B16AEE" w:rsidR="00000524" w:rsidRDefault="00000524" w:rsidP="002832A3">
      <w:pPr>
        <w:pStyle w:val="NICEnormalnumbered"/>
      </w:pPr>
      <w:r>
        <w:t>Several respondents welcomed the explicit focus on the impacts of HealthTech on service efficiency and capacity. They stated that impacts such as service capacity, pathway efficiency, and system sustainability are critical to the NHS, and should be explicitly considered alongside QALY-based estimates.</w:t>
      </w:r>
      <w:bookmarkStart w:id="1" w:name="_Hlk214296006"/>
    </w:p>
    <w:p w14:paraId="3F4AFDA2" w14:textId="77777777" w:rsidR="00000524" w:rsidRDefault="00000524" w:rsidP="00A341C8">
      <w:pPr>
        <w:pStyle w:val="Heading4"/>
      </w:pPr>
      <w:r>
        <w:t>Decisions about what stage of life cycle HealthTech guidance to produce</w:t>
      </w:r>
    </w:p>
    <w:p w14:paraId="3AF0F769" w14:textId="0A3B82BE" w:rsidR="00000524" w:rsidRDefault="00000524" w:rsidP="00000524">
      <w:pPr>
        <w:pStyle w:val="NICEnormalnumbered"/>
      </w:pPr>
      <w:r>
        <w:t>A key part of the transformation of HealthTech guidance has been the introduction of 3 life cycle stages of guidance: early use, routine use and existing use (previously late stage assessment [LSA]). Respondents requested greater detail on how decisions are made about what guidance approach is to be taken. Further detail has been added to the HealthTech manual to set out criteria, and further clarify that NICE make this decision, and that stakeholders (including companies) can input during the scoping process.</w:t>
      </w:r>
    </w:p>
    <w:p w14:paraId="49503C87" w14:textId="77777777" w:rsidR="00000524" w:rsidRDefault="00000524" w:rsidP="00A341C8">
      <w:pPr>
        <w:pStyle w:val="Heading4"/>
      </w:pPr>
      <w:r>
        <w:t>Severity modifier</w:t>
      </w:r>
    </w:p>
    <w:p w14:paraId="262EE887" w14:textId="282C538C" w:rsidR="00000524" w:rsidRDefault="00000524" w:rsidP="00000524">
      <w:pPr>
        <w:pStyle w:val="NICEnormalnumbered"/>
      </w:pPr>
      <w:r>
        <w:t>Respondents stated that a severity modifier should also be applied to HealthTech guidance, as for medicines, to ensure fairness and parity across NICE’s processes. Not using a severity modifier for HealthTech was said to contradict the intention of the 10 year health plan to create parity of esteem between different health technologies.</w:t>
      </w:r>
    </w:p>
    <w:p w14:paraId="709B4294" w14:textId="0867FB72" w:rsidR="00000524" w:rsidRDefault="00000524" w:rsidP="00000524">
      <w:pPr>
        <w:pStyle w:val="NICEnormalnumbered"/>
      </w:pPr>
      <w:r>
        <w:t xml:space="preserve">Our response has been to align the wording relating to the severity modifier in the manual to what is stated in the </w:t>
      </w:r>
      <w:hyperlink r:id="rId16" w:history="1">
        <w:r w:rsidRPr="00F75823">
          <w:rPr>
            <w:rStyle w:val="Hyperlink"/>
          </w:rPr>
          <w:t>Developing NICE guidelines: the manual</w:t>
        </w:r>
      </w:hyperlink>
      <w:r>
        <w:t xml:space="preserve"> (that is, the NICE manual for clinical guidelines). The response also notes that we are currently exploring approaches to how the severity modifier could be used for HealthTech guidance, and cites the ongoing project in this area on the NICE Listens webpage.</w:t>
      </w:r>
    </w:p>
    <w:p w14:paraId="0F56292C" w14:textId="77777777" w:rsidR="00000524" w:rsidRDefault="00000524" w:rsidP="00A341C8">
      <w:pPr>
        <w:pStyle w:val="Heading4"/>
      </w:pPr>
      <w:r>
        <w:t>Rare diseases</w:t>
      </w:r>
    </w:p>
    <w:p w14:paraId="777624C5" w14:textId="7D6E8C0D" w:rsidR="00000524" w:rsidRDefault="00000524" w:rsidP="00000524">
      <w:pPr>
        <w:pStyle w:val="NICEnormalnumbered"/>
      </w:pPr>
      <w:r>
        <w:t>A patient group said that the manual updates do</w:t>
      </w:r>
      <w:r w:rsidR="00CB196E">
        <w:t xml:space="preserve"> no</w:t>
      </w:r>
      <w:r>
        <w:t xml:space="preserve">t take into consideration the needs of the rare disease community. They stated that higher cost effectiveness </w:t>
      </w:r>
      <w:r>
        <w:lastRenderedPageBreak/>
        <w:t>thresholds should be allowed for rare condition and that HealthTech should have the option of Highly Specialised Technology (HST) guidance, as for medicines.</w:t>
      </w:r>
    </w:p>
    <w:bookmarkEnd w:id="1"/>
    <w:p w14:paraId="0A6D84B8" w14:textId="7EB64F26" w:rsidR="00000524" w:rsidRDefault="00000524" w:rsidP="00A72FBB">
      <w:pPr>
        <w:pStyle w:val="Paragraph"/>
        <w:spacing w:line="360" w:lineRule="auto"/>
        <w:ind w:left="357" w:hanging="357"/>
      </w:pPr>
      <w:r>
        <w:t>In the response we have highlighted that HealthTech is eligible for HST guidance (provided eligibility criteria are met). And that th</w:t>
      </w:r>
      <w:r w:rsidR="638C4DDD">
        <w:t>e</w:t>
      </w:r>
      <w:r>
        <w:t xml:space="preserve"> committees have flexibility about the maximum acceptable </w:t>
      </w:r>
      <w:r w:rsidR="00734EF5" w:rsidRPr="00734EF5">
        <w:t xml:space="preserve">incremental cost-effectiveness ratio </w:t>
      </w:r>
      <w:r w:rsidR="00734EF5">
        <w:t>(</w:t>
      </w:r>
      <w:r>
        <w:t>ICER</w:t>
      </w:r>
      <w:r w:rsidR="00734EF5">
        <w:t>)</w:t>
      </w:r>
      <w:r>
        <w:t xml:space="preserve"> that they use. In addition, we have further highlighted in the manual text the need to consider expectations of evidence for rare conditions.</w:t>
      </w:r>
    </w:p>
    <w:p w14:paraId="268930BB" w14:textId="77777777" w:rsidR="00000524" w:rsidRDefault="00000524" w:rsidP="00A341C8">
      <w:pPr>
        <w:pStyle w:val="Heading4"/>
      </w:pPr>
      <w:r>
        <w:t>Evidence and requests for further guidance and support</w:t>
      </w:r>
    </w:p>
    <w:p w14:paraId="619AEF40" w14:textId="3BD97C35" w:rsidR="00000524" w:rsidRDefault="00000524" w:rsidP="00E16D43">
      <w:pPr>
        <w:pStyle w:val="NICEnormalnumbered"/>
      </w:pPr>
      <w:r>
        <w:t>Several respondents requested that NICE develop further resources and guidance to support developers of evidence, such as evidentiary requirements for NICE guidance. Respondents also emphasized the need for pragmatic evidence expectations for HealthTech.</w:t>
      </w:r>
    </w:p>
    <w:p w14:paraId="0FD95553" w14:textId="39C9DDFC" w:rsidR="00000524" w:rsidRDefault="000172B5" w:rsidP="00A341C8">
      <w:pPr>
        <w:pStyle w:val="Heading4"/>
      </w:pPr>
      <w:r>
        <w:t>C</w:t>
      </w:r>
      <w:r w:rsidR="00000524">
        <w:t>omments on existing use guidance (late stage assessment [LSA])</w:t>
      </w:r>
    </w:p>
    <w:p w14:paraId="1FAB1A49" w14:textId="4DC8AB5D" w:rsidR="00000524" w:rsidRDefault="00000524" w:rsidP="00000524">
      <w:pPr>
        <w:pStyle w:val="NICEnormalnumbered"/>
      </w:pPr>
      <w:r>
        <w:t>Several overarching comments on the LSA pilot topics were made:</w:t>
      </w:r>
    </w:p>
    <w:p w14:paraId="021C20CA" w14:textId="5EE41C79" w:rsidR="00000524" w:rsidRDefault="00000524" w:rsidP="00A341C8">
      <w:pPr>
        <w:pStyle w:val="NICEnormalnumbered"/>
        <w:numPr>
          <w:ilvl w:val="0"/>
          <w:numId w:val="29"/>
        </w:numPr>
      </w:pPr>
      <w:r>
        <w:t xml:space="preserve">The approach </w:t>
      </w:r>
      <w:r w:rsidR="00E16D43">
        <w:t xml:space="preserve">was stated to </w:t>
      </w:r>
      <w:r>
        <w:t>place</w:t>
      </w:r>
      <w:r w:rsidR="00E16D43">
        <w:t xml:space="preserve"> a</w:t>
      </w:r>
      <w:r>
        <w:t xml:space="preserve"> primary emphasis on cost containment and reducing cost</w:t>
      </w:r>
    </w:p>
    <w:p w14:paraId="0C2296B0" w14:textId="12F6AEE5" w:rsidR="00000524" w:rsidRDefault="00000524" w:rsidP="00A341C8">
      <w:pPr>
        <w:pStyle w:val="NICEnormalnumbered"/>
        <w:numPr>
          <w:ilvl w:val="0"/>
          <w:numId w:val="29"/>
        </w:numPr>
      </w:pPr>
      <w:r>
        <w:t>Guidance overlooked the needs of patients and the role of clinicians in selecting products suitable for the clinical situation and the patient needs</w:t>
      </w:r>
    </w:p>
    <w:p w14:paraId="25FBA559" w14:textId="4A2B4177" w:rsidR="00000524" w:rsidRDefault="00000524" w:rsidP="00A341C8">
      <w:pPr>
        <w:pStyle w:val="NICEnormalnumbered"/>
        <w:numPr>
          <w:ilvl w:val="0"/>
          <w:numId w:val="29"/>
        </w:numPr>
      </w:pPr>
      <w:r>
        <w:t>The approach risks innovation not being sufficiently rewarded. If companies struggle to introduce innovative products, they might decide to exit the UK market or not introduce innovative products in the future</w:t>
      </w:r>
    </w:p>
    <w:p w14:paraId="607448B8" w14:textId="4B6BB522" w:rsidR="00000524" w:rsidRDefault="00000524" w:rsidP="00942492">
      <w:pPr>
        <w:pStyle w:val="NICEnormalnumbered"/>
        <w:numPr>
          <w:ilvl w:val="0"/>
          <w:numId w:val="29"/>
        </w:numPr>
      </w:pPr>
      <w:r>
        <w:t>Respondents questioned phrasing in a proposed recommendation for existing use recommendations</w:t>
      </w:r>
      <w:r w:rsidR="007C1A36">
        <w:t xml:space="preserve">. </w:t>
      </w:r>
      <w:r>
        <w:t>In response, working with the Content team we have revised the phrasing of the recommendations and provided further explanation in the ‘What this means in practice’ section which accompanies the recommendations.</w:t>
      </w:r>
    </w:p>
    <w:p w14:paraId="5BC14798" w14:textId="6E0A04C7" w:rsidR="008E7CFF" w:rsidRDefault="008E7CFF" w:rsidP="008E7CFF">
      <w:pPr>
        <w:pStyle w:val="Heading4"/>
      </w:pPr>
      <w:r>
        <w:lastRenderedPageBreak/>
        <w:t>After action reviews</w:t>
      </w:r>
    </w:p>
    <w:p w14:paraId="2BA17AF5" w14:textId="004CA4E4" w:rsidR="00942492" w:rsidRDefault="00C26BE8" w:rsidP="00C26BE8">
      <w:pPr>
        <w:pStyle w:val="NICEnormalnumbered"/>
      </w:pPr>
      <w:r>
        <w:t>Following the completion of the initial late stage assessment (LSA) topics, after action reviews (AARs) were held. Feedback was obtained through surveys sent out after publication of guidance to all registered stakeholders for</w:t>
      </w:r>
      <w:r w:rsidR="00DD2765">
        <w:t xml:space="preserve"> </w:t>
      </w:r>
      <w:r>
        <w:t>the topic. In addition, an external AAR session was held for all topics, as an opportunity to discuss elements of the LSA process and methods and provide NICE with feedback</w:t>
      </w:r>
      <w:r w:rsidR="004A2582">
        <w:t xml:space="preserve">, which </w:t>
      </w:r>
      <w:r w:rsidR="00EB6910" w:rsidRPr="00EB6910">
        <w:t>was considered alongside the consultation comments.</w:t>
      </w:r>
      <w:r w:rsidR="008E7CFF">
        <w:t xml:space="preserve"> Key points raised in the AARs were:</w:t>
      </w:r>
    </w:p>
    <w:p w14:paraId="5A2519CD" w14:textId="27B92B17" w:rsidR="008E7CFF" w:rsidRDefault="001A0E7C" w:rsidP="00A44A3B">
      <w:pPr>
        <w:pStyle w:val="NICEnormalnumbered"/>
        <w:numPr>
          <w:ilvl w:val="0"/>
          <w:numId w:val="31"/>
        </w:numPr>
      </w:pPr>
      <w:r>
        <w:t>The need for greater communication on</w:t>
      </w:r>
      <w:r w:rsidR="000942FC">
        <w:t xml:space="preserve"> timelines</w:t>
      </w:r>
      <w:r>
        <w:t xml:space="preserve"> and expectations</w:t>
      </w:r>
      <w:r w:rsidR="007D2DA6">
        <w:t xml:space="preserve">, including </w:t>
      </w:r>
      <w:r w:rsidR="000B2628">
        <w:t>greater clarity on topic selection rationale.</w:t>
      </w:r>
      <w:r w:rsidR="00AB178B">
        <w:t xml:space="preserve"> In response, the existing use process is now desc</w:t>
      </w:r>
      <w:r w:rsidR="00DD2765">
        <w:t>ri</w:t>
      </w:r>
      <w:r w:rsidR="00AB178B">
        <w:t xml:space="preserve">bed in the updated </w:t>
      </w:r>
      <w:hyperlink r:id="rId17" w:history="1">
        <w:r w:rsidR="00BB4875" w:rsidRPr="00BB4875">
          <w:rPr>
            <w:rStyle w:val="Hyperlink"/>
          </w:rPr>
          <w:t>NICE HealthTech programme manual</w:t>
        </w:r>
      </w:hyperlink>
      <w:r w:rsidR="00BB4875">
        <w:t xml:space="preserve"> in greater detail than </w:t>
      </w:r>
      <w:r w:rsidR="00F84F71">
        <w:t xml:space="preserve">in </w:t>
      </w:r>
      <w:r w:rsidR="00BB4875">
        <w:t>the interim stat</w:t>
      </w:r>
      <w:r w:rsidR="005F7236">
        <w:t>ement</w:t>
      </w:r>
      <w:r w:rsidR="00BB4875">
        <w:t xml:space="preserve"> used for the pilots.</w:t>
      </w:r>
      <w:r w:rsidR="00A44A3B">
        <w:t xml:space="preserve"> The AARs have highlighted several areas for potential improvement in how we interact with companies in future existing use guidance topics. One such area is greater contact and communication with companies at the start of an assessment to make sure they better understand the process and how they can interact with NICE and the decision-making process. We are also developing a frequently asked questions document to share with companies.</w:t>
      </w:r>
    </w:p>
    <w:p w14:paraId="7DA0014B" w14:textId="3DAF7910" w:rsidR="00FF2438" w:rsidRPr="00FF2438" w:rsidRDefault="007B42C1" w:rsidP="00FF2438">
      <w:pPr>
        <w:pStyle w:val="Heading2boardreport"/>
        <w:numPr>
          <w:ilvl w:val="0"/>
          <w:numId w:val="31"/>
        </w:numPr>
        <w:rPr>
          <w:rFonts w:cs="Times New Roman"/>
          <w:b w:val="0"/>
          <w:bCs w:val="0"/>
          <w:noProof/>
          <w:sz w:val="24"/>
          <w:szCs w:val="24"/>
          <w:lang w:eastAsia="en-GB"/>
        </w:rPr>
      </w:pPr>
      <w:r>
        <w:rPr>
          <w:rFonts w:cs="Times New Roman"/>
          <w:b w:val="0"/>
          <w:bCs w:val="0"/>
          <w:noProof/>
          <w:sz w:val="24"/>
          <w:szCs w:val="24"/>
          <w:lang w:eastAsia="en-GB"/>
        </w:rPr>
        <w:t>Questions were asked about approaches to cons</w:t>
      </w:r>
      <w:r w:rsidR="005F7236">
        <w:rPr>
          <w:rFonts w:cs="Times New Roman"/>
          <w:b w:val="0"/>
          <w:bCs w:val="0"/>
          <w:noProof/>
          <w:sz w:val="24"/>
          <w:szCs w:val="24"/>
          <w:lang w:eastAsia="en-GB"/>
        </w:rPr>
        <w:t>idering</w:t>
      </w:r>
      <w:r>
        <w:rPr>
          <w:rFonts w:cs="Times New Roman"/>
          <w:b w:val="0"/>
          <w:bCs w:val="0"/>
          <w:noProof/>
          <w:sz w:val="24"/>
          <w:szCs w:val="24"/>
          <w:lang w:eastAsia="en-GB"/>
        </w:rPr>
        <w:t xml:space="preserve"> eviden</w:t>
      </w:r>
      <w:r w:rsidR="005F7236">
        <w:rPr>
          <w:rFonts w:cs="Times New Roman"/>
          <w:b w:val="0"/>
          <w:bCs w:val="0"/>
          <w:noProof/>
          <w:sz w:val="24"/>
          <w:szCs w:val="24"/>
          <w:lang w:eastAsia="en-GB"/>
        </w:rPr>
        <w:t>c</w:t>
      </w:r>
      <w:r>
        <w:rPr>
          <w:rFonts w:cs="Times New Roman"/>
          <w:b w:val="0"/>
          <w:bCs w:val="0"/>
          <w:noProof/>
          <w:sz w:val="24"/>
          <w:szCs w:val="24"/>
          <w:lang w:eastAsia="en-GB"/>
        </w:rPr>
        <w:t>e</w:t>
      </w:r>
      <w:r w:rsidR="007574C4">
        <w:rPr>
          <w:rFonts w:cs="Times New Roman"/>
          <w:b w:val="0"/>
          <w:bCs w:val="0"/>
          <w:noProof/>
          <w:sz w:val="24"/>
          <w:szCs w:val="24"/>
          <w:lang w:eastAsia="en-GB"/>
        </w:rPr>
        <w:t xml:space="preserve"> and the </w:t>
      </w:r>
      <w:r w:rsidR="007E3635">
        <w:rPr>
          <w:rFonts w:cs="Times New Roman"/>
          <w:b w:val="0"/>
          <w:bCs w:val="0"/>
          <w:noProof/>
          <w:sz w:val="24"/>
          <w:szCs w:val="24"/>
          <w:lang w:eastAsia="en-GB"/>
        </w:rPr>
        <w:t xml:space="preserve">level of </w:t>
      </w:r>
      <w:r w:rsidR="007574C4">
        <w:rPr>
          <w:rFonts w:cs="Times New Roman"/>
          <w:b w:val="0"/>
          <w:bCs w:val="0"/>
          <w:noProof/>
          <w:sz w:val="24"/>
          <w:szCs w:val="24"/>
          <w:lang w:eastAsia="en-GB"/>
        </w:rPr>
        <w:t xml:space="preserve">engagement with </w:t>
      </w:r>
      <w:r w:rsidR="007E3635">
        <w:rPr>
          <w:rFonts w:cs="Times New Roman"/>
          <w:b w:val="0"/>
          <w:bCs w:val="0"/>
          <w:noProof/>
          <w:sz w:val="24"/>
          <w:szCs w:val="24"/>
          <w:lang w:eastAsia="en-GB"/>
        </w:rPr>
        <w:t>technology users to help inform guidance</w:t>
      </w:r>
      <w:r>
        <w:rPr>
          <w:rFonts w:cs="Times New Roman"/>
          <w:b w:val="0"/>
          <w:bCs w:val="0"/>
          <w:noProof/>
          <w:sz w:val="24"/>
          <w:szCs w:val="24"/>
          <w:lang w:eastAsia="en-GB"/>
        </w:rPr>
        <w:t xml:space="preserve">. </w:t>
      </w:r>
      <w:r w:rsidR="00C96B8A" w:rsidRPr="00C96B8A">
        <w:rPr>
          <w:rFonts w:cs="Times New Roman"/>
          <w:b w:val="0"/>
          <w:bCs w:val="0"/>
          <w:noProof/>
          <w:sz w:val="24"/>
          <w:szCs w:val="24"/>
          <w:lang w:eastAsia="en-GB"/>
        </w:rPr>
        <w:t>To provide further support and guidance on prioritisation of studies for inclusion in an assessment report, and help clarify approaches to this, NICE commissioned the NICE Decision Support Unit to produce a technical support document on ‘Prioritising studies and outcomes for consideration in NICE HealthTech literature reviews’</w:t>
      </w:r>
      <w:r w:rsidR="00C96B8A">
        <w:rPr>
          <w:rFonts w:cs="Times New Roman"/>
          <w:b w:val="0"/>
          <w:bCs w:val="0"/>
          <w:noProof/>
          <w:sz w:val="24"/>
          <w:szCs w:val="24"/>
          <w:lang w:eastAsia="en-GB"/>
        </w:rPr>
        <w:t xml:space="preserve"> which is cited in the updated</w:t>
      </w:r>
      <w:r>
        <w:rPr>
          <w:rFonts w:cs="Times New Roman"/>
          <w:b w:val="0"/>
          <w:bCs w:val="0"/>
          <w:noProof/>
          <w:sz w:val="24"/>
          <w:szCs w:val="24"/>
          <w:lang w:eastAsia="en-GB"/>
        </w:rPr>
        <w:t xml:space="preserve"> </w:t>
      </w:r>
      <w:hyperlink r:id="rId18" w:history="1">
        <w:r w:rsidRPr="00F22DFB">
          <w:rPr>
            <w:rStyle w:val="Hyperlink"/>
            <w:rFonts w:cs="Times New Roman"/>
            <w:b w:val="0"/>
            <w:bCs w:val="0"/>
            <w:noProof/>
            <w:sz w:val="24"/>
            <w:szCs w:val="24"/>
            <w:lang w:eastAsia="en-GB"/>
          </w:rPr>
          <w:t>NICE HealthTech programme manual</w:t>
        </w:r>
      </w:hyperlink>
      <w:r w:rsidR="005B1F21" w:rsidRPr="00FF2438">
        <w:rPr>
          <w:rFonts w:cs="Times New Roman"/>
          <w:b w:val="0"/>
          <w:bCs w:val="0"/>
          <w:noProof/>
          <w:sz w:val="24"/>
          <w:szCs w:val="24"/>
          <w:lang w:eastAsia="en-GB"/>
        </w:rPr>
        <w:t>. For use</w:t>
      </w:r>
      <w:r w:rsidR="00425373">
        <w:rPr>
          <w:rFonts w:cs="Times New Roman"/>
          <w:b w:val="0"/>
          <w:bCs w:val="0"/>
          <w:noProof/>
          <w:sz w:val="24"/>
          <w:szCs w:val="24"/>
          <w:lang w:eastAsia="en-GB"/>
        </w:rPr>
        <w:t>r</w:t>
      </w:r>
      <w:r w:rsidR="005B1F21" w:rsidRPr="00FF2438">
        <w:rPr>
          <w:rFonts w:cs="Times New Roman"/>
          <w:b w:val="0"/>
          <w:bCs w:val="0"/>
          <w:noProof/>
          <w:sz w:val="24"/>
          <w:szCs w:val="24"/>
          <w:lang w:eastAsia="en-GB"/>
        </w:rPr>
        <w:t xml:space="preserve"> engagement, we have </w:t>
      </w:r>
      <w:r w:rsidR="005F7236">
        <w:rPr>
          <w:rFonts w:cs="Times New Roman"/>
          <w:b w:val="0"/>
          <w:bCs w:val="0"/>
          <w:noProof/>
          <w:sz w:val="24"/>
          <w:szCs w:val="24"/>
          <w:lang w:eastAsia="en-GB"/>
        </w:rPr>
        <w:t>provi</w:t>
      </w:r>
      <w:r w:rsidR="005B1F21" w:rsidRPr="00FF2438">
        <w:rPr>
          <w:rFonts w:cs="Times New Roman"/>
          <w:b w:val="0"/>
          <w:bCs w:val="0"/>
          <w:noProof/>
          <w:sz w:val="24"/>
          <w:szCs w:val="24"/>
          <w:lang w:eastAsia="en-GB"/>
        </w:rPr>
        <w:t xml:space="preserve">ded further detail in the relevant section of the manual, and </w:t>
      </w:r>
      <w:r w:rsidR="005B1F21" w:rsidRPr="00FF2438">
        <w:rPr>
          <w:rFonts w:cs="Times New Roman"/>
          <w:b w:val="0"/>
          <w:bCs w:val="0"/>
          <w:noProof/>
          <w:sz w:val="24"/>
          <w:szCs w:val="24"/>
          <w:lang w:eastAsia="en-GB"/>
        </w:rPr>
        <w:lastRenderedPageBreak/>
        <w:t>hig</w:t>
      </w:r>
      <w:r w:rsidR="004511EE">
        <w:rPr>
          <w:rFonts w:cs="Times New Roman"/>
          <w:b w:val="0"/>
          <w:bCs w:val="0"/>
          <w:noProof/>
          <w:sz w:val="24"/>
          <w:szCs w:val="24"/>
          <w:lang w:eastAsia="en-GB"/>
        </w:rPr>
        <w:t>hligh</w:t>
      </w:r>
      <w:r w:rsidR="005B1F21" w:rsidRPr="00FF2438">
        <w:rPr>
          <w:rFonts w:cs="Times New Roman"/>
          <w:b w:val="0"/>
          <w:bCs w:val="0"/>
          <w:noProof/>
          <w:sz w:val="24"/>
          <w:szCs w:val="24"/>
          <w:lang w:eastAsia="en-GB"/>
        </w:rPr>
        <w:t>ted the role of our</w:t>
      </w:r>
      <w:r w:rsidR="00FF2438" w:rsidRPr="00FF2438">
        <w:rPr>
          <w:rFonts w:cs="Times New Roman"/>
          <w:b w:val="0"/>
          <w:bCs w:val="0"/>
          <w:noProof/>
          <w:sz w:val="24"/>
          <w:szCs w:val="24"/>
          <w:lang w:eastAsia="en-GB"/>
        </w:rPr>
        <w:t xml:space="preserve"> People and Communities Team to </w:t>
      </w:r>
      <w:r w:rsidR="00FF2438">
        <w:rPr>
          <w:rFonts w:cs="Times New Roman"/>
          <w:b w:val="0"/>
          <w:bCs w:val="0"/>
          <w:noProof/>
          <w:sz w:val="24"/>
          <w:szCs w:val="24"/>
          <w:lang w:eastAsia="en-GB"/>
        </w:rPr>
        <w:t xml:space="preserve">help </w:t>
      </w:r>
      <w:r w:rsidR="00F22DFB">
        <w:rPr>
          <w:rFonts w:cs="Times New Roman"/>
          <w:b w:val="0"/>
          <w:bCs w:val="0"/>
          <w:noProof/>
          <w:sz w:val="24"/>
          <w:szCs w:val="24"/>
          <w:lang w:eastAsia="en-GB"/>
        </w:rPr>
        <w:t>inv</w:t>
      </w:r>
      <w:r w:rsidR="004511EE">
        <w:rPr>
          <w:rFonts w:cs="Times New Roman"/>
          <w:b w:val="0"/>
          <w:bCs w:val="0"/>
          <w:noProof/>
          <w:sz w:val="24"/>
          <w:szCs w:val="24"/>
          <w:lang w:eastAsia="en-GB"/>
        </w:rPr>
        <w:t>o</w:t>
      </w:r>
      <w:r w:rsidR="00F22DFB">
        <w:rPr>
          <w:rFonts w:cs="Times New Roman"/>
          <w:b w:val="0"/>
          <w:bCs w:val="0"/>
          <w:noProof/>
          <w:sz w:val="24"/>
          <w:szCs w:val="24"/>
          <w:lang w:eastAsia="en-GB"/>
        </w:rPr>
        <w:t>l</w:t>
      </w:r>
      <w:r w:rsidR="004511EE">
        <w:rPr>
          <w:rFonts w:cs="Times New Roman"/>
          <w:b w:val="0"/>
          <w:bCs w:val="0"/>
          <w:noProof/>
          <w:sz w:val="24"/>
          <w:szCs w:val="24"/>
          <w:lang w:eastAsia="en-GB"/>
        </w:rPr>
        <w:t>v</w:t>
      </w:r>
      <w:r w:rsidR="00F22DFB">
        <w:rPr>
          <w:rFonts w:cs="Times New Roman"/>
          <w:b w:val="0"/>
          <w:bCs w:val="0"/>
          <w:noProof/>
          <w:sz w:val="24"/>
          <w:szCs w:val="24"/>
          <w:lang w:eastAsia="en-GB"/>
        </w:rPr>
        <w:t>e people with lived e</w:t>
      </w:r>
      <w:r w:rsidR="004511EE">
        <w:rPr>
          <w:rFonts w:cs="Times New Roman"/>
          <w:b w:val="0"/>
          <w:bCs w:val="0"/>
          <w:noProof/>
          <w:sz w:val="24"/>
          <w:szCs w:val="24"/>
          <w:lang w:eastAsia="en-GB"/>
        </w:rPr>
        <w:t>xpe</w:t>
      </w:r>
      <w:r w:rsidR="00F22DFB">
        <w:rPr>
          <w:rFonts w:cs="Times New Roman"/>
          <w:b w:val="0"/>
          <w:bCs w:val="0"/>
          <w:noProof/>
          <w:sz w:val="24"/>
          <w:szCs w:val="24"/>
          <w:lang w:eastAsia="en-GB"/>
        </w:rPr>
        <w:t>rience at all</w:t>
      </w:r>
      <w:r w:rsidR="004511EE">
        <w:rPr>
          <w:rFonts w:cs="Times New Roman"/>
          <w:b w:val="0"/>
          <w:bCs w:val="0"/>
          <w:noProof/>
          <w:sz w:val="24"/>
          <w:szCs w:val="24"/>
          <w:lang w:eastAsia="en-GB"/>
        </w:rPr>
        <w:t xml:space="preserve"> </w:t>
      </w:r>
      <w:r w:rsidR="00F22DFB">
        <w:rPr>
          <w:rFonts w:cs="Times New Roman"/>
          <w:b w:val="0"/>
          <w:bCs w:val="0"/>
          <w:noProof/>
          <w:sz w:val="24"/>
          <w:szCs w:val="24"/>
          <w:lang w:eastAsia="en-GB"/>
        </w:rPr>
        <w:t>stages of guidance p</w:t>
      </w:r>
      <w:r w:rsidR="004511EE">
        <w:rPr>
          <w:rFonts w:cs="Times New Roman"/>
          <w:b w:val="0"/>
          <w:bCs w:val="0"/>
          <w:noProof/>
          <w:sz w:val="24"/>
          <w:szCs w:val="24"/>
          <w:lang w:eastAsia="en-GB"/>
        </w:rPr>
        <w:t>r</w:t>
      </w:r>
      <w:r w:rsidR="00F22DFB">
        <w:rPr>
          <w:rFonts w:cs="Times New Roman"/>
          <w:b w:val="0"/>
          <w:bCs w:val="0"/>
          <w:noProof/>
          <w:sz w:val="24"/>
          <w:szCs w:val="24"/>
          <w:lang w:eastAsia="en-GB"/>
        </w:rPr>
        <w:t>oduction.</w:t>
      </w:r>
    </w:p>
    <w:p w14:paraId="7AEA96FA" w14:textId="3241AE26" w:rsidR="00396919" w:rsidRPr="00C96B8A" w:rsidRDefault="00000524" w:rsidP="00C96B8A">
      <w:pPr>
        <w:pStyle w:val="Heading2boardreport"/>
        <w:rPr>
          <w:rFonts w:cs="Times New Roman"/>
          <w:b w:val="0"/>
          <w:bCs w:val="0"/>
          <w:noProof/>
          <w:sz w:val="24"/>
          <w:szCs w:val="24"/>
          <w:lang w:eastAsia="en-GB"/>
        </w:rPr>
      </w:pPr>
      <w:r>
        <w:t>Status</w:t>
      </w:r>
    </w:p>
    <w:p w14:paraId="447F18CA" w14:textId="1CB613AA" w:rsidR="00000524" w:rsidRDefault="00000524" w:rsidP="00000524">
      <w:pPr>
        <w:pStyle w:val="NICEnormalnumbered"/>
      </w:pPr>
      <w:r>
        <w:t>NICE’s Guidance Exe</w:t>
      </w:r>
      <w:r w:rsidR="00F75823">
        <w:t>c</w:t>
      </w:r>
      <w:r>
        <w:t>utive approved the updates, which were published on 23</w:t>
      </w:r>
      <w:r w:rsidRPr="00000524">
        <w:rPr>
          <w:vertAlign w:val="superscript"/>
        </w:rPr>
        <w:t>rd</w:t>
      </w:r>
      <w:r>
        <w:t xml:space="preserve"> October 2025, along with themed resp</w:t>
      </w:r>
      <w:r w:rsidR="00156E6A">
        <w:t>onses</w:t>
      </w:r>
      <w:r>
        <w:t xml:space="preserve"> to the comments received.</w:t>
      </w:r>
    </w:p>
    <w:p w14:paraId="624A6BAC" w14:textId="27875C4A" w:rsidR="00000524" w:rsidRDefault="00F75823" w:rsidP="00000524">
      <w:pPr>
        <w:pStyle w:val="Heading1boardreport"/>
      </w:pPr>
      <w:r w:rsidRPr="00F75823">
        <w:t xml:space="preserve">Update to NICE health technology evaluations: the manual </w:t>
      </w:r>
      <w:r w:rsidR="00000524" w:rsidRPr="00F54DA4">
        <w:t>(PMG</w:t>
      </w:r>
      <w:r w:rsidR="00A341C8">
        <w:t>36</w:t>
      </w:r>
      <w:r w:rsidR="00000524" w:rsidRPr="00F54DA4">
        <w:t>)</w:t>
      </w:r>
    </w:p>
    <w:p w14:paraId="6914F87E" w14:textId="067985D0" w:rsidR="00F75823" w:rsidRDefault="00000524" w:rsidP="00F75823">
      <w:pPr>
        <w:pStyle w:val="NICEnormalnumbered"/>
      </w:pPr>
      <w:r>
        <w:t xml:space="preserve">This </w:t>
      </w:r>
      <w:r w:rsidR="00F75823">
        <w:t xml:space="preserve">consultation </w:t>
      </w:r>
      <w:r w:rsidR="00F75823" w:rsidRPr="00F75823">
        <w:t>proposed updates to the PMG36 manual to facilitate greater production of technology appraisal guidance on HealthTech, as set out in the NHS 10</w:t>
      </w:r>
      <w:r w:rsidR="00EE62AE">
        <w:t xml:space="preserve"> </w:t>
      </w:r>
      <w:r w:rsidR="00F75823" w:rsidRPr="00F75823">
        <w:t>year plan.</w:t>
      </w:r>
      <w:r w:rsidR="00DA68C4">
        <w:t xml:space="preserve"> It was held between 25</w:t>
      </w:r>
      <w:r w:rsidR="00DA68C4" w:rsidRPr="00DA68C4">
        <w:rPr>
          <w:vertAlign w:val="superscript"/>
        </w:rPr>
        <w:t>th</w:t>
      </w:r>
      <w:r w:rsidR="00DA68C4">
        <w:t xml:space="preserve"> September and 22</w:t>
      </w:r>
      <w:r w:rsidR="00DA68C4" w:rsidRPr="00DA68C4">
        <w:rPr>
          <w:vertAlign w:val="superscript"/>
        </w:rPr>
        <w:t>nd</w:t>
      </w:r>
      <w:r w:rsidR="00DA68C4">
        <w:t xml:space="preserve"> October 2025.</w:t>
      </w:r>
    </w:p>
    <w:p w14:paraId="29E07BB3" w14:textId="77777777" w:rsidR="00000524" w:rsidRDefault="00000524" w:rsidP="00000524">
      <w:pPr>
        <w:pStyle w:val="Heading2boardreport"/>
      </w:pPr>
      <w:r>
        <w:t>Overview of comments and responses</w:t>
      </w:r>
    </w:p>
    <w:p w14:paraId="23F65546" w14:textId="25D2D43F" w:rsidR="00000524" w:rsidRDefault="00000524" w:rsidP="00000524">
      <w:pPr>
        <w:pStyle w:val="NICEnormalnumbered"/>
      </w:pPr>
      <w:r w:rsidRPr="00000524">
        <w:t xml:space="preserve">We received </w:t>
      </w:r>
      <w:r w:rsidR="00A341C8">
        <w:t>525</w:t>
      </w:r>
      <w:r w:rsidRPr="00000524">
        <w:t xml:space="preserve"> responses from </w:t>
      </w:r>
      <w:r w:rsidR="00A341C8">
        <w:t>36</w:t>
      </w:r>
      <w:r w:rsidRPr="00000524">
        <w:t xml:space="preserve"> organisations and individuals</w:t>
      </w:r>
      <w:r w:rsidR="00A341C8">
        <w:t>.</w:t>
      </w:r>
    </w:p>
    <w:p w14:paraId="1D8BFE1D" w14:textId="78A47E85" w:rsidR="00F75823" w:rsidRDefault="00F75823" w:rsidP="00F75823">
      <w:pPr>
        <w:pStyle w:val="Heading3boardreport"/>
      </w:pPr>
      <w:r>
        <w:t>Summary of key comments and responses</w:t>
      </w:r>
    </w:p>
    <w:p w14:paraId="6A447827" w14:textId="77777777" w:rsidR="00F75823" w:rsidRDefault="00F75823" w:rsidP="00F75823">
      <w:pPr>
        <w:pStyle w:val="Heading4"/>
      </w:pPr>
      <w:r>
        <w:t>General comments</w:t>
      </w:r>
    </w:p>
    <w:p w14:paraId="5FC25E63" w14:textId="6E71A0AA" w:rsidR="00F75823" w:rsidRDefault="00F75823" w:rsidP="00B03008">
      <w:pPr>
        <w:pStyle w:val="Paragraph"/>
        <w:spacing w:line="360" w:lineRule="auto"/>
        <w:ind w:left="357" w:hanging="357"/>
      </w:pPr>
      <w:r>
        <w:t>Respondents stated that the changes shift NICE’s manual from a broad, catch-all evaluation framework to a sharper, dual-track system: one for medicines and one for HealthTech with more flexible, proportionate evidence expectations. Alternatively, respondents also stated that the manual still felt focussed on medicines, and that the proposed changes did not introduce significant enhancements to the processes or methodological considerations for HealthTech evaluations</w:t>
      </w:r>
      <w:r w:rsidR="71660A88">
        <w:t>, particularly</w:t>
      </w:r>
      <w:r>
        <w:t xml:space="preserve"> digital technologies. </w:t>
      </w:r>
    </w:p>
    <w:p w14:paraId="3EABDD39" w14:textId="77777777" w:rsidR="00F75823" w:rsidRDefault="00F75823" w:rsidP="00F75823">
      <w:pPr>
        <w:pStyle w:val="Heading4"/>
      </w:pPr>
      <w:r>
        <w:t>Topic selection</w:t>
      </w:r>
    </w:p>
    <w:p w14:paraId="6252A4B4" w14:textId="3C87327E" w:rsidR="00F75823" w:rsidRDefault="00F75823" w:rsidP="00B03008">
      <w:pPr>
        <w:pStyle w:val="Paragraph"/>
        <w:spacing w:line="360" w:lineRule="auto"/>
        <w:ind w:left="357" w:hanging="357"/>
      </w:pPr>
      <w:r>
        <w:t>Respondents asked for greater detail on decisions about which HealthTech are selected for technology appraisal guidance, rather than HealthTech guidance (which does not have a funding mandate). Responses have highlighted that this is a ministerial decision</w:t>
      </w:r>
      <w:r w:rsidR="1F06DB11">
        <w:t xml:space="preserve"> and the process is laid out in </w:t>
      </w:r>
      <w:hyperlink r:id="rId19" w:history="1">
        <w:r w:rsidR="0018243B" w:rsidRPr="0018243B">
          <w:rPr>
            <w:rStyle w:val="Hyperlink"/>
          </w:rPr>
          <w:t>NICE-wide topic prioritisation: the manual</w:t>
        </w:r>
      </w:hyperlink>
      <w:r>
        <w:t>.</w:t>
      </w:r>
      <w:r w:rsidR="00A625EF">
        <w:t xml:space="preserve"> </w:t>
      </w:r>
      <w:r w:rsidR="00A625EF" w:rsidRPr="00A625EF">
        <w:t xml:space="preserve">We will </w:t>
      </w:r>
      <w:r w:rsidR="00A625EF">
        <w:t>also review this</w:t>
      </w:r>
      <w:r w:rsidR="00A625EF" w:rsidRPr="00A625EF">
        <w:t xml:space="preserve"> manual to see if further detail needs to be added to further clarify the process.</w:t>
      </w:r>
    </w:p>
    <w:p w14:paraId="178574CB" w14:textId="49A17EB6" w:rsidR="00F75823" w:rsidRDefault="00F75823" w:rsidP="00F75823">
      <w:pPr>
        <w:pStyle w:val="Heading4"/>
      </w:pPr>
      <w:r>
        <w:lastRenderedPageBreak/>
        <w:t>Differences in process</w:t>
      </w:r>
    </w:p>
    <w:p w14:paraId="5AC2D0DD" w14:textId="5A4C6B90" w:rsidR="007A03E0" w:rsidRDefault="008F1114" w:rsidP="00D44F45">
      <w:pPr>
        <w:pStyle w:val="NICEnormalnumbered"/>
      </w:pPr>
      <w:r>
        <w:t>Respondents questioned the changes in process that were proposed for HealthTech, compared to medicines</w:t>
      </w:r>
      <w:r w:rsidR="00281A65">
        <w:t>, s</w:t>
      </w:r>
      <w:r>
        <w:t>uch as no use of technical engagement and use of requests for information rather than evidence submissions.</w:t>
      </w:r>
      <w:r w:rsidR="00D44F45">
        <w:t xml:space="preserve"> </w:t>
      </w:r>
      <w:r>
        <w:t>We have made minimal changes to the process to apply to ‘HealthTech only’, but for some steps feel this is necessary for effective guidance production for HealthTech.</w:t>
      </w:r>
      <w:r w:rsidR="00AC046D">
        <w:t xml:space="preserve"> An overview is given in table 1.</w:t>
      </w:r>
      <w:r>
        <w:t xml:space="preserve"> </w:t>
      </w:r>
    </w:p>
    <w:p w14:paraId="7ADD7467" w14:textId="6841E9C0" w:rsidR="00AC046D" w:rsidRPr="006E0F0C" w:rsidRDefault="00AC046D" w:rsidP="00AC046D">
      <w:pPr>
        <w:pStyle w:val="Caption"/>
      </w:pPr>
      <w:r w:rsidRPr="006E0F0C">
        <w:lastRenderedPageBreak/>
        <w:t xml:space="preserve">Table </w:t>
      </w:r>
      <w:r>
        <w:t>1 Overview of key process differences between technology appraisals of medicines and HealthTech</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AC046D" w14:paraId="5560CFBE" w14:textId="77777777" w:rsidTr="609031C3">
        <w:tc>
          <w:tcPr>
            <w:tcW w:w="3005" w:type="dxa"/>
          </w:tcPr>
          <w:p w14:paraId="1CC781F1" w14:textId="27C43EF3" w:rsidR="00AC046D" w:rsidRPr="006E0F0C" w:rsidRDefault="00AC046D" w:rsidP="005B4E60">
            <w:pPr>
              <w:pStyle w:val="Tableheadingboardreport"/>
            </w:pPr>
            <w:r>
              <w:t>For medicines</w:t>
            </w:r>
          </w:p>
        </w:tc>
        <w:tc>
          <w:tcPr>
            <w:tcW w:w="3005" w:type="dxa"/>
          </w:tcPr>
          <w:p w14:paraId="2CD0AB08" w14:textId="62010FF2" w:rsidR="00AC046D" w:rsidRPr="006E0F0C" w:rsidRDefault="00AC046D" w:rsidP="005B4E60">
            <w:pPr>
              <w:pStyle w:val="Tableheadingboardreport"/>
            </w:pPr>
            <w:r>
              <w:t>For HealthTech</w:t>
            </w:r>
          </w:p>
        </w:tc>
        <w:tc>
          <w:tcPr>
            <w:tcW w:w="3006" w:type="dxa"/>
          </w:tcPr>
          <w:p w14:paraId="5C3E1963" w14:textId="7725E170" w:rsidR="00AC046D" w:rsidRPr="006E0F0C" w:rsidRDefault="00AC046D" w:rsidP="005B4E60">
            <w:pPr>
              <w:pStyle w:val="Tableheadingboardreport"/>
            </w:pPr>
            <w:r>
              <w:t>Rationale for difference</w:t>
            </w:r>
          </w:p>
        </w:tc>
      </w:tr>
      <w:tr w:rsidR="00AC046D" w14:paraId="5C01909F" w14:textId="77777777" w:rsidTr="609031C3">
        <w:tc>
          <w:tcPr>
            <w:tcW w:w="3005" w:type="dxa"/>
          </w:tcPr>
          <w:p w14:paraId="7E0E919F" w14:textId="757E8FA3" w:rsidR="00AC046D" w:rsidRPr="007277C3" w:rsidRDefault="00AC046D" w:rsidP="005B4E60">
            <w:pPr>
              <w:pStyle w:val="Tabletext"/>
            </w:pPr>
            <w:r>
              <w:t>Technical engagement is an option</w:t>
            </w:r>
          </w:p>
        </w:tc>
        <w:tc>
          <w:tcPr>
            <w:tcW w:w="3005" w:type="dxa"/>
          </w:tcPr>
          <w:p w14:paraId="0FF58CA8" w14:textId="71EF0475" w:rsidR="00AC046D" w:rsidRPr="007277C3" w:rsidRDefault="00340CC6" w:rsidP="005B4E60">
            <w:pPr>
              <w:pStyle w:val="Tabletext"/>
            </w:pPr>
            <w:r>
              <w:t>Technical engagement is not an option</w:t>
            </w:r>
          </w:p>
        </w:tc>
        <w:tc>
          <w:tcPr>
            <w:tcW w:w="3006" w:type="dxa"/>
          </w:tcPr>
          <w:p w14:paraId="0FFCCED2" w14:textId="77777777" w:rsidR="003F5DD8" w:rsidRDefault="003F5DD8" w:rsidP="003F5DD8">
            <w:pPr>
              <w:pStyle w:val="Tablebullet"/>
            </w:pPr>
            <w:r>
              <w:t>Technical engagement involving multiple companies would lead to substantial delays in guidance development</w:t>
            </w:r>
          </w:p>
          <w:p w14:paraId="709710D3" w14:textId="4CF19936" w:rsidR="003F5DD8" w:rsidRDefault="003F5DD8" w:rsidP="003F5DD8">
            <w:pPr>
              <w:pStyle w:val="Tablebullet"/>
            </w:pPr>
            <w:r>
              <w:t>We consider i</w:t>
            </w:r>
            <w:r w:rsidR="00D8488A">
              <w:t>t</w:t>
            </w:r>
            <w:r>
              <w:t xml:space="preserve"> more beneficial and fairer to engage with multiple companies during consultation</w:t>
            </w:r>
          </w:p>
          <w:p w14:paraId="5A21C14D" w14:textId="6E6D6AE2" w:rsidR="00AC046D" w:rsidRPr="007277C3" w:rsidRDefault="003F5DD8" w:rsidP="003F5DD8">
            <w:pPr>
              <w:pStyle w:val="Tablebullet"/>
            </w:pPr>
            <w:r>
              <w:t>We will hold scoping workshops for technology appraisals on HealthTech to allow companies to input prior to committee meetings</w:t>
            </w:r>
          </w:p>
        </w:tc>
      </w:tr>
      <w:tr w:rsidR="00AC046D" w14:paraId="50F3AB5E" w14:textId="77777777" w:rsidTr="609031C3">
        <w:tc>
          <w:tcPr>
            <w:tcW w:w="3005" w:type="dxa"/>
          </w:tcPr>
          <w:p w14:paraId="431601F2" w14:textId="0AEE4224" w:rsidR="00AC046D" w:rsidRPr="007277C3" w:rsidRDefault="00AC046D" w:rsidP="005B4E60">
            <w:pPr>
              <w:pStyle w:val="Tabletext"/>
            </w:pPr>
            <w:r>
              <w:t>Evidence submissions are used</w:t>
            </w:r>
          </w:p>
        </w:tc>
        <w:tc>
          <w:tcPr>
            <w:tcW w:w="3005" w:type="dxa"/>
          </w:tcPr>
          <w:p w14:paraId="3E55871E" w14:textId="157D309C" w:rsidR="00AC046D" w:rsidRPr="007277C3" w:rsidRDefault="004C13C8" w:rsidP="0019090A">
            <w:pPr>
              <w:pStyle w:val="Tablebullet"/>
              <w:numPr>
                <w:ilvl w:val="0"/>
                <w:numId w:val="0"/>
              </w:numPr>
            </w:pPr>
            <w:r w:rsidRPr="004C13C8">
              <w:t>Evidence requests are used</w:t>
            </w:r>
          </w:p>
        </w:tc>
        <w:tc>
          <w:tcPr>
            <w:tcW w:w="3006" w:type="dxa"/>
          </w:tcPr>
          <w:p w14:paraId="213C2801" w14:textId="62559C7C" w:rsidR="00AC046D" w:rsidRDefault="00F91E54" w:rsidP="009D43DD">
            <w:pPr>
              <w:pStyle w:val="Tablebullet"/>
            </w:pPr>
            <w:r>
              <w:t>The use case in HealthTech is focused on the needs of the NHS and is finalised through scoping so companies would not be able to develop a de novo economic model until the final scope is published requiring a substantial delay to guidance production</w:t>
            </w:r>
            <w:r w:rsidR="1F2E2DE5">
              <w:t>. Using the evidence re</w:t>
            </w:r>
            <w:r w:rsidR="26FBAF2B">
              <w:t>quest post-scoping ensure the evidence received meets the decision problem for guidance</w:t>
            </w:r>
          </w:p>
          <w:p w14:paraId="722D5A72" w14:textId="798604ED" w:rsidR="00B77739" w:rsidRDefault="00B77739" w:rsidP="00B77739">
            <w:pPr>
              <w:pStyle w:val="Tablebullet"/>
            </w:pPr>
            <w:r>
              <w:t>Evidence requests</w:t>
            </w:r>
            <w:r w:rsidR="5E421250">
              <w:t xml:space="preserve"> ensure an equal playing field for companies regardless of their size and maturity. It</w:t>
            </w:r>
            <w:r>
              <w:t xml:space="preserve"> still allow</w:t>
            </w:r>
            <w:r w:rsidR="38A485D8">
              <w:t xml:space="preserve">s </w:t>
            </w:r>
            <w:r>
              <w:t>companies to submit</w:t>
            </w:r>
            <w:r w:rsidR="192904C5">
              <w:t xml:space="preserve"> all relevant</w:t>
            </w:r>
            <w:r>
              <w:t xml:space="preserve"> evidence but </w:t>
            </w:r>
            <w:r w:rsidR="11F18A69">
              <w:t>is</w:t>
            </w:r>
            <w:r>
              <w:t xml:space="preserve"> less of a burden for small and medium sized enterprises</w:t>
            </w:r>
            <w:r w:rsidR="00944510">
              <w:t xml:space="preserve">, and who are less familiar </w:t>
            </w:r>
            <w:r w:rsidR="00250331">
              <w:t>with health technology assessment (HTA)</w:t>
            </w:r>
          </w:p>
        </w:tc>
      </w:tr>
    </w:tbl>
    <w:p w14:paraId="154D9776" w14:textId="77777777" w:rsidR="007A03E0" w:rsidRDefault="007A03E0" w:rsidP="007A03E0">
      <w:pPr>
        <w:pStyle w:val="NICEnormalnumbered"/>
        <w:numPr>
          <w:ilvl w:val="0"/>
          <w:numId w:val="0"/>
        </w:numPr>
      </w:pPr>
    </w:p>
    <w:p w14:paraId="63E1AB25" w14:textId="77777777" w:rsidR="00F75823" w:rsidRDefault="00F75823" w:rsidP="00F75823">
      <w:pPr>
        <w:pStyle w:val="Heading4"/>
      </w:pPr>
      <w:r>
        <w:t>Managed access and commercial opportunities for HealthTech</w:t>
      </w:r>
    </w:p>
    <w:p w14:paraId="636FA6E5" w14:textId="3B0B02B6" w:rsidR="00F75823" w:rsidRDefault="00F75823" w:rsidP="00BD2A2D">
      <w:pPr>
        <w:pStyle w:val="Paragraph"/>
        <w:spacing w:line="360" w:lineRule="auto"/>
        <w:ind w:left="357" w:hanging="357"/>
      </w:pPr>
      <w:r>
        <w:t>Respondents stated that Managed Access should be an option for HealthTech, as for medicines. In our response we have explained that Managed Access requests can only be made for medicines that may be considered eligible through the Cancer Drugs Fund or the Innovative Medicines Fund.</w:t>
      </w:r>
      <w:r w:rsidR="79611240">
        <w:t xml:space="preserve"> Assessing HealthTech products for early use is the comparable</w:t>
      </w:r>
      <w:r w:rsidR="125D6548">
        <w:t xml:space="preserve"> initiative </w:t>
      </w:r>
      <w:r w:rsidR="0D999392">
        <w:t xml:space="preserve">but there is no equivalent fund as in medicines. </w:t>
      </w:r>
      <w:r w:rsidR="005472F9">
        <w:t xml:space="preserve"> </w:t>
      </w:r>
      <w:r w:rsidR="009A3AC8" w:rsidRPr="009A3AC8">
        <w:t xml:space="preserve">We have now included in the options for recommendations that HealthTech can be recommended for </w:t>
      </w:r>
      <w:r w:rsidR="5C7431F5">
        <w:t>early</w:t>
      </w:r>
      <w:r w:rsidR="009A3AC8">
        <w:t xml:space="preserve"> </w:t>
      </w:r>
      <w:r w:rsidR="009A3AC8" w:rsidRPr="009A3AC8">
        <w:t>use during an evidence-generation period (that is, the equivalent recommendation for HealthTech as for medicines and managed access recommendations), and stated that this comes without a requirement for NHS funding</w:t>
      </w:r>
      <w:r w:rsidR="56306480">
        <w:t>.</w:t>
      </w:r>
      <w:r w:rsidR="0D9E5D7F">
        <w:t xml:space="preserve"> The mechanisms for implementation will be the same as those used for conditional recommendations (for early use) in HealthTech guidance</w:t>
      </w:r>
      <w:r w:rsidR="742DBEB1">
        <w:t xml:space="preserve"> (without the funding mandate)</w:t>
      </w:r>
      <w:r w:rsidR="0D9E5D7F">
        <w:t>.</w:t>
      </w:r>
    </w:p>
    <w:p w14:paraId="4D629414" w14:textId="77777777" w:rsidR="00F75823" w:rsidRDefault="00F75823" w:rsidP="00F75823">
      <w:pPr>
        <w:pStyle w:val="NICEnormalnumbered"/>
      </w:pPr>
      <w:r>
        <w:t>Respondents asked for greater detail to be added on commercial opportunities for HealthTech. In response we have added further detail (provided by the NICE commercial liaison team [CLT]) on approaches and what NICE does, and does not do.</w:t>
      </w:r>
    </w:p>
    <w:p w14:paraId="0FDCF1F5" w14:textId="77777777" w:rsidR="00F75823" w:rsidRDefault="00F75823" w:rsidP="00F75823">
      <w:pPr>
        <w:pStyle w:val="Heading4"/>
      </w:pPr>
      <w:r>
        <w:t>Varying the funding requirement</w:t>
      </w:r>
    </w:p>
    <w:p w14:paraId="2A3B0A70" w14:textId="2CF7FD34" w:rsidR="00F75823" w:rsidRDefault="00F75823" w:rsidP="00915BB8">
      <w:pPr>
        <w:pStyle w:val="NICEnormalnumbered"/>
      </w:pPr>
      <w:r>
        <w:t>Respondents commented that the threshold for budget impact stated in the manual (£40 million per year in any of the first 3 years) should also be used for HealthTech when deciding if a longer time to implement the statutory funding requirements for technologies can be requested.</w:t>
      </w:r>
      <w:r w:rsidR="00915BB8">
        <w:t xml:space="preserve"> </w:t>
      </w:r>
      <w:r w:rsidR="00915BB8" w:rsidRPr="00915BB8">
        <w:t xml:space="preserve">We are proposing to </w:t>
      </w:r>
      <w:r w:rsidR="00915BB8">
        <w:t>keep</w:t>
      </w:r>
      <w:r w:rsidR="00915BB8" w:rsidRPr="00915BB8">
        <w:t xml:space="preserve"> this</w:t>
      </w:r>
      <w:r w:rsidR="00915BB8">
        <w:t xml:space="preserve"> as specified for medicines only</w:t>
      </w:r>
      <w:r w:rsidR="00915BB8" w:rsidRPr="00915BB8">
        <w:t xml:space="preserve"> because the budget impact threshold and test has been set in the context of VPAG and the NHS Commercial Framework for New Medicines. Additionally, funding is not always the main factor when considering the length of time needed for implementation of HealthTech</w:t>
      </w:r>
      <w:r w:rsidR="00C6052D">
        <w:t>.</w:t>
      </w:r>
    </w:p>
    <w:p w14:paraId="0E3251CA" w14:textId="77777777" w:rsidR="00F75823" w:rsidRDefault="00F75823" w:rsidP="00F75823">
      <w:pPr>
        <w:pStyle w:val="Heading4"/>
      </w:pPr>
      <w:r>
        <w:t>Charging for technology appraisals</w:t>
      </w:r>
    </w:p>
    <w:p w14:paraId="3B786C4E" w14:textId="77777777" w:rsidR="00F75823" w:rsidRPr="00177931" w:rsidRDefault="00F75823" w:rsidP="00177931">
      <w:pPr>
        <w:pStyle w:val="NICEnormalnumbered"/>
      </w:pPr>
      <w:r>
        <w:t xml:space="preserve">Respondents asked for greater detail on charging for technology appraisals on </w:t>
      </w:r>
      <w:r w:rsidRPr="00177931">
        <w:t>HealthTech, including what happens for assessments of multiple technologies.</w:t>
      </w:r>
    </w:p>
    <w:p w14:paraId="396EA27C" w14:textId="3323AD89" w:rsidR="00177931" w:rsidRDefault="00177931" w:rsidP="003339AF">
      <w:pPr>
        <w:pStyle w:val="Paragraph"/>
        <w:spacing w:line="360" w:lineRule="auto"/>
        <w:ind w:left="357" w:hanging="357"/>
      </w:pPr>
      <w:r w:rsidRPr="00177931">
        <w:lastRenderedPageBreak/>
        <w:t xml:space="preserve">Technology </w:t>
      </w:r>
      <w:r w:rsidR="00295F26">
        <w:t>a</w:t>
      </w:r>
      <w:r w:rsidRPr="00177931">
        <w:t xml:space="preserve">ppraisals of HealthTech are being delivered in the context of the Rules-based Pathway, an NHS cross-partner initiative to support the implementation of clinically effective technologies that address priority needs in the NHS </w:t>
      </w:r>
      <w:r>
        <w:t>a</w:t>
      </w:r>
      <w:r w:rsidR="72B29F70">
        <w:t>nd</w:t>
      </w:r>
      <w:r w:rsidRPr="00177931">
        <w:t xml:space="preserve"> represent value for money for the taxpayer. Because this initiative is new </w:t>
      </w:r>
      <w:r w:rsidR="630D3385">
        <w:t xml:space="preserve">and </w:t>
      </w:r>
      <w:r w:rsidRPr="00177931">
        <w:t xml:space="preserve">starting with a small number of topics, we will not be charging for </w:t>
      </w:r>
      <w:r w:rsidR="00295F26">
        <w:t>t</w:t>
      </w:r>
      <w:r w:rsidRPr="00177931">
        <w:t xml:space="preserve">echnology </w:t>
      </w:r>
      <w:r w:rsidR="00295F26">
        <w:t>a</w:t>
      </w:r>
      <w:r w:rsidRPr="00177931">
        <w:t>ppraisals in HealthTech currently.</w:t>
      </w:r>
    </w:p>
    <w:p w14:paraId="7F80E517" w14:textId="028EC029" w:rsidR="00000524" w:rsidRDefault="00000524" w:rsidP="00F75823">
      <w:pPr>
        <w:pStyle w:val="Heading2boardreport"/>
      </w:pPr>
      <w:r>
        <w:t>Status</w:t>
      </w:r>
    </w:p>
    <w:p w14:paraId="6E192DDA" w14:textId="22BE2D39" w:rsidR="00000524" w:rsidRDefault="00000524" w:rsidP="00000524">
      <w:pPr>
        <w:pStyle w:val="NICEnormalnumbered"/>
      </w:pPr>
      <w:r>
        <w:t>NICE</w:t>
      </w:r>
      <w:r w:rsidR="00295F26">
        <w:t>’s</w:t>
      </w:r>
      <w:r>
        <w:t xml:space="preserve"> Guidance Exe</w:t>
      </w:r>
      <w:r w:rsidR="00B118D4">
        <w:t>c</w:t>
      </w:r>
      <w:r>
        <w:t>utive approved the updates</w:t>
      </w:r>
      <w:r w:rsidR="00295F26">
        <w:t xml:space="preserve">, which are </w:t>
      </w:r>
      <w:r w:rsidR="000A0604">
        <w:t>scheduled</w:t>
      </w:r>
      <w:r w:rsidR="00A341C8">
        <w:t xml:space="preserve"> </w:t>
      </w:r>
      <w:r w:rsidR="00295F26">
        <w:t>to be made in</w:t>
      </w:r>
      <w:r w:rsidR="00A341C8">
        <w:t xml:space="preserve"> December 2025</w:t>
      </w:r>
      <w:r w:rsidR="002453FD">
        <w:t xml:space="preserve"> and</w:t>
      </w:r>
      <w:r w:rsidR="00A341C8">
        <w:t xml:space="preserve"> alongside which we will publish a</w:t>
      </w:r>
      <w:r>
        <w:t xml:space="preserve"> themed respo</w:t>
      </w:r>
      <w:r w:rsidR="000A0604">
        <w:t>nse</w:t>
      </w:r>
      <w:r>
        <w:t xml:space="preserve"> to the comments received.</w:t>
      </w:r>
    </w:p>
    <w:p w14:paraId="36A095B3" w14:textId="77777777" w:rsidR="004B4705" w:rsidRDefault="000A103F" w:rsidP="003D3B28">
      <w:pPr>
        <w:pStyle w:val="Heading1boardreport"/>
      </w:pPr>
      <w:r>
        <w:t>Board action required</w:t>
      </w:r>
    </w:p>
    <w:p w14:paraId="21C3F281" w14:textId="0BA4B758" w:rsidR="004B4705" w:rsidRDefault="00A158F5" w:rsidP="00A158F5">
      <w:pPr>
        <w:pStyle w:val="NICEnormalnumbered"/>
      </w:pPr>
      <w:r w:rsidRPr="00A158F5">
        <w:t>The Board is asked to receive this update.</w:t>
      </w:r>
    </w:p>
    <w:p w14:paraId="296DD162" w14:textId="77777777" w:rsidR="00C6052D" w:rsidRDefault="00C6052D" w:rsidP="00C6052D">
      <w:pPr>
        <w:pStyle w:val="NICEnormalnumbered"/>
        <w:numPr>
          <w:ilvl w:val="0"/>
          <w:numId w:val="0"/>
        </w:numPr>
      </w:pPr>
    </w:p>
    <w:p w14:paraId="753B0B83" w14:textId="77777777" w:rsidR="004B4705" w:rsidRPr="00DB6F82" w:rsidRDefault="004B4705" w:rsidP="004B4705">
      <w:pPr>
        <w:pStyle w:val="NICEnormal"/>
      </w:pPr>
      <w:r w:rsidRPr="00DB6F82">
        <w:t xml:space="preserve">© NICE </w:t>
      </w:r>
      <w:r w:rsidR="00C259FE">
        <w:t>2025</w:t>
      </w:r>
      <w:r w:rsidRPr="00DB6F82">
        <w:t xml:space="preserve">. All rights reserved. </w:t>
      </w:r>
      <w:hyperlink r:id="rId20" w:anchor="notice-of-rights" w:history="1">
        <w:r w:rsidRPr="00DB6F82">
          <w:rPr>
            <w:rStyle w:val="Hyperlink"/>
          </w:rPr>
          <w:t>Subject to Notice of rights</w:t>
        </w:r>
      </w:hyperlink>
      <w:r w:rsidRPr="00DB6F82">
        <w:t>.</w:t>
      </w:r>
    </w:p>
    <w:p w14:paraId="753599D2" w14:textId="66927BB8" w:rsidR="004B4705" w:rsidRDefault="00A158F5" w:rsidP="004511A7">
      <w:pPr>
        <w:pStyle w:val="NICEnormal"/>
      </w:pPr>
      <w:r>
        <w:t>December</w:t>
      </w:r>
      <w:r w:rsidR="00C259FE">
        <w:t xml:space="preserve"> 2025</w:t>
      </w:r>
      <w:bookmarkEnd w:id="0"/>
    </w:p>
    <w:sectPr w:rsidR="004B4705" w:rsidSect="00B0463B">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3EE5" w14:textId="77777777" w:rsidR="006A7D9F" w:rsidRDefault="006A7D9F">
      <w:r>
        <w:separator/>
      </w:r>
    </w:p>
  </w:endnote>
  <w:endnote w:type="continuationSeparator" w:id="0">
    <w:p w14:paraId="3458B927" w14:textId="77777777" w:rsidR="006A7D9F" w:rsidRDefault="006A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973BE" w14:textId="2E9D5A8C" w:rsidR="004B4705" w:rsidRPr="002A231B" w:rsidRDefault="00CD6DF3" w:rsidP="004B4705">
    <w:pPr>
      <w:pStyle w:val="Footer"/>
      <w:tabs>
        <w:tab w:val="right" w:pos="8931"/>
        <w:tab w:val="right" w:pos="13892"/>
      </w:tabs>
      <w:rPr>
        <w:szCs w:val="16"/>
      </w:rPr>
    </w:pPr>
    <w:r>
      <w:rPr>
        <w:szCs w:val="16"/>
      </w:rPr>
      <w:t>Updates on HealthTech consultations</w:t>
    </w:r>
    <w:r w:rsidR="004B4705" w:rsidRPr="002A231B">
      <w:rPr>
        <w:szCs w:val="16"/>
      </w:rPr>
      <w:tab/>
    </w:r>
    <w:r w:rsidR="003B7BCF">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673A1B6F" w14:textId="0D231982" w:rsidR="004B4705" w:rsidRPr="00396919" w:rsidRDefault="00CD6DF3" w:rsidP="004B4705">
    <w:pPr>
      <w:pStyle w:val="Footer"/>
      <w:rPr>
        <w:szCs w:val="16"/>
      </w:rPr>
    </w:pPr>
    <w:r>
      <w:rPr>
        <w:szCs w:val="16"/>
      </w:rPr>
      <w:t>Public Board meeting</w:t>
    </w:r>
    <w:r w:rsidR="004B4705" w:rsidRPr="00396919">
      <w:rPr>
        <w:szCs w:val="16"/>
      </w:rPr>
      <w:tab/>
    </w:r>
  </w:p>
  <w:p w14:paraId="3B3B623E" w14:textId="428E9816" w:rsidR="004B4705" w:rsidRPr="002A231B" w:rsidRDefault="00CD6DF3" w:rsidP="004B4705">
    <w:pPr>
      <w:pStyle w:val="Footer"/>
      <w:rPr>
        <w:szCs w:val="16"/>
      </w:rPr>
    </w:pPr>
    <w:r>
      <w:rPr>
        <w:szCs w:val="16"/>
      </w:rPr>
      <w:t xml:space="preserve">10 </w:t>
    </w:r>
    <w:r w:rsidR="00A158F5">
      <w:rPr>
        <w:szCs w:val="16"/>
      </w:rPr>
      <w:t>December</w:t>
    </w:r>
    <w:r w:rsidR="00396919" w:rsidRPr="00396919">
      <w:rPr>
        <w:szCs w:val="16"/>
      </w:rPr>
      <w:t xml:space="preserve"> 2025</w:t>
    </w:r>
    <w:r w:rsidR="004B4705" w:rsidRPr="00396919">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82E2" w14:textId="77777777" w:rsidR="006A7D9F" w:rsidRDefault="006A7D9F">
      <w:r>
        <w:separator/>
      </w:r>
    </w:p>
  </w:footnote>
  <w:footnote w:type="continuationSeparator" w:id="0">
    <w:p w14:paraId="529C4F9F" w14:textId="77777777" w:rsidR="006A7D9F" w:rsidRDefault="006A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0837" w14:textId="7071DB17" w:rsidR="004B4705" w:rsidRPr="006E0F0C" w:rsidRDefault="00CD6DF3" w:rsidP="006E0F0C">
    <w:pPr>
      <w:pStyle w:val="Header"/>
      <w:ind w:left="0"/>
    </w:pPr>
    <w:r w:rsidRPr="00F4630A">
      <w:rPr>
        <w:noProof/>
      </w:rPr>
      <w:drawing>
        <wp:anchor distT="0" distB="0" distL="114300" distR="114300" simplePos="0" relativeHeight="251659264" behindDoc="0" locked="0" layoutInCell="1" allowOverlap="1" wp14:anchorId="5AEEFEB6" wp14:editId="72A7DD37">
          <wp:simplePos x="0" y="0"/>
          <wp:positionH relativeFrom="column">
            <wp:posOffset>-64800</wp:posOffset>
          </wp:positionH>
          <wp:positionV relativeFrom="paragraph">
            <wp:posOffset>-230765</wp:posOffset>
          </wp:positionV>
          <wp:extent cx="2658165" cy="666750"/>
          <wp:effectExtent l="0" t="0" r="8890" b="0"/>
          <wp:wrapSquare wrapText="bothSides"/>
          <wp:docPr id="90435025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50257"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8165" cy="666750"/>
                  </a:xfrm>
                  <a:prstGeom prst="rect">
                    <a:avLst/>
                  </a:prstGeom>
                  <a:noFill/>
                  <a:ln>
                    <a:noFill/>
                  </a:ln>
                </pic:spPr>
              </pic:pic>
            </a:graphicData>
          </a:graphic>
        </wp:anchor>
      </w:drawing>
    </w:r>
    <w:r w:rsidR="006E0F0C">
      <w:tab/>
    </w:r>
    <w:r w:rsidR="006E0F0C">
      <w:tab/>
    </w:r>
    <w:r w:rsidR="006E0F0C" w:rsidRPr="00CD6DF3">
      <w:t xml:space="preserve">Item </w:t>
    </w:r>
    <w:r w:rsidRPr="00CD6DF3">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B9A0DF14"/>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3D80CDA8"/>
    <w:lvl w:ilvl="0" w:tplc="51F222A0">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6A56F5"/>
    <w:multiLevelType w:val="hybridMultilevel"/>
    <w:tmpl w:val="FAEE22CE"/>
    <w:lvl w:ilvl="0" w:tplc="FFFFFFF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6548BB"/>
    <w:multiLevelType w:val="hybridMultilevel"/>
    <w:tmpl w:val="69729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16C37"/>
    <w:multiLevelType w:val="hybridMultilevel"/>
    <w:tmpl w:val="C2E8C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4E59ED"/>
    <w:multiLevelType w:val="hybridMultilevel"/>
    <w:tmpl w:val="1E64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FE7193B"/>
    <w:multiLevelType w:val="hybridMultilevel"/>
    <w:tmpl w:val="747C4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532623">
    <w:abstractNumId w:val="2"/>
  </w:num>
  <w:num w:numId="2" w16cid:durableId="2039620118">
    <w:abstractNumId w:val="26"/>
  </w:num>
  <w:num w:numId="3" w16cid:durableId="2116749296">
    <w:abstractNumId w:val="16"/>
  </w:num>
  <w:num w:numId="4" w16cid:durableId="611715962">
    <w:abstractNumId w:val="17"/>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9"/>
  </w:num>
  <w:num w:numId="10" w16cid:durableId="1748379919">
    <w:abstractNumId w:val="6"/>
  </w:num>
  <w:num w:numId="11" w16cid:durableId="1008825018">
    <w:abstractNumId w:val="24"/>
  </w:num>
  <w:num w:numId="12" w16cid:durableId="128134450">
    <w:abstractNumId w:val="10"/>
  </w:num>
  <w:num w:numId="13" w16cid:durableId="503516617">
    <w:abstractNumId w:val="18"/>
  </w:num>
  <w:num w:numId="14" w16cid:durableId="1971012577">
    <w:abstractNumId w:val="22"/>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5"/>
  </w:num>
  <w:num w:numId="22" w16cid:durableId="426196748">
    <w:abstractNumId w:val="23"/>
  </w:num>
  <w:num w:numId="23" w16cid:durableId="1440686053">
    <w:abstractNumId w:val="27"/>
  </w:num>
  <w:num w:numId="24" w16cid:durableId="87122838">
    <w:abstractNumId w:val="9"/>
  </w:num>
  <w:num w:numId="25" w16cid:durableId="2069259383">
    <w:abstractNumId w:val="3"/>
  </w:num>
  <w:num w:numId="26" w16cid:durableId="1082874494">
    <w:abstractNumId w:val="3"/>
    <w:lvlOverride w:ilvl="0">
      <w:startOverride w:val="1"/>
    </w:lvlOverride>
  </w:num>
  <w:num w:numId="27" w16cid:durableId="171532927">
    <w:abstractNumId w:val="29"/>
  </w:num>
  <w:num w:numId="28" w16cid:durableId="918372939">
    <w:abstractNumId w:val="15"/>
  </w:num>
  <w:num w:numId="29" w16cid:durableId="243296356">
    <w:abstractNumId w:val="31"/>
  </w:num>
  <w:num w:numId="30" w16cid:durableId="620764964">
    <w:abstractNumId w:val="20"/>
  </w:num>
  <w:num w:numId="31" w16cid:durableId="83272488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53"/>
    <w:rsid w:val="00000524"/>
    <w:rsid w:val="000106A7"/>
    <w:rsid w:val="000119FB"/>
    <w:rsid w:val="000172B5"/>
    <w:rsid w:val="0002229A"/>
    <w:rsid w:val="00022E4B"/>
    <w:rsid w:val="000242AA"/>
    <w:rsid w:val="00026C34"/>
    <w:rsid w:val="00027D05"/>
    <w:rsid w:val="000515D8"/>
    <w:rsid w:val="00054C99"/>
    <w:rsid w:val="00057044"/>
    <w:rsid w:val="000629FB"/>
    <w:rsid w:val="000672F5"/>
    <w:rsid w:val="00071ACA"/>
    <w:rsid w:val="00080DE2"/>
    <w:rsid w:val="00081F3C"/>
    <w:rsid w:val="00083CE9"/>
    <w:rsid w:val="00084421"/>
    <w:rsid w:val="000942FC"/>
    <w:rsid w:val="00094B5D"/>
    <w:rsid w:val="000A0604"/>
    <w:rsid w:val="000A103F"/>
    <w:rsid w:val="000A1EC0"/>
    <w:rsid w:val="000B2628"/>
    <w:rsid w:val="000B307F"/>
    <w:rsid w:val="000B6A5E"/>
    <w:rsid w:val="000B7337"/>
    <w:rsid w:val="000C3F75"/>
    <w:rsid w:val="000C4168"/>
    <w:rsid w:val="000D0D69"/>
    <w:rsid w:val="000E6AD6"/>
    <w:rsid w:val="000E6C5F"/>
    <w:rsid w:val="000F1A8D"/>
    <w:rsid w:val="000F637D"/>
    <w:rsid w:val="00101F34"/>
    <w:rsid w:val="001100C3"/>
    <w:rsid w:val="0011170F"/>
    <w:rsid w:val="001172E1"/>
    <w:rsid w:val="001219F1"/>
    <w:rsid w:val="00123D3F"/>
    <w:rsid w:val="00131309"/>
    <w:rsid w:val="00131EB8"/>
    <w:rsid w:val="0013425D"/>
    <w:rsid w:val="0013795E"/>
    <w:rsid w:val="00142BC9"/>
    <w:rsid w:val="001438CF"/>
    <w:rsid w:val="00156E6A"/>
    <w:rsid w:val="00161AA0"/>
    <w:rsid w:val="00165621"/>
    <w:rsid w:val="0017277D"/>
    <w:rsid w:val="00177931"/>
    <w:rsid w:val="0018243B"/>
    <w:rsid w:val="001835FA"/>
    <w:rsid w:val="00184C68"/>
    <w:rsid w:val="0019090A"/>
    <w:rsid w:val="00196534"/>
    <w:rsid w:val="00197713"/>
    <w:rsid w:val="001A0E7C"/>
    <w:rsid w:val="001A34D7"/>
    <w:rsid w:val="001B0506"/>
    <w:rsid w:val="001C032E"/>
    <w:rsid w:val="001C07AD"/>
    <w:rsid w:val="001C0854"/>
    <w:rsid w:val="001E1DA0"/>
    <w:rsid w:val="002061E4"/>
    <w:rsid w:val="002071DA"/>
    <w:rsid w:val="0021029D"/>
    <w:rsid w:val="002169E7"/>
    <w:rsid w:val="002212B4"/>
    <w:rsid w:val="00234EB6"/>
    <w:rsid w:val="00235CAB"/>
    <w:rsid w:val="002453FD"/>
    <w:rsid w:val="00245C7C"/>
    <w:rsid w:val="0024676A"/>
    <w:rsid w:val="00250331"/>
    <w:rsid w:val="00251D56"/>
    <w:rsid w:val="002526E6"/>
    <w:rsid w:val="002535B1"/>
    <w:rsid w:val="0025510A"/>
    <w:rsid w:val="00262EEB"/>
    <w:rsid w:val="002638C0"/>
    <w:rsid w:val="002641A1"/>
    <w:rsid w:val="002646D3"/>
    <w:rsid w:val="00277D68"/>
    <w:rsid w:val="00281A65"/>
    <w:rsid w:val="002832A3"/>
    <w:rsid w:val="00286B72"/>
    <w:rsid w:val="00295F26"/>
    <w:rsid w:val="002A024B"/>
    <w:rsid w:val="002A3712"/>
    <w:rsid w:val="002A3790"/>
    <w:rsid w:val="002A516C"/>
    <w:rsid w:val="002A7C97"/>
    <w:rsid w:val="002C3182"/>
    <w:rsid w:val="002C3FAA"/>
    <w:rsid w:val="002C5B87"/>
    <w:rsid w:val="002C5F16"/>
    <w:rsid w:val="002E0C61"/>
    <w:rsid w:val="002E297D"/>
    <w:rsid w:val="002E2B49"/>
    <w:rsid w:val="002F15CF"/>
    <w:rsid w:val="0030371E"/>
    <w:rsid w:val="0031664C"/>
    <w:rsid w:val="00324E23"/>
    <w:rsid w:val="00325FE5"/>
    <w:rsid w:val="003330E6"/>
    <w:rsid w:val="003339AF"/>
    <w:rsid w:val="00333AF9"/>
    <w:rsid w:val="00335267"/>
    <w:rsid w:val="00336AB4"/>
    <w:rsid w:val="00340CC6"/>
    <w:rsid w:val="00352A7F"/>
    <w:rsid w:val="00353D3E"/>
    <w:rsid w:val="00362226"/>
    <w:rsid w:val="00366650"/>
    <w:rsid w:val="003669FB"/>
    <w:rsid w:val="00374592"/>
    <w:rsid w:val="00377E36"/>
    <w:rsid w:val="0038143A"/>
    <w:rsid w:val="00381B47"/>
    <w:rsid w:val="003830CE"/>
    <w:rsid w:val="00384819"/>
    <w:rsid w:val="0038666C"/>
    <w:rsid w:val="003937AA"/>
    <w:rsid w:val="00396919"/>
    <w:rsid w:val="003A41E6"/>
    <w:rsid w:val="003B1379"/>
    <w:rsid w:val="003B7BCF"/>
    <w:rsid w:val="003C1BF2"/>
    <w:rsid w:val="003C2DA9"/>
    <w:rsid w:val="003C36AC"/>
    <w:rsid w:val="003C690E"/>
    <w:rsid w:val="003D310E"/>
    <w:rsid w:val="003D3B28"/>
    <w:rsid w:val="003D4449"/>
    <w:rsid w:val="003E208E"/>
    <w:rsid w:val="003F5DD8"/>
    <w:rsid w:val="00415BE5"/>
    <w:rsid w:val="00421699"/>
    <w:rsid w:val="00424A98"/>
    <w:rsid w:val="00425373"/>
    <w:rsid w:val="00441233"/>
    <w:rsid w:val="004511A7"/>
    <w:rsid w:val="004511EE"/>
    <w:rsid w:val="004519B2"/>
    <w:rsid w:val="00452F6A"/>
    <w:rsid w:val="00461997"/>
    <w:rsid w:val="0046793C"/>
    <w:rsid w:val="00470E2E"/>
    <w:rsid w:val="004813C7"/>
    <w:rsid w:val="004820E9"/>
    <w:rsid w:val="0048361F"/>
    <w:rsid w:val="00484FE9"/>
    <w:rsid w:val="00485B88"/>
    <w:rsid w:val="004914C0"/>
    <w:rsid w:val="004952E1"/>
    <w:rsid w:val="00497A51"/>
    <w:rsid w:val="004A2582"/>
    <w:rsid w:val="004A3840"/>
    <w:rsid w:val="004B360F"/>
    <w:rsid w:val="004B4705"/>
    <w:rsid w:val="004B4989"/>
    <w:rsid w:val="004B514C"/>
    <w:rsid w:val="004C13C8"/>
    <w:rsid w:val="004C1E28"/>
    <w:rsid w:val="004D0B09"/>
    <w:rsid w:val="004E4ACA"/>
    <w:rsid w:val="004E5FC6"/>
    <w:rsid w:val="004F0AD7"/>
    <w:rsid w:val="004F7957"/>
    <w:rsid w:val="00501FB8"/>
    <w:rsid w:val="00503454"/>
    <w:rsid w:val="005062F0"/>
    <w:rsid w:val="00516E16"/>
    <w:rsid w:val="00526C07"/>
    <w:rsid w:val="0053387C"/>
    <w:rsid w:val="00534053"/>
    <w:rsid w:val="00541E97"/>
    <w:rsid w:val="005472F9"/>
    <w:rsid w:val="00551F75"/>
    <w:rsid w:val="00552683"/>
    <w:rsid w:val="00555632"/>
    <w:rsid w:val="00556515"/>
    <w:rsid w:val="005614AA"/>
    <w:rsid w:val="00582C02"/>
    <w:rsid w:val="00583F63"/>
    <w:rsid w:val="005860F4"/>
    <w:rsid w:val="005866B1"/>
    <w:rsid w:val="005A1129"/>
    <w:rsid w:val="005A3173"/>
    <w:rsid w:val="005A3BF9"/>
    <w:rsid w:val="005A5E10"/>
    <w:rsid w:val="005A6C33"/>
    <w:rsid w:val="005B1F21"/>
    <w:rsid w:val="005B2C31"/>
    <w:rsid w:val="005C051F"/>
    <w:rsid w:val="005C762E"/>
    <w:rsid w:val="005D098C"/>
    <w:rsid w:val="005D4052"/>
    <w:rsid w:val="005D6DFF"/>
    <w:rsid w:val="005E78EE"/>
    <w:rsid w:val="005F29E1"/>
    <w:rsid w:val="005F7236"/>
    <w:rsid w:val="00603E56"/>
    <w:rsid w:val="0060662A"/>
    <w:rsid w:val="00607045"/>
    <w:rsid w:val="00612000"/>
    <w:rsid w:val="00614BDA"/>
    <w:rsid w:val="00615953"/>
    <w:rsid w:val="00617519"/>
    <w:rsid w:val="00617F62"/>
    <w:rsid w:val="00621A25"/>
    <w:rsid w:val="006331B4"/>
    <w:rsid w:val="00633BD2"/>
    <w:rsid w:val="006343F3"/>
    <w:rsid w:val="006378F5"/>
    <w:rsid w:val="006403B3"/>
    <w:rsid w:val="00642906"/>
    <w:rsid w:val="00647193"/>
    <w:rsid w:val="00650BA5"/>
    <w:rsid w:val="0065133E"/>
    <w:rsid w:val="00653AB7"/>
    <w:rsid w:val="006571D4"/>
    <w:rsid w:val="00661E01"/>
    <w:rsid w:val="00663321"/>
    <w:rsid w:val="00680B94"/>
    <w:rsid w:val="00682A67"/>
    <w:rsid w:val="006845E4"/>
    <w:rsid w:val="00693E00"/>
    <w:rsid w:val="0069522A"/>
    <w:rsid w:val="00696BD0"/>
    <w:rsid w:val="0069742B"/>
    <w:rsid w:val="006A2ACE"/>
    <w:rsid w:val="006A2CFF"/>
    <w:rsid w:val="006A61D7"/>
    <w:rsid w:val="006A721F"/>
    <w:rsid w:val="006A7D9F"/>
    <w:rsid w:val="006B10FF"/>
    <w:rsid w:val="006B590E"/>
    <w:rsid w:val="006B71FD"/>
    <w:rsid w:val="006C1AB8"/>
    <w:rsid w:val="006C57B4"/>
    <w:rsid w:val="006D6218"/>
    <w:rsid w:val="006D73F1"/>
    <w:rsid w:val="006E0F0C"/>
    <w:rsid w:val="006E1EFA"/>
    <w:rsid w:val="006E2C6A"/>
    <w:rsid w:val="006E6A1E"/>
    <w:rsid w:val="006F69E1"/>
    <w:rsid w:val="00701B46"/>
    <w:rsid w:val="00717811"/>
    <w:rsid w:val="00724399"/>
    <w:rsid w:val="007250FD"/>
    <w:rsid w:val="007277C3"/>
    <w:rsid w:val="00732519"/>
    <w:rsid w:val="00734EF5"/>
    <w:rsid w:val="00737F9C"/>
    <w:rsid w:val="00741466"/>
    <w:rsid w:val="007415B5"/>
    <w:rsid w:val="00747633"/>
    <w:rsid w:val="007574C4"/>
    <w:rsid w:val="00762BFF"/>
    <w:rsid w:val="0077063C"/>
    <w:rsid w:val="00772AB2"/>
    <w:rsid w:val="00773CDE"/>
    <w:rsid w:val="0078068B"/>
    <w:rsid w:val="00790B14"/>
    <w:rsid w:val="007A03E0"/>
    <w:rsid w:val="007A154B"/>
    <w:rsid w:val="007A174B"/>
    <w:rsid w:val="007A4D48"/>
    <w:rsid w:val="007A4EEE"/>
    <w:rsid w:val="007B3FCB"/>
    <w:rsid w:val="007B42C1"/>
    <w:rsid w:val="007B5BCA"/>
    <w:rsid w:val="007C01AD"/>
    <w:rsid w:val="007C1A36"/>
    <w:rsid w:val="007C6A85"/>
    <w:rsid w:val="007D2DA6"/>
    <w:rsid w:val="007D45CB"/>
    <w:rsid w:val="007E3635"/>
    <w:rsid w:val="007F43CF"/>
    <w:rsid w:val="007F4427"/>
    <w:rsid w:val="00804C2B"/>
    <w:rsid w:val="00806E72"/>
    <w:rsid w:val="00807158"/>
    <w:rsid w:val="008112DD"/>
    <w:rsid w:val="008123F8"/>
    <w:rsid w:val="0081404B"/>
    <w:rsid w:val="008159CC"/>
    <w:rsid w:val="008328AB"/>
    <w:rsid w:val="008378CC"/>
    <w:rsid w:val="0084163D"/>
    <w:rsid w:val="008505C3"/>
    <w:rsid w:val="0085638C"/>
    <w:rsid w:val="00862C0C"/>
    <w:rsid w:val="00864201"/>
    <w:rsid w:val="0087044E"/>
    <w:rsid w:val="008853CB"/>
    <w:rsid w:val="0088680E"/>
    <w:rsid w:val="00893299"/>
    <w:rsid w:val="008A3CB5"/>
    <w:rsid w:val="008A6557"/>
    <w:rsid w:val="008B5258"/>
    <w:rsid w:val="008C2900"/>
    <w:rsid w:val="008C4953"/>
    <w:rsid w:val="008C6D4B"/>
    <w:rsid w:val="008C782E"/>
    <w:rsid w:val="008D16DB"/>
    <w:rsid w:val="008D3C84"/>
    <w:rsid w:val="008D6069"/>
    <w:rsid w:val="008D6D23"/>
    <w:rsid w:val="008D74B4"/>
    <w:rsid w:val="008E7585"/>
    <w:rsid w:val="008E7CFF"/>
    <w:rsid w:val="008F1114"/>
    <w:rsid w:val="008F76FC"/>
    <w:rsid w:val="00915BB8"/>
    <w:rsid w:val="00921354"/>
    <w:rsid w:val="0093188A"/>
    <w:rsid w:val="0093362E"/>
    <w:rsid w:val="00936D9B"/>
    <w:rsid w:val="00942492"/>
    <w:rsid w:val="00943276"/>
    <w:rsid w:val="0094366C"/>
    <w:rsid w:val="00943CEB"/>
    <w:rsid w:val="00944510"/>
    <w:rsid w:val="0094710B"/>
    <w:rsid w:val="00947FA8"/>
    <w:rsid w:val="00953ADF"/>
    <w:rsid w:val="00956082"/>
    <w:rsid w:val="0096151C"/>
    <w:rsid w:val="00965252"/>
    <w:rsid w:val="0096684C"/>
    <w:rsid w:val="00971131"/>
    <w:rsid w:val="009840C0"/>
    <w:rsid w:val="009853A9"/>
    <w:rsid w:val="009871F3"/>
    <w:rsid w:val="00991E8C"/>
    <w:rsid w:val="009A0289"/>
    <w:rsid w:val="009A3AC8"/>
    <w:rsid w:val="009A7D60"/>
    <w:rsid w:val="009B1D56"/>
    <w:rsid w:val="009B2772"/>
    <w:rsid w:val="009B4806"/>
    <w:rsid w:val="009B621A"/>
    <w:rsid w:val="009B703F"/>
    <w:rsid w:val="009C45D9"/>
    <w:rsid w:val="009C5851"/>
    <w:rsid w:val="009C6E2D"/>
    <w:rsid w:val="009C7F3E"/>
    <w:rsid w:val="009D43DD"/>
    <w:rsid w:val="009D6D0B"/>
    <w:rsid w:val="009E16A5"/>
    <w:rsid w:val="009F278A"/>
    <w:rsid w:val="00A03ED5"/>
    <w:rsid w:val="00A04FD0"/>
    <w:rsid w:val="00A06657"/>
    <w:rsid w:val="00A11CA7"/>
    <w:rsid w:val="00A153A4"/>
    <w:rsid w:val="00A158F5"/>
    <w:rsid w:val="00A24C1C"/>
    <w:rsid w:val="00A33AC0"/>
    <w:rsid w:val="00A341C8"/>
    <w:rsid w:val="00A36575"/>
    <w:rsid w:val="00A42965"/>
    <w:rsid w:val="00A44A3B"/>
    <w:rsid w:val="00A44D31"/>
    <w:rsid w:val="00A625EF"/>
    <w:rsid w:val="00A72FBB"/>
    <w:rsid w:val="00A73B40"/>
    <w:rsid w:val="00A75E2C"/>
    <w:rsid w:val="00A7717A"/>
    <w:rsid w:val="00A81A4F"/>
    <w:rsid w:val="00A820E1"/>
    <w:rsid w:val="00A86D3D"/>
    <w:rsid w:val="00A956DE"/>
    <w:rsid w:val="00AA0F07"/>
    <w:rsid w:val="00AA126F"/>
    <w:rsid w:val="00AB178B"/>
    <w:rsid w:val="00AB2948"/>
    <w:rsid w:val="00AB39FA"/>
    <w:rsid w:val="00AB4B4D"/>
    <w:rsid w:val="00AC046D"/>
    <w:rsid w:val="00AC369B"/>
    <w:rsid w:val="00AD2E34"/>
    <w:rsid w:val="00AD5CB7"/>
    <w:rsid w:val="00AD5E0B"/>
    <w:rsid w:val="00AD6933"/>
    <w:rsid w:val="00AD6A2E"/>
    <w:rsid w:val="00AD6B7B"/>
    <w:rsid w:val="00AD7F2E"/>
    <w:rsid w:val="00AE46C7"/>
    <w:rsid w:val="00AF4BDC"/>
    <w:rsid w:val="00B03008"/>
    <w:rsid w:val="00B03F14"/>
    <w:rsid w:val="00B0463B"/>
    <w:rsid w:val="00B0686F"/>
    <w:rsid w:val="00B0736A"/>
    <w:rsid w:val="00B118D4"/>
    <w:rsid w:val="00B15262"/>
    <w:rsid w:val="00B16332"/>
    <w:rsid w:val="00B2020C"/>
    <w:rsid w:val="00B47CAA"/>
    <w:rsid w:val="00B47D3C"/>
    <w:rsid w:val="00B5413F"/>
    <w:rsid w:val="00B55F64"/>
    <w:rsid w:val="00B561CE"/>
    <w:rsid w:val="00B6050B"/>
    <w:rsid w:val="00B60D70"/>
    <w:rsid w:val="00B64033"/>
    <w:rsid w:val="00B72B62"/>
    <w:rsid w:val="00B74605"/>
    <w:rsid w:val="00B76F8A"/>
    <w:rsid w:val="00B77739"/>
    <w:rsid w:val="00B84BC1"/>
    <w:rsid w:val="00B96184"/>
    <w:rsid w:val="00B97860"/>
    <w:rsid w:val="00BA0179"/>
    <w:rsid w:val="00BA043C"/>
    <w:rsid w:val="00BA51EA"/>
    <w:rsid w:val="00BA589F"/>
    <w:rsid w:val="00BA7C02"/>
    <w:rsid w:val="00BB047B"/>
    <w:rsid w:val="00BB3DCE"/>
    <w:rsid w:val="00BB4875"/>
    <w:rsid w:val="00BB6398"/>
    <w:rsid w:val="00BB72EF"/>
    <w:rsid w:val="00BB7BFD"/>
    <w:rsid w:val="00BC0E86"/>
    <w:rsid w:val="00BC2E88"/>
    <w:rsid w:val="00BC3A46"/>
    <w:rsid w:val="00BC3A49"/>
    <w:rsid w:val="00BC5608"/>
    <w:rsid w:val="00BD0153"/>
    <w:rsid w:val="00BD0372"/>
    <w:rsid w:val="00BD246E"/>
    <w:rsid w:val="00BD2A2D"/>
    <w:rsid w:val="00BD5A9F"/>
    <w:rsid w:val="00BD5C3C"/>
    <w:rsid w:val="00BE562B"/>
    <w:rsid w:val="00BF1C75"/>
    <w:rsid w:val="00BF4768"/>
    <w:rsid w:val="00BF5939"/>
    <w:rsid w:val="00BF6573"/>
    <w:rsid w:val="00C04EC6"/>
    <w:rsid w:val="00C1335A"/>
    <w:rsid w:val="00C139CA"/>
    <w:rsid w:val="00C20BF6"/>
    <w:rsid w:val="00C259FE"/>
    <w:rsid w:val="00C26BE8"/>
    <w:rsid w:val="00C369A4"/>
    <w:rsid w:val="00C40CE9"/>
    <w:rsid w:val="00C433C5"/>
    <w:rsid w:val="00C43BE7"/>
    <w:rsid w:val="00C44248"/>
    <w:rsid w:val="00C51429"/>
    <w:rsid w:val="00C6052D"/>
    <w:rsid w:val="00C63657"/>
    <w:rsid w:val="00C72C96"/>
    <w:rsid w:val="00C74198"/>
    <w:rsid w:val="00C879D8"/>
    <w:rsid w:val="00C91F16"/>
    <w:rsid w:val="00C92083"/>
    <w:rsid w:val="00C96B8A"/>
    <w:rsid w:val="00CA0650"/>
    <w:rsid w:val="00CA3397"/>
    <w:rsid w:val="00CA33E1"/>
    <w:rsid w:val="00CB196E"/>
    <w:rsid w:val="00CB6BEB"/>
    <w:rsid w:val="00CC617E"/>
    <w:rsid w:val="00CD6DF3"/>
    <w:rsid w:val="00CE7855"/>
    <w:rsid w:val="00CF2355"/>
    <w:rsid w:val="00CF3C2B"/>
    <w:rsid w:val="00D16D76"/>
    <w:rsid w:val="00D1765C"/>
    <w:rsid w:val="00D221A2"/>
    <w:rsid w:val="00D253AE"/>
    <w:rsid w:val="00D360D8"/>
    <w:rsid w:val="00D3612A"/>
    <w:rsid w:val="00D37703"/>
    <w:rsid w:val="00D37F25"/>
    <w:rsid w:val="00D40001"/>
    <w:rsid w:val="00D40B44"/>
    <w:rsid w:val="00D41E33"/>
    <w:rsid w:val="00D43650"/>
    <w:rsid w:val="00D44F45"/>
    <w:rsid w:val="00D453F6"/>
    <w:rsid w:val="00D45DF5"/>
    <w:rsid w:val="00D60D8D"/>
    <w:rsid w:val="00D7279B"/>
    <w:rsid w:val="00D73C98"/>
    <w:rsid w:val="00D80A10"/>
    <w:rsid w:val="00D8488A"/>
    <w:rsid w:val="00D94FD3"/>
    <w:rsid w:val="00DA11DD"/>
    <w:rsid w:val="00DA2D94"/>
    <w:rsid w:val="00DA68C4"/>
    <w:rsid w:val="00DA6D5B"/>
    <w:rsid w:val="00DB37CE"/>
    <w:rsid w:val="00DB3D42"/>
    <w:rsid w:val="00DC0120"/>
    <w:rsid w:val="00DC0BEB"/>
    <w:rsid w:val="00DD0CA1"/>
    <w:rsid w:val="00DD2765"/>
    <w:rsid w:val="00DE4079"/>
    <w:rsid w:val="00DE643F"/>
    <w:rsid w:val="00DF06D1"/>
    <w:rsid w:val="00DF1A68"/>
    <w:rsid w:val="00DF3B94"/>
    <w:rsid w:val="00DF547B"/>
    <w:rsid w:val="00E1042E"/>
    <w:rsid w:val="00E16D43"/>
    <w:rsid w:val="00E2509B"/>
    <w:rsid w:val="00E41CB4"/>
    <w:rsid w:val="00E42216"/>
    <w:rsid w:val="00E443D0"/>
    <w:rsid w:val="00E446A5"/>
    <w:rsid w:val="00E45ED4"/>
    <w:rsid w:val="00E4622C"/>
    <w:rsid w:val="00E46571"/>
    <w:rsid w:val="00E51FFB"/>
    <w:rsid w:val="00E550BC"/>
    <w:rsid w:val="00E63855"/>
    <w:rsid w:val="00E71345"/>
    <w:rsid w:val="00E76DEC"/>
    <w:rsid w:val="00E93A7A"/>
    <w:rsid w:val="00E9543F"/>
    <w:rsid w:val="00E95993"/>
    <w:rsid w:val="00E95AE3"/>
    <w:rsid w:val="00EA0D79"/>
    <w:rsid w:val="00EA7978"/>
    <w:rsid w:val="00EB005E"/>
    <w:rsid w:val="00EB03BB"/>
    <w:rsid w:val="00EB1C36"/>
    <w:rsid w:val="00EB6910"/>
    <w:rsid w:val="00EC279E"/>
    <w:rsid w:val="00ED0FA9"/>
    <w:rsid w:val="00ED2C6A"/>
    <w:rsid w:val="00ED7F8C"/>
    <w:rsid w:val="00EE2EB2"/>
    <w:rsid w:val="00EE406C"/>
    <w:rsid w:val="00EE62AE"/>
    <w:rsid w:val="00F00105"/>
    <w:rsid w:val="00F06BC1"/>
    <w:rsid w:val="00F07534"/>
    <w:rsid w:val="00F1020E"/>
    <w:rsid w:val="00F22DFB"/>
    <w:rsid w:val="00F23E94"/>
    <w:rsid w:val="00F26A9F"/>
    <w:rsid w:val="00F26E68"/>
    <w:rsid w:val="00F27BC8"/>
    <w:rsid w:val="00F33119"/>
    <w:rsid w:val="00F3504E"/>
    <w:rsid w:val="00F35910"/>
    <w:rsid w:val="00F36CFD"/>
    <w:rsid w:val="00F446E1"/>
    <w:rsid w:val="00F54DA4"/>
    <w:rsid w:val="00F56048"/>
    <w:rsid w:val="00F62A9E"/>
    <w:rsid w:val="00F6744F"/>
    <w:rsid w:val="00F73C47"/>
    <w:rsid w:val="00F75823"/>
    <w:rsid w:val="00F81F2C"/>
    <w:rsid w:val="00F84F71"/>
    <w:rsid w:val="00F86CEC"/>
    <w:rsid w:val="00F90D2A"/>
    <w:rsid w:val="00F90E63"/>
    <w:rsid w:val="00F91E54"/>
    <w:rsid w:val="00F93B9B"/>
    <w:rsid w:val="00FA66A6"/>
    <w:rsid w:val="00FA6B10"/>
    <w:rsid w:val="00FA6EE7"/>
    <w:rsid w:val="00FB47DD"/>
    <w:rsid w:val="00FB589C"/>
    <w:rsid w:val="00FB5EEB"/>
    <w:rsid w:val="00FB73D3"/>
    <w:rsid w:val="00FB776F"/>
    <w:rsid w:val="00FC567B"/>
    <w:rsid w:val="00FC772B"/>
    <w:rsid w:val="00FC78B9"/>
    <w:rsid w:val="00FD4756"/>
    <w:rsid w:val="00FD7079"/>
    <w:rsid w:val="00FE744D"/>
    <w:rsid w:val="00FF2438"/>
    <w:rsid w:val="01475176"/>
    <w:rsid w:val="015F166F"/>
    <w:rsid w:val="019C0C11"/>
    <w:rsid w:val="0220B57E"/>
    <w:rsid w:val="022F0B69"/>
    <w:rsid w:val="0244F036"/>
    <w:rsid w:val="02AA8EEC"/>
    <w:rsid w:val="02FDA633"/>
    <w:rsid w:val="0382915C"/>
    <w:rsid w:val="0485451A"/>
    <w:rsid w:val="06C359FB"/>
    <w:rsid w:val="06F20FC1"/>
    <w:rsid w:val="071EF0A6"/>
    <w:rsid w:val="08338FAC"/>
    <w:rsid w:val="083D000A"/>
    <w:rsid w:val="09CDBCBB"/>
    <w:rsid w:val="0A880ABE"/>
    <w:rsid w:val="0A8FE97E"/>
    <w:rsid w:val="0B5B762A"/>
    <w:rsid w:val="0B75FB10"/>
    <w:rsid w:val="0B89B3F6"/>
    <w:rsid w:val="0BA0DCCE"/>
    <w:rsid w:val="0C420EE1"/>
    <w:rsid w:val="0CB6E129"/>
    <w:rsid w:val="0D5ED808"/>
    <w:rsid w:val="0D8A74F7"/>
    <w:rsid w:val="0D999392"/>
    <w:rsid w:val="0D9E5D7F"/>
    <w:rsid w:val="0E928D11"/>
    <w:rsid w:val="0FA977DA"/>
    <w:rsid w:val="0FF77626"/>
    <w:rsid w:val="100654D8"/>
    <w:rsid w:val="103354FA"/>
    <w:rsid w:val="1076ED6E"/>
    <w:rsid w:val="114FB73E"/>
    <w:rsid w:val="118510E5"/>
    <w:rsid w:val="11F18A69"/>
    <w:rsid w:val="12145350"/>
    <w:rsid w:val="125469FD"/>
    <w:rsid w:val="125D6548"/>
    <w:rsid w:val="1271035D"/>
    <w:rsid w:val="12B33D1C"/>
    <w:rsid w:val="12E09AB4"/>
    <w:rsid w:val="12EBAFD4"/>
    <w:rsid w:val="131CBB47"/>
    <w:rsid w:val="15333BA9"/>
    <w:rsid w:val="15917079"/>
    <w:rsid w:val="162EE34A"/>
    <w:rsid w:val="168DA62A"/>
    <w:rsid w:val="16DA13A0"/>
    <w:rsid w:val="16F2EB87"/>
    <w:rsid w:val="172044B1"/>
    <w:rsid w:val="1732C9C3"/>
    <w:rsid w:val="17948714"/>
    <w:rsid w:val="17B254C1"/>
    <w:rsid w:val="17E9F94D"/>
    <w:rsid w:val="18368F0B"/>
    <w:rsid w:val="18A2C76C"/>
    <w:rsid w:val="192904C5"/>
    <w:rsid w:val="19665EA4"/>
    <w:rsid w:val="1985DAC3"/>
    <w:rsid w:val="1A28B798"/>
    <w:rsid w:val="1BA77489"/>
    <w:rsid w:val="1C8F0173"/>
    <w:rsid w:val="1D4CCC62"/>
    <w:rsid w:val="1D7332EE"/>
    <w:rsid w:val="1E3A7BA1"/>
    <w:rsid w:val="1E3FEC1F"/>
    <w:rsid w:val="1F06DB11"/>
    <w:rsid w:val="1F2E2DE5"/>
    <w:rsid w:val="1F470C04"/>
    <w:rsid w:val="20D85027"/>
    <w:rsid w:val="2147D1AD"/>
    <w:rsid w:val="232F0341"/>
    <w:rsid w:val="24444FC0"/>
    <w:rsid w:val="26FBAF2B"/>
    <w:rsid w:val="28C027EA"/>
    <w:rsid w:val="2916E49E"/>
    <w:rsid w:val="291FC471"/>
    <w:rsid w:val="2973950E"/>
    <w:rsid w:val="298B6D1E"/>
    <w:rsid w:val="2A83F054"/>
    <w:rsid w:val="2AF2516F"/>
    <w:rsid w:val="2B406E9A"/>
    <w:rsid w:val="2BC7C330"/>
    <w:rsid w:val="2C64E6E5"/>
    <w:rsid w:val="2CA2D74B"/>
    <w:rsid w:val="2D5C07D3"/>
    <w:rsid w:val="2DAD613E"/>
    <w:rsid w:val="2E3BFFB0"/>
    <w:rsid w:val="2EA01A90"/>
    <w:rsid w:val="2F0CF78A"/>
    <w:rsid w:val="2F88D388"/>
    <w:rsid w:val="2FED8BD5"/>
    <w:rsid w:val="3010EA34"/>
    <w:rsid w:val="310D1562"/>
    <w:rsid w:val="31BA0423"/>
    <w:rsid w:val="31BCCCA1"/>
    <w:rsid w:val="31F42D89"/>
    <w:rsid w:val="32DAFFFD"/>
    <w:rsid w:val="33C3924F"/>
    <w:rsid w:val="33F6988A"/>
    <w:rsid w:val="35233892"/>
    <w:rsid w:val="366A3465"/>
    <w:rsid w:val="3844B7A2"/>
    <w:rsid w:val="38A485D8"/>
    <w:rsid w:val="38A68BEC"/>
    <w:rsid w:val="398F7E4A"/>
    <w:rsid w:val="3A20AC4C"/>
    <w:rsid w:val="3B2C3ED2"/>
    <w:rsid w:val="3B72023F"/>
    <w:rsid w:val="3BD5B85E"/>
    <w:rsid w:val="3BDBFC7F"/>
    <w:rsid w:val="3C5D01D8"/>
    <w:rsid w:val="3CCDEFB4"/>
    <w:rsid w:val="3CF68047"/>
    <w:rsid w:val="3E3BEB1E"/>
    <w:rsid w:val="3E84F398"/>
    <w:rsid w:val="3EC65986"/>
    <w:rsid w:val="3EDA284F"/>
    <w:rsid w:val="406E441F"/>
    <w:rsid w:val="40B37344"/>
    <w:rsid w:val="41B24E4B"/>
    <w:rsid w:val="41C16625"/>
    <w:rsid w:val="42838CC2"/>
    <w:rsid w:val="4372D13B"/>
    <w:rsid w:val="4468258D"/>
    <w:rsid w:val="448ED0E8"/>
    <w:rsid w:val="44D8C2F1"/>
    <w:rsid w:val="4574B5DB"/>
    <w:rsid w:val="45FD05C8"/>
    <w:rsid w:val="4648798E"/>
    <w:rsid w:val="47D8741E"/>
    <w:rsid w:val="480338D3"/>
    <w:rsid w:val="481961B4"/>
    <w:rsid w:val="48AEB036"/>
    <w:rsid w:val="4926AEAE"/>
    <w:rsid w:val="4D523307"/>
    <w:rsid w:val="4DF3DD6D"/>
    <w:rsid w:val="4E633C9C"/>
    <w:rsid w:val="4EBF708A"/>
    <w:rsid w:val="4ED864EB"/>
    <w:rsid w:val="4F794757"/>
    <w:rsid w:val="5237A82D"/>
    <w:rsid w:val="523CDC96"/>
    <w:rsid w:val="5261AF8F"/>
    <w:rsid w:val="53C3CEEF"/>
    <w:rsid w:val="5427A6D4"/>
    <w:rsid w:val="562304FF"/>
    <w:rsid w:val="56306480"/>
    <w:rsid w:val="569DD975"/>
    <w:rsid w:val="56AA9B99"/>
    <w:rsid w:val="587C59EA"/>
    <w:rsid w:val="58DA96F0"/>
    <w:rsid w:val="5A3FD535"/>
    <w:rsid w:val="5B0DC94C"/>
    <w:rsid w:val="5BF843D2"/>
    <w:rsid w:val="5BFC6632"/>
    <w:rsid w:val="5C7431F5"/>
    <w:rsid w:val="5C89C6BD"/>
    <w:rsid w:val="5DB20E46"/>
    <w:rsid w:val="5E421250"/>
    <w:rsid w:val="5F19F83F"/>
    <w:rsid w:val="5FAEB5AB"/>
    <w:rsid w:val="600F4299"/>
    <w:rsid w:val="609031C3"/>
    <w:rsid w:val="630D3385"/>
    <w:rsid w:val="638C4DDD"/>
    <w:rsid w:val="63A3E5DB"/>
    <w:rsid w:val="63F8F3CA"/>
    <w:rsid w:val="6420E290"/>
    <w:rsid w:val="657D5F39"/>
    <w:rsid w:val="66B31ED6"/>
    <w:rsid w:val="671F4D32"/>
    <w:rsid w:val="67DB3B85"/>
    <w:rsid w:val="67F498D4"/>
    <w:rsid w:val="6813DCB5"/>
    <w:rsid w:val="684335BD"/>
    <w:rsid w:val="69BEB74E"/>
    <w:rsid w:val="6B1304E5"/>
    <w:rsid w:val="6BD2AC69"/>
    <w:rsid w:val="6CB6AF09"/>
    <w:rsid w:val="6DCC80D1"/>
    <w:rsid w:val="6E1B74A2"/>
    <w:rsid w:val="6E4C418E"/>
    <w:rsid w:val="6FADA288"/>
    <w:rsid w:val="701A23CE"/>
    <w:rsid w:val="704FC687"/>
    <w:rsid w:val="71358BDD"/>
    <w:rsid w:val="71660A88"/>
    <w:rsid w:val="722BAF05"/>
    <w:rsid w:val="72B29F70"/>
    <w:rsid w:val="731A8FCD"/>
    <w:rsid w:val="732B300C"/>
    <w:rsid w:val="742DBEB1"/>
    <w:rsid w:val="74AFB85D"/>
    <w:rsid w:val="7670A65F"/>
    <w:rsid w:val="7729FE57"/>
    <w:rsid w:val="78985372"/>
    <w:rsid w:val="79611240"/>
    <w:rsid w:val="7A648041"/>
    <w:rsid w:val="7BBB3382"/>
    <w:rsid w:val="7C95E9B9"/>
    <w:rsid w:val="7CB9F767"/>
    <w:rsid w:val="7D1380A4"/>
    <w:rsid w:val="7D18268E"/>
    <w:rsid w:val="7D87CE0A"/>
    <w:rsid w:val="7DEE59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43DC1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262EEB"/>
    <w:pPr>
      <w:numPr>
        <w:numId w:val="18"/>
      </w:numPr>
      <w:tabs>
        <w:tab w:val="clear" w:pos="1418"/>
        <w:tab w:val="num" w:pos="993"/>
      </w:tabs>
      <w:ind w:left="993"/>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262EEB"/>
    <w:rPr>
      <w:sz w:val="24"/>
      <w:szCs w:val="24"/>
      <w:lang w:eastAsia="en-US"/>
    </w:rPr>
  </w:style>
  <w:style w:type="paragraph" w:styleId="CommentSubject">
    <w:name w:val="annotation subject"/>
    <w:basedOn w:val="CommentText"/>
    <w:next w:val="CommentText"/>
    <w:link w:val="CommentSubjectChar"/>
    <w:rsid w:val="00A73B40"/>
    <w:rPr>
      <w:b/>
      <w:bCs/>
      <w:lang w:eastAsia="en-US"/>
    </w:rPr>
  </w:style>
  <w:style w:type="character" w:customStyle="1" w:styleId="CommentSubjectChar">
    <w:name w:val="Comment Subject Char"/>
    <w:basedOn w:val="CommentTextChar"/>
    <w:link w:val="CommentSubject"/>
    <w:rsid w:val="00A73B40"/>
    <w:rPr>
      <w:b/>
      <w:bCs/>
      <w:lang w:eastAsia="en-US"/>
    </w:rPr>
  </w:style>
  <w:style w:type="character" w:styleId="Mention">
    <w:name w:val="Mention"/>
    <w:basedOn w:val="DefaultParagraphFont"/>
    <w:uiPriority w:val="99"/>
    <w:unhideWhenUsed/>
    <w:locked/>
    <w:rsid w:val="008159CC"/>
    <w:rPr>
      <w:color w:val="2B579A"/>
      <w:shd w:val="clear" w:color="auto" w:fill="E1DFDD"/>
    </w:rPr>
  </w:style>
  <w:style w:type="character" w:styleId="FollowedHyperlink">
    <w:name w:val="FollowedHyperlink"/>
    <w:basedOn w:val="DefaultParagraphFont"/>
    <w:rsid w:val="00381B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7032">
      <w:bodyDiv w:val="1"/>
      <w:marLeft w:val="0"/>
      <w:marRight w:val="0"/>
      <w:marTop w:val="0"/>
      <w:marBottom w:val="0"/>
      <w:divBdr>
        <w:top w:val="none" w:sz="0" w:space="0" w:color="auto"/>
        <w:left w:val="none" w:sz="0" w:space="0" w:color="auto"/>
        <w:bottom w:val="none" w:sz="0" w:space="0" w:color="auto"/>
        <w:right w:val="none" w:sz="0" w:space="0" w:color="auto"/>
      </w:divBdr>
    </w:div>
    <w:div w:id="219100636">
      <w:bodyDiv w:val="1"/>
      <w:marLeft w:val="0"/>
      <w:marRight w:val="0"/>
      <w:marTop w:val="0"/>
      <w:marBottom w:val="0"/>
      <w:divBdr>
        <w:top w:val="none" w:sz="0" w:space="0" w:color="auto"/>
        <w:left w:val="none" w:sz="0" w:space="0" w:color="auto"/>
        <w:bottom w:val="none" w:sz="0" w:space="0" w:color="auto"/>
        <w:right w:val="none" w:sz="0" w:space="0" w:color="auto"/>
      </w:divBdr>
    </w:div>
    <w:div w:id="232740142">
      <w:bodyDiv w:val="1"/>
      <w:marLeft w:val="0"/>
      <w:marRight w:val="0"/>
      <w:marTop w:val="0"/>
      <w:marBottom w:val="0"/>
      <w:divBdr>
        <w:top w:val="none" w:sz="0" w:space="0" w:color="auto"/>
        <w:left w:val="none" w:sz="0" w:space="0" w:color="auto"/>
        <w:bottom w:val="none" w:sz="0" w:space="0" w:color="auto"/>
        <w:right w:val="none" w:sz="0" w:space="0" w:color="auto"/>
      </w:divBdr>
    </w:div>
    <w:div w:id="405999793">
      <w:bodyDiv w:val="1"/>
      <w:marLeft w:val="0"/>
      <w:marRight w:val="0"/>
      <w:marTop w:val="0"/>
      <w:marBottom w:val="0"/>
      <w:divBdr>
        <w:top w:val="none" w:sz="0" w:space="0" w:color="auto"/>
        <w:left w:val="none" w:sz="0" w:space="0" w:color="auto"/>
        <w:bottom w:val="none" w:sz="0" w:space="0" w:color="auto"/>
        <w:right w:val="none" w:sz="0" w:space="0" w:color="auto"/>
      </w:divBdr>
    </w:div>
    <w:div w:id="674069795">
      <w:bodyDiv w:val="1"/>
      <w:marLeft w:val="0"/>
      <w:marRight w:val="0"/>
      <w:marTop w:val="0"/>
      <w:marBottom w:val="0"/>
      <w:divBdr>
        <w:top w:val="none" w:sz="0" w:space="0" w:color="auto"/>
        <w:left w:val="none" w:sz="0" w:space="0" w:color="auto"/>
        <w:bottom w:val="none" w:sz="0" w:space="0" w:color="auto"/>
        <w:right w:val="none" w:sz="0" w:space="0" w:color="auto"/>
      </w:divBdr>
    </w:div>
    <w:div w:id="874578614">
      <w:bodyDiv w:val="1"/>
      <w:marLeft w:val="0"/>
      <w:marRight w:val="0"/>
      <w:marTop w:val="0"/>
      <w:marBottom w:val="0"/>
      <w:divBdr>
        <w:top w:val="none" w:sz="0" w:space="0" w:color="auto"/>
        <w:left w:val="none" w:sz="0" w:space="0" w:color="auto"/>
        <w:bottom w:val="none" w:sz="0" w:space="0" w:color="auto"/>
        <w:right w:val="none" w:sz="0" w:space="0" w:color="auto"/>
      </w:divBdr>
    </w:div>
    <w:div w:id="1286622214">
      <w:bodyDiv w:val="1"/>
      <w:marLeft w:val="0"/>
      <w:marRight w:val="0"/>
      <w:marTop w:val="0"/>
      <w:marBottom w:val="0"/>
      <w:divBdr>
        <w:top w:val="none" w:sz="0" w:space="0" w:color="auto"/>
        <w:left w:val="none" w:sz="0" w:space="0" w:color="auto"/>
        <w:bottom w:val="none" w:sz="0" w:space="0" w:color="auto"/>
        <w:right w:val="none" w:sz="0" w:space="0" w:color="auto"/>
      </w:divBdr>
    </w:div>
    <w:div w:id="1347442087">
      <w:bodyDiv w:val="1"/>
      <w:marLeft w:val="0"/>
      <w:marRight w:val="0"/>
      <w:marTop w:val="0"/>
      <w:marBottom w:val="0"/>
      <w:divBdr>
        <w:top w:val="none" w:sz="0" w:space="0" w:color="auto"/>
        <w:left w:val="none" w:sz="0" w:space="0" w:color="auto"/>
        <w:bottom w:val="none" w:sz="0" w:space="0" w:color="auto"/>
        <w:right w:val="none" w:sz="0" w:space="0" w:color="auto"/>
      </w:divBdr>
    </w:div>
    <w:div w:id="1808205082">
      <w:bodyDiv w:val="1"/>
      <w:marLeft w:val="0"/>
      <w:marRight w:val="0"/>
      <w:marTop w:val="0"/>
      <w:marBottom w:val="0"/>
      <w:divBdr>
        <w:top w:val="none" w:sz="0" w:space="0" w:color="auto"/>
        <w:left w:val="none" w:sz="0" w:space="0" w:color="auto"/>
        <w:bottom w:val="none" w:sz="0" w:space="0" w:color="auto"/>
        <w:right w:val="none" w:sz="0" w:space="0" w:color="auto"/>
      </w:divBdr>
    </w:div>
    <w:div w:id="18262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ocess/pmg36" TargetMode="External"/><Relationship Id="rId18" Type="http://schemas.openxmlformats.org/officeDocument/2006/relationships/hyperlink" Target="https://www.nice.org.uk/process/pmg4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ice.org.uk/about-us/our-board/public-board-meetings/2025/public-board-meeting-agenda-and-papers-july-2025" TargetMode="External"/><Relationship Id="rId17" Type="http://schemas.openxmlformats.org/officeDocument/2006/relationships/hyperlink" Target="https://www.nice.org.uk/process/pmg48" TargetMode="External"/><Relationship Id="rId2" Type="http://schemas.openxmlformats.org/officeDocument/2006/relationships/customXml" Target="../customXml/item2.xml"/><Relationship Id="rId16" Type="http://schemas.openxmlformats.org/officeDocument/2006/relationships/hyperlink" Target="https://www.nice.org.uk/process/pmg20/" TargetMode="External"/><Relationship Id="rId20"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4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process/pmg48/update/pmg48-update-1/documents/consultation-comments-and-responses-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ce.org.uk/process/pmg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about-us/our-board/public-board-meetings/2025/public-board-meeting-agenda-and-papers-september-2025"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216a1ca34091c950541c3bcfb8c576d">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d7f237805dc1122420463121526999b"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customXml/itemProps2.xml><?xml version="1.0" encoding="utf-8"?>
<ds:datastoreItem xmlns:ds="http://schemas.openxmlformats.org/officeDocument/2006/customXml" ds:itemID="{6C3AF369-9747-4B81-B3AF-6576D819BC69}">
  <ds:schemaRef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289b8fc0-128f-4d7b-b8ee-34c94b7018e7"/>
    <ds:schemaRef ds:uri="http://www.w3.org/XML/1998/namespace"/>
    <ds:schemaRef ds:uri="http://schemas.microsoft.com/office/infopath/2007/PartnerControls"/>
    <ds:schemaRef ds:uri="35b4e7bb-0a9c-468b-b508-8e83b9d014a1"/>
  </ds:schemaRefs>
</ds:datastoreItem>
</file>

<file path=customXml/itemProps3.xml><?xml version="1.0" encoding="utf-8"?>
<ds:datastoreItem xmlns:ds="http://schemas.openxmlformats.org/officeDocument/2006/customXml" ds:itemID="{C0C1EB7E-2F8E-432B-A164-1418CFB5453C}">
  <ds:schemaRefs>
    <ds:schemaRef ds:uri="http://schemas.microsoft.com/sharepoint/v3/contenttype/forms"/>
  </ds:schemaRefs>
</ds:datastoreItem>
</file>

<file path=customXml/itemProps4.xml><?xml version="1.0" encoding="utf-8"?>
<ds:datastoreItem xmlns:ds="http://schemas.openxmlformats.org/officeDocument/2006/customXml" ds:itemID="{FED6F037-3627-4A17-AD78-9A0140135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2060</Words>
  <Characters>11593</Characters>
  <Application>Microsoft Office Word</Application>
  <DocSecurity>0</DocSecurity>
  <Lines>261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2025-12-03T15:37:00Z</dcterms:created>
  <dcterms:modified xsi:type="dcterms:W3CDTF">2025-12-03T15:59:00Z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SIP_Label_54678ddc-88e6-45fa-b88f-819f911892da_Enabled">
    <vt:lpwstr>true</vt:lpwstr>
  </property>
  <property fmtid="{D5CDD505-2E9C-101B-9397-08002B2CF9AE}" pid="4" name="MSIP_Label_54678ddc-88e6-45fa-b88f-819f911892da_SetDate">
    <vt:lpwstr>2025-12-03T15:59:18Z</vt:lpwstr>
  </property>
  <property fmtid="{D5CDD505-2E9C-101B-9397-08002B2CF9AE}" pid="5" name="MSIP_Label_54678ddc-88e6-45fa-b88f-819f911892da_Method">
    <vt:lpwstr>Privileged</vt:lpwstr>
  </property>
  <property fmtid="{D5CDD505-2E9C-101B-9397-08002B2CF9AE}" pid="6" name="MSIP_Label_54678ddc-88e6-45fa-b88f-819f911892da_Name">
    <vt:lpwstr>PUBLIC</vt:lpwstr>
  </property>
  <property fmtid="{D5CDD505-2E9C-101B-9397-08002B2CF9AE}" pid="7" name="MSIP_Label_54678ddc-88e6-45fa-b88f-819f911892da_SiteId">
    <vt:lpwstr>6030f479-b342-472d-a5dd-740ff7538de9</vt:lpwstr>
  </property>
  <property fmtid="{D5CDD505-2E9C-101B-9397-08002B2CF9AE}" pid="8" name="MSIP_Label_54678ddc-88e6-45fa-b88f-819f911892da_ActionId">
    <vt:lpwstr>05fc1252-8471-4bb7-94ed-3665ef1decf8</vt:lpwstr>
  </property>
  <property fmtid="{D5CDD505-2E9C-101B-9397-08002B2CF9AE}" pid="9" name="MSIP_Label_54678ddc-88e6-45fa-b88f-819f911892da_ContentBits">
    <vt:lpwstr>0</vt:lpwstr>
  </property>
  <property fmtid="{D5CDD505-2E9C-101B-9397-08002B2CF9AE}" pid="10" name="MSIP_Label_54678ddc-88e6-45fa-b88f-819f911892da_Tag">
    <vt:lpwstr>10, 0, 1, 1</vt:lpwstr>
  </property>
</Properties>
</file>