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5B2D" w14:textId="18279F1D" w:rsidR="006963AD" w:rsidRPr="00B26933" w:rsidRDefault="006963AD" w:rsidP="006963AD">
      <w:pPr>
        <w:pStyle w:val="Paragraph"/>
        <w:ind w:left="567" w:hanging="501"/>
        <w:jc w:val="right"/>
        <w:rPr>
          <w:b/>
          <w:bCs/>
        </w:rPr>
      </w:pPr>
      <w:r w:rsidRPr="00B26933">
        <w:rPr>
          <w:b/>
          <w:bCs/>
        </w:rPr>
        <w:t>Appendix 1</w:t>
      </w:r>
    </w:p>
    <w:p w14:paraId="23A444E7" w14:textId="658B7636" w:rsidR="00127627" w:rsidRPr="00B26933" w:rsidRDefault="00B26933" w:rsidP="0075573E">
      <w:pPr>
        <w:pStyle w:val="Paragraph"/>
        <w:ind w:left="567" w:hanging="501"/>
        <w:jc w:val="center"/>
        <w:rPr>
          <w:b/>
          <w:bCs/>
          <w:sz w:val="28"/>
          <w:szCs w:val="28"/>
        </w:rPr>
      </w:pPr>
      <w:r w:rsidRPr="00B26933">
        <w:rPr>
          <w:b/>
          <w:bCs/>
          <w:sz w:val="28"/>
          <w:szCs w:val="28"/>
        </w:rPr>
        <w:t>Revision</w:t>
      </w:r>
      <w:r w:rsidR="0075573E" w:rsidRPr="00B26933">
        <w:rPr>
          <w:b/>
          <w:bCs/>
          <w:sz w:val="28"/>
          <w:szCs w:val="28"/>
        </w:rPr>
        <w:t>s to S</w:t>
      </w:r>
      <w:r w:rsidRPr="00B26933">
        <w:rPr>
          <w:b/>
          <w:bCs/>
          <w:sz w:val="28"/>
          <w:szCs w:val="28"/>
        </w:rPr>
        <w:t>tanding Financial</w:t>
      </w:r>
      <w:r w:rsidR="0075573E" w:rsidRPr="00B26933">
        <w:rPr>
          <w:b/>
          <w:bCs/>
          <w:sz w:val="28"/>
          <w:szCs w:val="28"/>
        </w:rPr>
        <w:t xml:space="preserve"> </w:t>
      </w:r>
      <w:r w:rsidRPr="00B26933">
        <w:rPr>
          <w:b/>
          <w:bCs/>
          <w:sz w:val="28"/>
          <w:szCs w:val="28"/>
        </w:rPr>
        <w:t>Instructions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390"/>
        <w:gridCol w:w="4614"/>
        <w:gridCol w:w="2068"/>
      </w:tblGrid>
      <w:tr w:rsidR="000C509B" w:rsidRPr="00406A4A" w14:paraId="1955FD30" w14:textId="77777777" w:rsidTr="006E0FDB">
        <w:trPr>
          <w:tblHeader/>
        </w:trPr>
        <w:tc>
          <w:tcPr>
            <w:tcW w:w="2390" w:type="dxa"/>
            <w:shd w:val="clear" w:color="auto" w:fill="8DB3E2" w:themeFill="text2" w:themeFillTint="66"/>
          </w:tcPr>
          <w:p w14:paraId="0AD63504" w14:textId="5836E256" w:rsidR="000C509B" w:rsidRPr="00406A4A" w:rsidRDefault="001F6D24" w:rsidP="002C3AD0">
            <w:pPr>
              <w:pStyle w:val="Paragraph"/>
              <w:spacing w:before="60" w:after="60"/>
              <w:rPr>
                <w:b/>
              </w:rPr>
            </w:pPr>
            <w:r>
              <w:rPr>
                <w:b/>
              </w:rPr>
              <w:t>S</w:t>
            </w:r>
            <w:r w:rsidR="000C509B" w:rsidRPr="00406A4A">
              <w:rPr>
                <w:b/>
              </w:rPr>
              <w:t>ecti</w:t>
            </w:r>
            <w:r w:rsidR="00125844">
              <w:rPr>
                <w:b/>
              </w:rPr>
              <w:t>on</w:t>
            </w:r>
          </w:p>
        </w:tc>
        <w:tc>
          <w:tcPr>
            <w:tcW w:w="4614" w:type="dxa"/>
            <w:shd w:val="clear" w:color="auto" w:fill="8DB3E2" w:themeFill="text2" w:themeFillTint="66"/>
          </w:tcPr>
          <w:p w14:paraId="56BC9738" w14:textId="77777777" w:rsidR="000C509B" w:rsidRPr="00406A4A" w:rsidRDefault="000C509B" w:rsidP="002C3AD0">
            <w:pPr>
              <w:pStyle w:val="Paragraph"/>
              <w:spacing w:before="60" w:after="60"/>
              <w:rPr>
                <w:b/>
              </w:rPr>
            </w:pPr>
            <w:r w:rsidRPr="00406A4A">
              <w:rPr>
                <w:b/>
              </w:rPr>
              <w:t>Proposed change</w:t>
            </w:r>
          </w:p>
        </w:tc>
        <w:tc>
          <w:tcPr>
            <w:tcW w:w="2068" w:type="dxa"/>
            <w:shd w:val="clear" w:color="auto" w:fill="8DB3E2" w:themeFill="text2" w:themeFillTint="66"/>
          </w:tcPr>
          <w:p w14:paraId="1C022519" w14:textId="77777777" w:rsidR="000C509B" w:rsidRPr="009C57FB" w:rsidRDefault="000C509B" w:rsidP="002C3AD0">
            <w:pPr>
              <w:pStyle w:val="Paragraph"/>
              <w:spacing w:before="60" w:after="60"/>
              <w:rPr>
                <w:b/>
              </w:rPr>
            </w:pPr>
            <w:r w:rsidRPr="009C57FB">
              <w:rPr>
                <w:b/>
              </w:rPr>
              <w:t>Rationale</w:t>
            </w:r>
          </w:p>
        </w:tc>
      </w:tr>
      <w:tr w:rsidR="00520BBA" w:rsidRPr="00D34272" w14:paraId="2E45206D" w14:textId="77777777" w:rsidTr="006E0FDB">
        <w:tc>
          <w:tcPr>
            <w:tcW w:w="2390" w:type="dxa"/>
          </w:tcPr>
          <w:p w14:paraId="4B6C8AFC" w14:textId="0F388A2D" w:rsidR="00520BBA" w:rsidRDefault="00377233" w:rsidP="009A1F76">
            <w:pPr>
              <w:pStyle w:val="Paragraph"/>
              <w:spacing w:before="60" w:after="60" w:line="240" w:lineRule="auto"/>
            </w:pPr>
            <w:r>
              <w:t>Throughout</w:t>
            </w:r>
          </w:p>
        </w:tc>
        <w:tc>
          <w:tcPr>
            <w:tcW w:w="4614" w:type="dxa"/>
          </w:tcPr>
          <w:p w14:paraId="1E1CCA7A" w14:textId="68C7CE7B" w:rsidR="00520BBA" w:rsidRDefault="00377233" w:rsidP="009A1F76">
            <w:pPr>
              <w:pStyle w:val="Paragraph"/>
              <w:spacing w:before="60" w:after="60" w:line="240" w:lineRule="auto"/>
            </w:pPr>
            <w:r>
              <w:t>Director of F</w:t>
            </w:r>
            <w:r w:rsidR="00F8356F">
              <w:t xml:space="preserve">inance, </w:t>
            </w:r>
            <w:r>
              <w:t>S</w:t>
            </w:r>
            <w:r w:rsidR="00F8356F">
              <w:t xml:space="preserve">trategy and </w:t>
            </w:r>
            <w:r>
              <w:t>T</w:t>
            </w:r>
            <w:r w:rsidR="00F8356F">
              <w:t>ransformation</w:t>
            </w:r>
            <w:r>
              <w:t xml:space="preserve"> to Director of Finance</w:t>
            </w:r>
          </w:p>
        </w:tc>
        <w:tc>
          <w:tcPr>
            <w:tcW w:w="2068" w:type="dxa"/>
          </w:tcPr>
          <w:p w14:paraId="5190777F" w14:textId="7C6FC523" w:rsidR="00520BBA" w:rsidRDefault="00C55D36" w:rsidP="009A1F76">
            <w:pPr>
              <w:pStyle w:val="Paragraph"/>
              <w:spacing w:before="60" w:after="60" w:line="240" w:lineRule="auto"/>
            </w:pPr>
            <w:r>
              <w:t xml:space="preserve">Reflect latest terminology </w:t>
            </w:r>
          </w:p>
        </w:tc>
      </w:tr>
      <w:tr w:rsidR="00377233" w:rsidRPr="00D34272" w14:paraId="109CFC48" w14:textId="77777777" w:rsidTr="006E0FDB">
        <w:tc>
          <w:tcPr>
            <w:tcW w:w="2390" w:type="dxa"/>
          </w:tcPr>
          <w:p w14:paraId="6903143A" w14:textId="65F38D3A" w:rsidR="00377233" w:rsidRDefault="00377233" w:rsidP="00401A3D">
            <w:pPr>
              <w:pStyle w:val="Paragraph"/>
              <w:spacing w:before="60" w:after="60" w:line="240" w:lineRule="auto"/>
            </w:pPr>
            <w:r>
              <w:t>Throughout</w:t>
            </w:r>
          </w:p>
        </w:tc>
        <w:tc>
          <w:tcPr>
            <w:tcW w:w="4614" w:type="dxa"/>
          </w:tcPr>
          <w:p w14:paraId="362BE277" w14:textId="1581C90E" w:rsidR="00377233" w:rsidRDefault="00377233" w:rsidP="00401A3D">
            <w:pPr>
              <w:pStyle w:val="Paragraph"/>
              <w:spacing w:before="60" w:after="60" w:line="240" w:lineRule="auto"/>
            </w:pPr>
            <w:r>
              <w:t xml:space="preserve">Procurement </w:t>
            </w:r>
            <w:r w:rsidR="003C15E1">
              <w:t xml:space="preserve">policies amended </w:t>
            </w:r>
            <w:r>
              <w:t>to commercial</w:t>
            </w:r>
            <w:r w:rsidR="003C15E1">
              <w:t xml:space="preserve"> policies</w:t>
            </w:r>
          </w:p>
        </w:tc>
        <w:tc>
          <w:tcPr>
            <w:tcW w:w="2068" w:type="dxa"/>
          </w:tcPr>
          <w:p w14:paraId="4C9BD090" w14:textId="66EAC2F4" w:rsidR="00377233" w:rsidRDefault="00C55D36" w:rsidP="00401A3D">
            <w:pPr>
              <w:pStyle w:val="Paragraph"/>
              <w:spacing w:before="60" w:after="60" w:line="240" w:lineRule="auto"/>
            </w:pPr>
            <w:r>
              <w:t>Reflect latest terminology</w:t>
            </w:r>
          </w:p>
        </w:tc>
      </w:tr>
      <w:tr w:rsidR="00D165C5" w:rsidRPr="00D34272" w14:paraId="6D5EBF8C" w14:textId="77777777" w:rsidTr="008B4C8F">
        <w:tc>
          <w:tcPr>
            <w:tcW w:w="2390" w:type="dxa"/>
          </w:tcPr>
          <w:p w14:paraId="34CF4EC0" w14:textId="547DC414" w:rsidR="00D165C5" w:rsidRDefault="00D165C5" w:rsidP="008B4C8F">
            <w:pPr>
              <w:pStyle w:val="Paragraph"/>
              <w:spacing w:before="60" w:after="60" w:line="240" w:lineRule="auto"/>
            </w:pPr>
            <w:r>
              <w:t>Budgets (SFI 33)</w:t>
            </w:r>
          </w:p>
        </w:tc>
        <w:tc>
          <w:tcPr>
            <w:tcW w:w="4614" w:type="dxa"/>
          </w:tcPr>
          <w:p w14:paraId="100CE7CE" w14:textId="77777777" w:rsidR="00D165C5" w:rsidRDefault="00D165C5" w:rsidP="008B4C8F">
            <w:pPr>
              <w:pStyle w:val="Paragraph"/>
              <w:spacing w:before="60" w:after="60" w:line="240" w:lineRule="auto"/>
            </w:pPr>
            <w:r>
              <w:t xml:space="preserve">Clarification of the budget setting process </w:t>
            </w:r>
          </w:p>
        </w:tc>
        <w:tc>
          <w:tcPr>
            <w:tcW w:w="2068" w:type="dxa"/>
          </w:tcPr>
          <w:p w14:paraId="5A258B52" w14:textId="77777777" w:rsidR="00D165C5" w:rsidRDefault="00D165C5" w:rsidP="008B4C8F">
            <w:pPr>
              <w:pStyle w:val="Paragraph"/>
              <w:spacing w:before="60" w:after="60" w:line="240" w:lineRule="auto"/>
            </w:pPr>
            <w:r>
              <w:t>General updating</w:t>
            </w:r>
          </w:p>
        </w:tc>
      </w:tr>
      <w:tr w:rsidR="00377233" w:rsidRPr="00D34272" w14:paraId="6C52F58E" w14:textId="77777777" w:rsidTr="006E0FDB">
        <w:tc>
          <w:tcPr>
            <w:tcW w:w="2390" w:type="dxa"/>
          </w:tcPr>
          <w:p w14:paraId="53F575B8" w14:textId="524CECFC" w:rsidR="00377233" w:rsidRDefault="00377233" w:rsidP="00401A3D">
            <w:pPr>
              <w:pStyle w:val="Paragraph"/>
              <w:spacing w:before="60" w:after="60" w:line="240" w:lineRule="auto"/>
            </w:pPr>
            <w:r>
              <w:t xml:space="preserve">Budget holders and contract managers (SFI </w:t>
            </w:r>
            <w:r w:rsidR="00D165C5">
              <w:t>3</w:t>
            </w:r>
            <w:r w:rsidR="00C55D36">
              <w:t>8</w:t>
            </w:r>
            <w:r>
              <w:t>)</w:t>
            </w:r>
          </w:p>
        </w:tc>
        <w:tc>
          <w:tcPr>
            <w:tcW w:w="4614" w:type="dxa"/>
          </w:tcPr>
          <w:p w14:paraId="0AB1EB70" w14:textId="156A6991" w:rsidR="00377233" w:rsidRDefault="00377233" w:rsidP="00401A3D">
            <w:pPr>
              <w:pStyle w:val="Paragraph"/>
              <w:spacing w:before="60" w:after="60" w:line="240" w:lineRule="auto"/>
            </w:pPr>
            <w:r>
              <w:t>New SFI added to confirm the responsibilities of budget holders and contract managers to ensure they comply with SFIs before authorising any payment for goods and services</w:t>
            </w:r>
          </w:p>
        </w:tc>
        <w:tc>
          <w:tcPr>
            <w:tcW w:w="2068" w:type="dxa"/>
          </w:tcPr>
          <w:p w14:paraId="66A1E820" w14:textId="77777777" w:rsidR="00377233" w:rsidRDefault="00377233" w:rsidP="00401A3D">
            <w:pPr>
              <w:pStyle w:val="Paragraph"/>
              <w:spacing w:before="60" w:after="60" w:line="240" w:lineRule="auto"/>
            </w:pPr>
            <w:r>
              <w:t>Internal audit recommendation</w:t>
            </w:r>
          </w:p>
        </w:tc>
      </w:tr>
      <w:tr w:rsidR="000C509B" w:rsidRPr="00D34272" w14:paraId="5A4157A4" w14:textId="77777777" w:rsidTr="006E0FDB">
        <w:tc>
          <w:tcPr>
            <w:tcW w:w="2390" w:type="dxa"/>
          </w:tcPr>
          <w:p w14:paraId="12DECA65" w14:textId="69E051A6" w:rsidR="000C509B" w:rsidRPr="00D34272" w:rsidRDefault="00A23902" w:rsidP="009A1F76">
            <w:pPr>
              <w:pStyle w:val="Paragraph"/>
              <w:spacing w:before="60" w:after="60" w:line="240" w:lineRule="auto"/>
            </w:pPr>
            <w:r>
              <w:t>Delegated budgets</w:t>
            </w:r>
            <w:r w:rsidR="00377233">
              <w:t xml:space="preserve"> (SFI 39)</w:t>
            </w:r>
          </w:p>
        </w:tc>
        <w:tc>
          <w:tcPr>
            <w:tcW w:w="4614" w:type="dxa"/>
          </w:tcPr>
          <w:p w14:paraId="080741C3" w14:textId="49C00C39" w:rsidR="000C509B" w:rsidRPr="00D34272" w:rsidRDefault="00377233" w:rsidP="009A1F76">
            <w:pPr>
              <w:pStyle w:val="Paragraph"/>
              <w:spacing w:before="60" w:after="60" w:line="240" w:lineRule="auto"/>
            </w:pPr>
            <w:r>
              <w:t>Highlights the additional spend controls for procuring consultancy</w:t>
            </w:r>
            <w:r w:rsidR="00DE25CC">
              <w:t xml:space="preserve">, </w:t>
            </w:r>
            <w:r>
              <w:t>professional services</w:t>
            </w:r>
            <w:r w:rsidR="00DE25CC">
              <w:t>,</w:t>
            </w:r>
            <w:r>
              <w:t xml:space="preserve"> contingent labour</w:t>
            </w:r>
            <w:r w:rsidR="00DE25CC">
              <w:t xml:space="preserve"> and for some IT/digital and comms spend</w:t>
            </w:r>
          </w:p>
        </w:tc>
        <w:tc>
          <w:tcPr>
            <w:tcW w:w="2068" w:type="dxa"/>
          </w:tcPr>
          <w:p w14:paraId="19728ABE" w14:textId="4049A641" w:rsidR="000C509B" w:rsidRPr="00D34272" w:rsidRDefault="00AF57A3" w:rsidP="009A1F76">
            <w:pPr>
              <w:pStyle w:val="Paragraph"/>
              <w:spacing w:before="60" w:after="60" w:line="240" w:lineRule="auto"/>
            </w:pPr>
            <w:r>
              <w:t xml:space="preserve">Regulatory </w:t>
            </w:r>
            <w:r w:rsidR="001A578C">
              <w:t>compliance</w:t>
            </w:r>
          </w:p>
        </w:tc>
      </w:tr>
      <w:tr w:rsidR="00594076" w:rsidRPr="00D34272" w14:paraId="58E470C9" w14:textId="77777777" w:rsidTr="006E0FDB">
        <w:tc>
          <w:tcPr>
            <w:tcW w:w="2390" w:type="dxa"/>
          </w:tcPr>
          <w:p w14:paraId="34BFA5EF" w14:textId="088AA3F1" w:rsidR="00594076" w:rsidRDefault="00B55232" w:rsidP="009A1F76">
            <w:pPr>
              <w:pStyle w:val="Paragraph"/>
              <w:spacing w:before="60" w:after="60" w:line="240" w:lineRule="auto"/>
            </w:pPr>
            <w:r>
              <w:t>Budgetary control and reporting (SFI 42)</w:t>
            </w:r>
          </w:p>
        </w:tc>
        <w:tc>
          <w:tcPr>
            <w:tcW w:w="4614" w:type="dxa"/>
          </w:tcPr>
          <w:p w14:paraId="374D7FFA" w14:textId="260E8DD2" w:rsidR="008D5ED6" w:rsidRPr="005F4814" w:rsidRDefault="00B55232" w:rsidP="009A1F76">
            <w:pPr>
              <w:pStyle w:val="Paragraph"/>
              <w:spacing w:before="60" w:after="60" w:line="240" w:lineRule="auto"/>
            </w:pPr>
            <w:r>
              <w:t>Allows for overspends or reductions in income to be managed</w:t>
            </w:r>
            <w:r w:rsidR="00051D25">
              <w:t xml:space="preserve"> within directorates,</w:t>
            </w:r>
            <w:r>
              <w:t xml:space="preserve"> in line with the scheme of delegation </w:t>
            </w:r>
          </w:p>
        </w:tc>
        <w:tc>
          <w:tcPr>
            <w:tcW w:w="2068" w:type="dxa"/>
          </w:tcPr>
          <w:p w14:paraId="33337A37" w14:textId="364B2AE1" w:rsidR="00594076" w:rsidRDefault="00B55232" w:rsidP="009A1F76">
            <w:pPr>
              <w:pStyle w:val="Paragraph"/>
              <w:spacing w:before="60" w:after="60" w:line="240" w:lineRule="auto"/>
            </w:pPr>
            <w:r>
              <w:t>Delegating authority to budget holders</w:t>
            </w:r>
          </w:p>
        </w:tc>
      </w:tr>
      <w:tr w:rsidR="00594076" w:rsidRPr="00D34272" w14:paraId="4B514072" w14:textId="77777777" w:rsidTr="006E0FDB">
        <w:tc>
          <w:tcPr>
            <w:tcW w:w="2390" w:type="dxa"/>
          </w:tcPr>
          <w:p w14:paraId="699A6457" w14:textId="707B36A2" w:rsidR="00594076" w:rsidRDefault="006227EC" w:rsidP="009A1F76">
            <w:pPr>
              <w:pStyle w:val="Paragraph"/>
              <w:spacing w:before="60" w:after="60" w:line="240" w:lineRule="auto"/>
            </w:pPr>
            <w:r>
              <w:t>Fees and charges (SFI 52)</w:t>
            </w:r>
          </w:p>
        </w:tc>
        <w:tc>
          <w:tcPr>
            <w:tcW w:w="4614" w:type="dxa"/>
          </w:tcPr>
          <w:p w14:paraId="6308563D" w14:textId="2676B020" w:rsidR="00594076" w:rsidRDefault="00C55D36" w:rsidP="009A1F76">
            <w:pPr>
              <w:pStyle w:val="Paragraph"/>
              <w:spacing w:before="60" w:after="60" w:line="240" w:lineRule="auto"/>
            </w:pPr>
            <w:r>
              <w:t>Clarifies responsibility for</w:t>
            </w:r>
            <w:r w:rsidR="006227EC">
              <w:t xml:space="preserve"> approval of fees and charges </w:t>
            </w:r>
          </w:p>
        </w:tc>
        <w:tc>
          <w:tcPr>
            <w:tcW w:w="2068" w:type="dxa"/>
          </w:tcPr>
          <w:p w14:paraId="51E14CEF" w14:textId="324F7D7D" w:rsidR="00594076" w:rsidRDefault="00C55D36" w:rsidP="009A1F76">
            <w:pPr>
              <w:pStyle w:val="Paragraph"/>
              <w:spacing w:before="60" w:after="60" w:line="240" w:lineRule="auto"/>
            </w:pPr>
            <w:r>
              <w:t>General updating</w:t>
            </w:r>
          </w:p>
        </w:tc>
      </w:tr>
      <w:tr w:rsidR="00594076" w:rsidRPr="00D34272" w14:paraId="4EE18837" w14:textId="77777777" w:rsidTr="006E0FDB">
        <w:tc>
          <w:tcPr>
            <w:tcW w:w="2390" w:type="dxa"/>
          </w:tcPr>
          <w:p w14:paraId="17CC0666" w14:textId="53C65147" w:rsidR="00594076" w:rsidRPr="00D34272" w:rsidRDefault="006227EC" w:rsidP="009A1F76">
            <w:pPr>
              <w:pStyle w:val="Paragraph"/>
              <w:spacing w:before="60" w:after="60" w:line="240" w:lineRule="auto"/>
            </w:pPr>
            <w:r>
              <w:t>Duty to comply with Standing Orders (SFI 62)</w:t>
            </w:r>
          </w:p>
        </w:tc>
        <w:tc>
          <w:tcPr>
            <w:tcW w:w="4614" w:type="dxa"/>
          </w:tcPr>
          <w:p w14:paraId="091E260A" w14:textId="50588671" w:rsidR="00594076" w:rsidRPr="00D34272" w:rsidRDefault="006227EC" w:rsidP="009A1F76">
            <w:pPr>
              <w:pStyle w:val="Paragraph"/>
              <w:spacing w:before="60" w:after="60" w:line="240" w:lineRule="auto"/>
            </w:pPr>
            <w:r>
              <w:t>Reference to complying with the policy on declaring and managing interests has been included</w:t>
            </w:r>
          </w:p>
        </w:tc>
        <w:tc>
          <w:tcPr>
            <w:tcW w:w="2068" w:type="dxa"/>
          </w:tcPr>
          <w:p w14:paraId="64A5FCD6" w14:textId="1867804A" w:rsidR="00594076" w:rsidRPr="00D34272" w:rsidRDefault="006227EC" w:rsidP="009A1F76">
            <w:pPr>
              <w:pStyle w:val="Paragraph"/>
              <w:spacing w:before="60" w:after="60" w:line="240" w:lineRule="auto"/>
            </w:pPr>
            <w:r>
              <w:t>Compliance with NICE policies</w:t>
            </w:r>
          </w:p>
        </w:tc>
      </w:tr>
      <w:tr w:rsidR="00EA1411" w:rsidRPr="006F2405" w14:paraId="08488DC7" w14:textId="77777777" w:rsidTr="006E0FDB">
        <w:tc>
          <w:tcPr>
            <w:tcW w:w="2390" w:type="dxa"/>
          </w:tcPr>
          <w:p w14:paraId="34947972" w14:textId="734D45A1" w:rsidR="00EA1411" w:rsidRPr="00DD7BB0" w:rsidRDefault="00663439" w:rsidP="009A1F76">
            <w:pPr>
              <w:pStyle w:val="Paragraph"/>
              <w:spacing w:before="60" w:after="60" w:line="240" w:lineRule="auto"/>
            </w:pPr>
            <w:r w:rsidRPr="00DD7BB0">
              <w:t>Formal competitive tendering (SFI 67)</w:t>
            </w:r>
          </w:p>
        </w:tc>
        <w:tc>
          <w:tcPr>
            <w:tcW w:w="4614" w:type="dxa"/>
          </w:tcPr>
          <w:p w14:paraId="3F03D079" w14:textId="126924E8" w:rsidR="0017115F" w:rsidRPr="0047389D" w:rsidRDefault="00663439" w:rsidP="009A1F76">
            <w:pPr>
              <w:pStyle w:val="Paragraph"/>
              <w:spacing w:before="60" w:after="60" w:line="240" w:lineRule="auto"/>
            </w:pPr>
            <w:r w:rsidRPr="0047389D">
              <w:t xml:space="preserve">Waivers </w:t>
            </w:r>
            <w:r w:rsidR="00C55D36" w:rsidRPr="0047389D">
              <w:t>due to the rationale</w:t>
            </w:r>
            <w:r w:rsidRPr="0047389D">
              <w:t xml:space="preserve"> of maintaining continuity </w:t>
            </w:r>
            <w:r w:rsidR="00C55D36" w:rsidRPr="0047389D">
              <w:t xml:space="preserve">with an earlier project </w:t>
            </w:r>
            <w:r w:rsidRPr="0047389D">
              <w:t xml:space="preserve">must </w:t>
            </w:r>
            <w:r w:rsidR="00DD7BB0" w:rsidRPr="0047389D">
              <w:rPr>
                <w:rFonts w:cs="Arial"/>
              </w:rPr>
              <w:t xml:space="preserve">not </w:t>
            </w:r>
            <w:r w:rsidRPr="0047389D">
              <w:rPr>
                <w:rFonts w:cs="Arial"/>
              </w:rPr>
              <w:t>materially alter the scope or terms of the original contract</w:t>
            </w:r>
          </w:p>
        </w:tc>
        <w:tc>
          <w:tcPr>
            <w:tcW w:w="2068" w:type="dxa"/>
          </w:tcPr>
          <w:p w14:paraId="1061856E" w14:textId="0F484E51" w:rsidR="0017115F" w:rsidRPr="006F2405" w:rsidRDefault="00663439" w:rsidP="009A1F76">
            <w:pPr>
              <w:pStyle w:val="Paragraph"/>
              <w:spacing w:before="60" w:after="60" w:line="240" w:lineRule="auto"/>
            </w:pPr>
            <w:r w:rsidRPr="00DD7BB0">
              <w:t>In line with competitive tendering rules</w:t>
            </w:r>
          </w:p>
        </w:tc>
      </w:tr>
      <w:tr w:rsidR="00594076" w:rsidRPr="00922B72" w14:paraId="321EA669" w14:textId="77777777" w:rsidTr="006E0FDB">
        <w:tc>
          <w:tcPr>
            <w:tcW w:w="2390" w:type="dxa"/>
          </w:tcPr>
          <w:p w14:paraId="3D338417" w14:textId="2AFDDF41" w:rsidR="00594076" w:rsidRPr="006F2405" w:rsidRDefault="003C15E1" w:rsidP="009A1F76">
            <w:pPr>
              <w:pStyle w:val="Paragraph"/>
              <w:spacing w:before="60" w:after="60" w:line="240" w:lineRule="auto"/>
            </w:pPr>
            <w:r>
              <w:t>Quotations and tenders (SFI 76)</w:t>
            </w:r>
          </w:p>
        </w:tc>
        <w:tc>
          <w:tcPr>
            <w:tcW w:w="4614" w:type="dxa"/>
          </w:tcPr>
          <w:p w14:paraId="7C5F4596" w14:textId="4B0E9B47" w:rsidR="00594076" w:rsidRPr="003C15E1" w:rsidRDefault="003C15E1" w:rsidP="009A1F76">
            <w:pPr>
              <w:pStyle w:val="Paragraph"/>
              <w:spacing w:before="60" w:after="60" w:line="240" w:lineRule="auto"/>
            </w:pPr>
            <w:r>
              <w:t>In quotations, c</w:t>
            </w:r>
            <w:r w:rsidRPr="003C15E1">
              <w:t xml:space="preserve">ost should normally be given a </w:t>
            </w:r>
            <w:r>
              <w:t xml:space="preserve">20 to </w:t>
            </w:r>
            <w:r w:rsidRPr="003C15E1">
              <w:t>50% weighting in comparison to the other factors being evaluated</w:t>
            </w:r>
            <w:r>
              <w:t xml:space="preserve">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quality)</w:t>
            </w:r>
          </w:p>
        </w:tc>
        <w:tc>
          <w:tcPr>
            <w:tcW w:w="2068" w:type="dxa"/>
          </w:tcPr>
          <w:p w14:paraId="6DFD8686" w14:textId="1954EDA9" w:rsidR="00594076" w:rsidRPr="006F2405" w:rsidRDefault="003C15E1" w:rsidP="009A1F76">
            <w:pPr>
              <w:pStyle w:val="Paragraph"/>
              <w:spacing w:before="60" w:after="60" w:line="240" w:lineRule="auto"/>
            </w:pPr>
            <w:r>
              <w:t xml:space="preserve">Percentage </w:t>
            </w:r>
            <w:r w:rsidR="0028195E">
              <w:t xml:space="preserve">cost weighting </w:t>
            </w:r>
            <w:r w:rsidR="00151330">
              <w:t>range is amend</w:t>
            </w:r>
            <w:r>
              <w:t xml:space="preserve">ed </w:t>
            </w:r>
            <w:r w:rsidR="00C55D36">
              <w:t xml:space="preserve">to reflect importance of quality of service </w:t>
            </w:r>
          </w:p>
        </w:tc>
      </w:tr>
      <w:tr w:rsidR="001A578C" w:rsidRPr="00922B72" w14:paraId="7A5754E7" w14:textId="77777777" w:rsidTr="006E0FDB">
        <w:tc>
          <w:tcPr>
            <w:tcW w:w="2390" w:type="dxa"/>
          </w:tcPr>
          <w:p w14:paraId="6CB72EB1" w14:textId="4277288B" w:rsidR="001A578C" w:rsidRPr="006F2405" w:rsidRDefault="001A578C" w:rsidP="001A578C">
            <w:pPr>
              <w:pStyle w:val="Paragraph"/>
              <w:spacing w:before="60" w:after="60" w:line="240" w:lineRule="auto"/>
            </w:pPr>
            <w:r>
              <w:t>Contracts (SFI 80)</w:t>
            </w:r>
          </w:p>
        </w:tc>
        <w:tc>
          <w:tcPr>
            <w:tcW w:w="4614" w:type="dxa"/>
          </w:tcPr>
          <w:p w14:paraId="4A8740B3" w14:textId="4B31571F" w:rsidR="001A578C" w:rsidRPr="00660F06" w:rsidRDefault="0047389D" w:rsidP="001A578C">
            <w:pPr>
              <w:pStyle w:val="Paragraph"/>
              <w:spacing w:before="60" w:after="60" w:line="240" w:lineRule="auto"/>
            </w:pPr>
            <w:r>
              <w:t>Statement added that c</w:t>
            </w:r>
            <w:r w:rsidR="001A578C">
              <w:t>ontracts must comply with Cabinet Office controls framework and the DHSC ALB schedule of delegations</w:t>
            </w:r>
          </w:p>
        </w:tc>
        <w:tc>
          <w:tcPr>
            <w:tcW w:w="2068" w:type="dxa"/>
          </w:tcPr>
          <w:p w14:paraId="41C9EB5E" w14:textId="1962339E" w:rsidR="001A578C" w:rsidRPr="006F2405" w:rsidRDefault="001A578C" w:rsidP="001A578C">
            <w:pPr>
              <w:pStyle w:val="Paragraph"/>
              <w:spacing w:before="60" w:after="60" w:line="240" w:lineRule="auto"/>
            </w:pPr>
            <w:r>
              <w:t>Regulatory compliance</w:t>
            </w:r>
          </w:p>
        </w:tc>
      </w:tr>
      <w:tr w:rsidR="006E0FDB" w:rsidRPr="00922B72" w14:paraId="64C54984" w14:textId="77777777" w:rsidTr="006E0FDB">
        <w:tc>
          <w:tcPr>
            <w:tcW w:w="2390" w:type="dxa"/>
          </w:tcPr>
          <w:p w14:paraId="26A8EE9B" w14:textId="289A2670" w:rsidR="006E0FDB" w:rsidRPr="006F2405" w:rsidRDefault="006E0FDB" w:rsidP="006E0FDB">
            <w:pPr>
              <w:pStyle w:val="Paragraph"/>
              <w:spacing w:before="60" w:after="60" w:line="240" w:lineRule="auto"/>
            </w:pPr>
            <w:r>
              <w:t>Contracts (SFI 82)</w:t>
            </w:r>
          </w:p>
        </w:tc>
        <w:tc>
          <w:tcPr>
            <w:tcW w:w="4614" w:type="dxa"/>
          </w:tcPr>
          <w:p w14:paraId="39D665F5" w14:textId="0551D5B3" w:rsidR="006E0FDB" w:rsidRPr="00660F06" w:rsidRDefault="006E0FDB" w:rsidP="006E0FDB">
            <w:pPr>
              <w:pStyle w:val="Paragraph"/>
              <w:spacing w:before="60" w:after="60" w:line="240" w:lineRule="auto"/>
            </w:pPr>
            <w:r>
              <w:t>Added a requirement for contract managers to read and understand their responsibilities as set out within the SFIs and to have undertaken the necessary training</w:t>
            </w:r>
          </w:p>
        </w:tc>
        <w:tc>
          <w:tcPr>
            <w:tcW w:w="2068" w:type="dxa"/>
          </w:tcPr>
          <w:p w14:paraId="711243F0" w14:textId="619490A6" w:rsidR="006E0FDB" w:rsidRPr="006F2405" w:rsidRDefault="006E0FDB" w:rsidP="006E0FDB">
            <w:pPr>
              <w:pStyle w:val="Paragraph"/>
              <w:spacing w:before="60" w:after="60" w:line="240" w:lineRule="auto"/>
            </w:pPr>
            <w:r>
              <w:t>Internal audit recommendation</w:t>
            </w:r>
          </w:p>
        </w:tc>
      </w:tr>
      <w:tr w:rsidR="006E0FDB" w:rsidRPr="00922B72" w14:paraId="6157BF3B" w14:textId="77777777" w:rsidTr="006E0FDB">
        <w:tc>
          <w:tcPr>
            <w:tcW w:w="2390" w:type="dxa"/>
          </w:tcPr>
          <w:p w14:paraId="59C1AD31" w14:textId="6241DF06" w:rsidR="006E0FDB" w:rsidRPr="006F2405" w:rsidRDefault="006E0FDB" w:rsidP="006E0FDB">
            <w:pPr>
              <w:pStyle w:val="Paragraph"/>
              <w:spacing w:before="60" w:after="60" w:line="240" w:lineRule="auto"/>
            </w:pPr>
            <w:r>
              <w:lastRenderedPageBreak/>
              <w:t>Contracts (SFI 83)</w:t>
            </w:r>
          </w:p>
        </w:tc>
        <w:tc>
          <w:tcPr>
            <w:tcW w:w="4614" w:type="dxa"/>
          </w:tcPr>
          <w:p w14:paraId="761E18B9" w14:textId="01C2FFC7" w:rsidR="006E0FDB" w:rsidRPr="00660F06" w:rsidRDefault="006E0FDB" w:rsidP="006E0FDB">
            <w:pPr>
              <w:pStyle w:val="Paragraph"/>
              <w:spacing w:before="60" w:after="60" w:line="240" w:lineRule="auto"/>
            </w:pPr>
            <w:r>
              <w:t>Clarification of the reporting route for contract management</w:t>
            </w:r>
          </w:p>
        </w:tc>
        <w:tc>
          <w:tcPr>
            <w:tcW w:w="2068" w:type="dxa"/>
          </w:tcPr>
          <w:p w14:paraId="7BA76EEF" w14:textId="5FEC1F71" w:rsidR="006E0FDB" w:rsidRPr="006F2405" w:rsidRDefault="006E0FDB" w:rsidP="006E0FDB">
            <w:pPr>
              <w:pStyle w:val="Paragraph"/>
              <w:spacing w:before="60" w:after="60" w:line="240" w:lineRule="auto"/>
            </w:pPr>
            <w:r>
              <w:t>In response to internal audit recommendation</w:t>
            </w:r>
          </w:p>
        </w:tc>
      </w:tr>
      <w:tr w:rsidR="006E0FDB" w:rsidRPr="00922B72" w14:paraId="498BDEC4" w14:textId="77777777" w:rsidTr="006E0FDB">
        <w:tc>
          <w:tcPr>
            <w:tcW w:w="2390" w:type="dxa"/>
          </w:tcPr>
          <w:p w14:paraId="6CF1AE0C" w14:textId="2AF60539" w:rsidR="006E0FDB" w:rsidRPr="006F2405" w:rsidRDefault="006E0FDB" w:rsidP="006E0FDB">
            <w:pPr>
              <w:pStyle w:val="Paragraph"/>
              <w:spacing w:before="60" w:after="60" w:line="240" w:lineRule="auto"/>
            </w:pPr>
            <w:r>
              <w:t xml:space="preserve">Employee contracts &amp; agency workers (SFI 84) </w:t>
            </w:r>
          </w:p>
        </w:tc>
        <w:tc>
          <w:tcPr>
            <w:tcW w:w="4614" w:type="dxa"/>
          </w:tcPr>
          <w:p w14:paraId="0EAF04BD" w14:textId="3F1593A8" w:rsidR="006E0FDB" w:rsidRPr="00660F06" w:rsidRDefault="006E0FDB" w:rsidP="006E0FDB">
            <w:pPr>
              <w:pStyle w:val="Paragraph"/>
              <w:spacing w:before="60" w:after="60" w:line="240" w:lineRule="auto"/>
            </w:pPr>
            <w:r>
              <w:t>Includes compliance with Cabinet Office and DHSC spend controls</w:t>
            </w:r>
          </w:p>
        </w:tc>
        <w:tc>
          <w:tcPr>
            <w:tcW w:w="2068" w:type="dxa"/>
          </w:tcPr>
          <w:p w14:paraId="6B557C3B" w14:textId="7E575043" w:rsidR="006E0FDB" w:rsidRPr="006F2405" w:rsidRDefault="006E0FDB" w:rsidP="006E0FDB">
            <w:pPr>
              <w:pStyle w:val="Paragraph"/>
              <w:spacing w:before="60" w:after="60" w:line="240" w:lineRule="auto"/>
            </w:pPr>
            <w:r>
              <w:t>Regulatory compliance</w:t>
            </w:r>
          </w:p>
        </w:tc>
      </w:tr>
      <w:tr w:rsidR="006E0FDB" w:rsidRPr="00922B72" w14:paraId="76EC1525" w14:textId="77777777" w:rsidTr="006E0FDB">
        <w:tc>
          <w:tcPr>
            <w:tcW w:w="2390" w:type="dxa"/>
          </w:tcPr>
          <w:p w14:paraId="433F2488" w14:textId="3D64A3A5" w:rsidR="006E0FDB" w:rsidRPr="006F2405" w:rsidRDefault="006E0FDB" w:rsidP="006E0FDB">
            <w:pPr>
              <w:pStyle w:val="Paragraph"/>
              <w:spacing w:before="60" w:after="60" w:line="240" w:lineRule="auto"/>
            </w:pPr>
            <w:r>
              <w:t>Consultancy and professional services spend (SFI 8</w:t>
            </w:r>
            <w:r w:rsidR="004F2C8B">
              <w:t>5</w:t>
            </w:r>
            <w:r>
              <w:t xml:space="preserve"> – 8</w:t>
            </w:r>
            <w:r w:rsidR="004F2C8B">
              <w:t>7</w:t>
            </w:r>
            <w:r>
              <w:t xml:space="preserve">) </w:t>
            </w:r>
          </w:p>
        </w:tc>
        <w:tc>
          <w:tcPr>
            <w:tcW w:w="4614" w:type="dxa"/>
          </w:tcPr>
          <w:p w14:paraId="68694BF2" w14:textId="77B48E49" w:rsidR="006E0FDB" w:rsidRPr="00660F06" w:rsidRDefault="006E0FDB" w:rsidP="006E0FDB">
            <w:pPr>
              <w:pStyle w:val="Paragraph"/>
              <w:spacing w:before="60" w:after="60" w:line="240" w:lineRule="auto"/>
            </w:pPr>
            <w:r>
              <w:t xml:space="preserve">Inclusion of the definitions of consultancy and professional services </w:t>
            </w:r>
          </w:p>
        </w:tc>
        <w:tc>
          <w:tcPr>
            <w:tcW w:w="2068" w:type="dxa"/>
          </w:tcPr>
          <w:p w14:paraId="2A937B40" w14:textId="48338729" w:rsidR="006E0FDB" w:rsidRPr="006F2405" w:rsidRDefault="006E0FDB" w:rsidP="006E0FDB">
            <w:pPr>
              <w:pStyle w:val="Paragraph"/>
              <w:spacing w:before="60" w:after="60" w:line="240" w:lineRule="auto"/>
            </w:pPr>
            <w:r>
              <w:t>For clarity on when DHSC</w:t>
            </w:r>
            <w:r w:rsidR="00A23902">
              <w:t xml:space="preserve"> &amp; </w:t>
            </w:r>
            <w:r>
              <w:t>Cabinet Office spend controls apply</w:t>
            </w:r>
          </w:p>
        </w:tc>
      </w:tr>
      <w:tr w:rsidR="00C9524A" w:rsidRPr="00922B72" w14:paraId="62C2B9A8" w14:textId="77777777" w:rsidTr="006E0FDB">
        <w:tc>
          <w:tcPr>
            <w:tcW w:w="2390" w:type="dxa"/>
          </w:tcPr>
          <w:p w14:paraId="278F23FA" w14:textId="1D7803D5" w:rsidR="00C9524A" w:rsidRDefault="00C9524A" w:rsidP="006E0FDB">
            <w:pPr>
              <w:pStyle w:val="Paragraph"/>
              <w:spacing w:before="60" w:after="60" w:line="240" w:lineRule="auto"/>
            </w:pPr>
            <w:r>
              <w:t>Employee appointments (SFI 97)</w:t>
            </w:r>
          </w:p>
        </w:tc>
        <w:tc>
          <w:tcPr>
            <w:tcW w:w="4614" w:type="dxa"/>
          </w:tcPr>
          <w:p w14:paraId="3964021E" w14:textId="772275DE" w:rsidR="00C9524A" w:rsidRDefault="00C9524A" w:rsidP="006E0FDB">
            <w:pPr>
              <w:pStyle w:val="Paragraph"/>
              <w:spacing w:before="60" w:after="60" w:line="240" w:lineRule="auto"/>
            </w:pPr>
            <w:r>
              <w:t>Inclu</w:t>
            </w:r>
            <w:r w:rsidR="008237D5">
              <w:t>des</w:t>
            </w:r>
            <w:r>
              <w:t xml:space="preserve"> </w:t>
            </w:r>
            <w:r w:rsidR="008237D5">
              <w:t xml:space="preserve">reference to </w:t>
            </w:r>
            <w:r>
              <w:t>the organisational change policy</w:t>
            </w:r>
          </w:p>
        </w:tc>
        <w:tc>
          <w:tcPr>
            <w:tcW w:w="2068" w:type="dxa"/>
          </w:tcPr>
          <w:p w14:paraId="4CB1F9A3" w14:textId="5B1C0999" w:rsidR="00C9524A" w:rsidRDefault="00C9524A" w:rsidP="006E0FDB">
            <w:pPr>
              <w:pStyle w:val="Paragraph"/>
              <w:spacing w:before="60" w:after="60" w:line="240" w:lineRule="auto"/>
            </w:pPr>
            <w:r>
              <w:t>General updating</w:t>
            </w:r>
          </w:p>
        </w:tc>
      </w:tr>
      <w:tr w:rsidR="00A23902" w:rsidRPr="00922B72" w14:paraId="496C7B1F" w14:textId="77777777" w:rsidTr="00CD509D">
        <w:tc>
          <w:tcPr>
            <w:tcW w:w="2390" w:type="dxa"/>
          </w:tcPr>
          <w:p w14:paraId="0FC3C721" w14:textId="77777777" w:rsidR="00A23902" w:rsidRPr="006F2405" w:rsidRDefault="00A23902" w:rsidP="00CD509D">
            <w:pPr>
              <w:pStyle w:val="Paragraph"/>
              <w:spacing w:before="60" w:after="60" w:line="240" w:lineRule="auto"/>
            </w:pPr>
            <w:r>
              <w:t>Employee contracts &amp; agency workers (SFI 105)</w:t>
            </w:r>
          </w:p>
        </w:tc>
        <w:tc>
          <w:tcPr>
            <w:tcW w:w="4614" w:type="dxa"/>
          </w:tcPr>
          <w:p w14:paraId="64BAF1F6" w14:textId="77777777" w:rsidR="00A23902" w:rsidRPr="00660F06" w:rsidRDefault="00A23902" w:rsidP="00CD509D">
            <w:pPr>
              <w:pStyle w:val="Paragraph"/>
              <w:spacing w:before="60" w:after="60" w:line="240" w:lineRule="auto"/>
            </w:pPr>
            <w:r>
              <w:t>Requirement for any new staff payments or allowances to be approved by the Operational Management Committee</w:t>
            </w:r>
          </w:p>
        </w:tc>
        <w:tc>
          <w:tcPr>
            <w:tcW w:w="2068" w:type="dxa"/>
          </w:tcPr>
          <w:p w14:paraId="72E15450" w14:textId="77777777" w:rsidR="00A23902" w:rsidRPr="006F2405" w:rsidRDefault="00A23902" w:rsidP="00CD509D">
            <w:pPr>
              <w:pStyle w:val="Paragraph"/>
              <w:spacing w:before="60" w:after="60" w:line="240" w:lineRule="auto"/>
            </w:pPr>
            <w:r>
              <w:t>Internal audit recommendation</w:t>
            </w:r>
          </w:p>
        </w:tc>
      </w:tr>
      <w:tr w:rsidR="006E0FDB" w:rsidRPr="00922B72" w14:paraId="349F65C6" w14:textId="77777777" w:rsidTr="006E0FDB">
        <w:tc>
          <w:tcPr>
            <w:tcW w:w="2390" w:type="dxa"/>
          </w:tcPr>
          <w:p w14:paraId="3A58C2AA" w14:textId="4A476665" w:rsidR="006E0FDB" w:rsidRDefault="006E0FDB" w:rsidP="006E0FDB">
            <w:pPr>
              <w:pStyle w:val="Paragraph"/>
              <w:spacing w:before="60" w:after="60" w:line="240" w:lineRule="auto"/>
            </w:pPr>
            <w:r>
              <w:t>Prepayments (SFI 114</w:t>
            </w:r>
            <w:r w:rsidR="00D01FAD">
              <w:t xml:space="preserve"> &amp; 115</w:t>
            </w:r>
            <w:r>
              <w:t>)</w:t>
            </w:r>
          </w:p>
        </w:tc>
        <w:tc>
          <w:tcPr>
            <w:tcW w:w="4614" w:type="dxa"/>
          </w:tcPr>
          <w:p w14:paraId="7A30B5C4" w14:textId="32705333" w:rsidR="006E0FDB" w:rsidRDefault="006E0FDB" w:rsidP="006E0FDB">
            <w:pPr>
              <w:pStyle w:val="Paragraph"/>
              <w:spacing w:before="60" w:after="60" w:line="240" w:lineRule="auto"/>
            </w:pPr>
            <w:r>
              <w:t>Clarifies the circumstances when prepayments are permitted and the process to be followed</w:t>
            </w:r>
          </w:p>
        </w:tc>
        <w:tc>
          <w:tcPr>
            <w:tcW w:w="2068" w:type="dxa"/>
          </w:tcPr>
          <w:p w14:paraId="39BA2161" w14:textId="6EC647E0" w:rsidR="006E0FDB" w:rsidRDefault="006E0FDB" w:rsidP="006E0FDB">
            <w:pPr>
              <w:pStyle w:val="Paragraph"/>
              <w:spacing w:before="60" w:after="60" w:line="240" w:lineRule="auto"/>
            </w:pPr>
            <w:r>
              <w:t>General updating</w:t>
            </w:r>
          </w:p>
        </w:tc>
      </w:tr>
      <w:tr w:rsidR="00D01FAD" w:rsidRPr="00922B72" w14:paraId="679B377F" w14:textId="77777777" w:rsidTr="00B31AB9">
        <w:tc>
          <w:tcPr>
            <w:tcW w:w="2390" w:type="dxa"/>
          </w:tcPr>
          <w:p w14:paraId="59A19E0D" w14:textId="39651BED" w:rsidR="00D01FAD" w:rsidRPr="00D01FAD" w:rsidRDefault="00D01FAD" w:rsidP="00B31AB9">
            <w:pPr>
              <w:pStyle w:val="Paragraph"/>
              <w:spacing w:before="60" w:after="60" w:line="240" w:lineRule="auto"/>
            </w:pPr>
            <w:r w:rsidRPr="00D01FAD">
              <w:t>Requisitioning and ordering of goods and services (SFI 118)</w:t>
            </w:r>
          </w:p>
        </w:tc>
        <w:tc>
          <w:tcPr>
            <w:tcW w:w="4614" w:type="dxa"/>
          </w:tcPr>
          <w:p w14:paraId="283932DD" w14:textId="77777777" w:rsidR="00D01FAD" w:rsidRPr="00D01FAD" w:rsidRDefault="00D01FAD" w:rsidP="00B31AB9">
            <w:pPr>
              <w:pStyle w:val="Paragraph"/>
              <w:spacing w:before="60" w:after="60" w:line="240" w:lineRule="auto"/>
            </w:pPr>
            <w:r w:rsidRPr="00D01FAD">
              <w:t>Places the responsibility on budget holders and contract managers to ensure goods and services are received/completed satisfactorily before payments are made</w:t>
            </w:r>
          </w:p>
        </w:tc>
        <w:tc>
          <w:tcPr>
            <w:tcW w:w="2068" w:type="dxa"/>
          </w:tcPr>
          <w:p w14:paraId="35610F78" w14:textId="77777777" w:rsidR="00D01FAD" w:rsidRDefault="00D01FAD" w:rsidP="00B31AB9">
            <w:pPr>
              <w:pStyle w:val="Paragraph"/>
              <w:spacing w:before="60" w:after="60" w:line="240" w:lineRule="auto"/>
            </w:pPr>
            <w:r w:rsidRPr="00D01FAD">
              <w:t>Internal audit recommendation</w:t>
            </w:r>
          </w:p>
        </w:tc>
      </w:tr>
      <w:tr w:rsidR="006E0FDB" w:rsidRPr="00922B72" w14:paraId="1D8BDD4B" w14:textId="77777777" w:rsidTr="00367CA4">
        <w:tc>
          <w:tcPr>
            <w:tcW w:w="2390" w:type="dxa"/>
            <w:tcBorders>
              <w:bottom w:val="single" w:sz="4" w:space="0" w:color="auto"/>
            </w:tcBorders>
          </w:tcPr>
          <w:p w14:paraId="627A4DDC" w14:textId="1A36D2AC" w:rsidR="006E0FDB" w:rsidRDefault="006E0FDB" w:rsidP="006E0FDB">
            <w:pPr>
              <w:pStyle w:val="Paragraph"/>
              <w:spacing w:before="60" w:after="60" w:line="240" w:lineRule="auto"/>
            </w:pPr>
            <w:r>
              <w:t>Payments to NICE independent contractors (former SFI 161 – 163)</w:t>
            </w:r>
          </w:p>
        </w:tc>
        <w:tc>
          <w:tcPr>
            <w:tcW w:w="4614" w:type="dxa"/>
          </w:tcPr>
          <w:p w14:paraId="0909E5F7" w14:textId="491235F8" w:rsidR="006E0FDB" w:rsidRDefault="006E0FDB" w:rsidP="006E0FDB">
            <w:pPr>
              <w:pStyle w:val="Paragraph"/>
              <w:spacing w:before="60" w:after="60" w:line="240" w:lineRule="auto"/>
            </w:pPr>
            <w:r>
              <w:t>Removal of this section as NICE does not have any independent contractors.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5BC7DD91" w14:textId="1BECEC3B" w:rsidR="006E0FDB" w:rsidRDefault="006E0FDB" w:rsidP="006E0FDB">
            <w:pPr>
              <w:pStyle w:val="Paragraph"/>
              <w:spacing w:before="60" w:after="60" w:line="240" w:lineRule="auto"/>
            </w:pPr>
            <w:r>
              <w:t>General updating</w:t>
            </w:r>
          </w:p>
        </w:tc>
      </w:tr>
      <w:tr w:rsidR="00367CA4" w:rsidRPr="0059612C" w14:paraId="278E9662" w14:textId="77777777" w:rsidTr="00367CA4">
        <w:tc>
          <w:tcPr>
            <w:tcW w:w="2390" w:type="dxa"/>
            <w:tcBorders>
              <w:right w:val="nil"/>
            </w:tcBorders>
          </w:tcPr>
          <w:p w14:paraId="773D9063" w14:textId="761EDD0A" w:rsidR="00367CA4" w:rsidRPr="0059612C" w:rsidRDefault="00367CA4" w:rsidP="00367CA4">
            <w:pPr>
              <w:pStyle w:val="Paragraph"/>
              <w:spacing w:before="60" w:after="60" w:line="240" w:lineRule="auto"/>
            </w:pPr>
          </w:p>
        </w:tc>
        <w:tc>
          <w:tcPr>
            <w:tcW w:w="4614" w:type="dxa"/>
            <w:tcBorders>
              <w:left w:val="nil"/>
              <w:right w:val="nil"/>
            </w:tcBorders>
          </w:tcPr>
          <w:p w14:paraId="0FD92E30" w14:textId="15D056CE" w:rsidR="00367CA4" w:rsidRPr="0059612C" w:rsidRDefault="00367CA4" w:rsidP="00367CA4">
            <w:pPr>
              <w:pStyle w:val="Paragraph"/>
              <w:spacing w:before="60" w:after="60" w:line="240" w:lineRule="auto"/>
            </w:pPr>
            <w:r>
              <w:rPr>
                <w:b/>
              </w:rPr>
              <w:t>Scheme of Financial Delegation</w:t>
            </w:r>
          </w:p>
        </w:tc>
        <w:tc>
          <w:tcPr>
            <w:tcW w:w="2068" w:type="dxa"/>
            <w:tcBorders>
              <w:left w:val="nil"/>
              <w:bottom w:val="single" w:sz="4" w:space="0" w:color="auto"/>
            </w:tcBorders>
          </w:tcPr>
          <w:p w14:paraId="2769F952" w14:textId="1C86B795" w:rsidR="00367CA4" w:rsidRPr="0059612C" w:rsidRDefault="00367CA4" w:rsidP="00367CA4">
            <w:pPr>
              <w:pStyle w:val="Paragraph"/>
              <w:spacing w:before="60" w:after="60" w:line="240" w:lineRule="auto"/>
            </w:pPr>
          </w:p>
        </w:tc>
      </w:tr>
      <w:tr w:rsidR="006E0FDB" w:rsidRPr="00406A4A" w14:paraId="3C1DE231" w14:textId="77777777" w:rsidTr="00367CA4">
        <w:trPr>
          <w:tblHeader/>
        </w:trPr>
        <w:tc>
          <w:tcPr>
            <w:tcW w:w="2390" w:type="dxa"/>
            <w:shd w:val="clear" w:color="auto" w:fill="8DB3E2" w:themeFill="text2" w:themeFillTint="66"/>
          </w:tcPr>
          <w:p w14:paraId="5F4B340B" w14:textId="77777777" w:rsidR="006E0FDB" w:rsidRPr="00406A4A" w:rsidRDefault="006E0FDB" w:rsidP="006E0FDB">
            <w:pPr>
              <w:pStyle w:val="Paragraph"/>
              <w:spacing w:before="60" w:after="60"/>
              <w:rPr>
                <w:b/>
              </w:rPr>
            </w:pPr>
            <w:r>
              <w:rPr>
                <w:b/>
              </w:rPr>
              <w:t>S</w:t>
            </w:r>
            <w:r w:rsidRPr="00406A4A">
              <w:rPr>
                <w:b/>
              </w:rPr>
              <w:t>ecti</w:t>
            </w:r>
            <w:r>
              <w:rPr>
                <w:b/>
              </w:rPr>
              <w:t>on</w:t>
            </w:r>
          </w:p>
        </w:tc>
        <w:tc>
          <w:tcPr>
            <w:tcW w:w="4614" w:type="dxa"/>
            <w:shd w:val="clear" w:color="auto" w:fill="8DB3E2" w:themeFill="text2" w:themeFillTint="66"/>
          </w:tcPr>
          <w:p w14:paraId="63187990" w14:textId="77777777" w:rsidR="006E0FDB" w:rsidRPr="00406A4A" w:rsidRDefault="006E0FDB" w:rsidP="006E0FDB">
            <w:pPr>
              <w:pStyle w:val="Paragraph"/>
              <w:spacing w:before="60" w:after="60"/>
              <w:rPr>
                <w:b/>
              </w:rPr>
            </w:pPr>
            <w:r w:rsidRPr="00406A4A">
              <w:rPr>
                <w:b/>
              </w:rPr>
              <w:t>Proposed change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3CFC74E9" w14:textId="77777777" w:rsidR="006E0FDB" w:rsidRPr="009C57FB" w:rsidRDefault="006E0FDB" w:rsidP="006E0FDB">
            <w:pPr>
              <w:pStyle w:val="Paragraph"/>
              <w:spacing w:before="60" w:after="60"/>
              <w:rPr>
                <w:b/>
              </w:rPr>
            </w:pPr>
            <w:r w:rsidRPr="009C57FB">
              <w:rPr>
                <w:b/>
              </w:rPr>
              <w:t>Rationale</w:t>
            </w:r>
          </w:p>
        </w:tc>
      </w:tr>
      <w:tr w:rsidR="00F55C19" w:rsidRPr="0059612C" w14:paraId="20026A91" w14:textId="77777777" w:rsidTr="00F71031">
        <w:tc>
          <w:tcPr>
            <w:tcW w:w="2390" w:type="dxa"/>
          </w:tcPr>
          <w:p w14:paraId="0CDA7F32" w14:textId="77777777" w:rsidR="00F55C19" w:rsidRDefault="00F55C19" w:rsidP="00F71031">
            <w:pPr>
              <w:pStyle w:val="Paragraph"/>
              <w:spacing w:before="60" w:after="60" w:line="240" w:lineRule="auto"/>
            </w:pPr>
            <w:r>
              <w:t>Contracts and purchase orders (para 5)</w:t>
            </w:r>
          </w:p>
        </w:tc>
        <w:tc>
          <w:tcPr>
            <w:tcW w:w="4614" w:type="dxa"/>
          </w:tcPr>
          <w:p w14:paraId="354E5ADC" w14:textId="77777777" w:rsidR="00F55C19" w:rsidRDefault="00F55C19" w:rsidP="00F71031">
            <w:pPr>
              <w:pStyle w:val="Paragraph"/>
              <w:spacing w:before="60" w:after="60" w:line="240" w:lineRule="auto"/>
            </w:pPr>
            <w:r>
              <w:t xml:space="preserve">Clarifies the approval levels for expenditure </w:t>
            </w:r>
            <w:r w:rsidRPr="00D73D6A">
              <w:t xml:space="preserve">outside </w:t>
            </w:r>
            <w:r>
              <w:t>of the approved business plans and the role of the OMC and ET</w:t>
            </w:r>
          </w:p>
        </w:tc>
        <w:tc>
          <w:tcPr>
            <w:tcW w:w="2068" w:type="dxa"/>
          </w:tcPr>
          <w:p w14:paraId="1A007E85" w14:textId="77777777" w:rsidR="00F55C19" w:rsidRDefault="00F55C19" w:rsidP="00F71031">
            <w:pPr>
              <w:pStyle w:val="Paragraph"/>
              <w:spacing w:before="60" w:after="60" w:line="240" w:lineRule="auto"/>
            </w:pPr>
            <w:r>
              <w:t>Updating internal governance arrangements</w:t>
            </w:r>
          </w:p>
        </w:tc>
      </w:tr>
      <w:tr w:rsidR="006E0FDB" w:rsidRPr="0059612C" w14:paraId="2C32CA8C" w14:textId="77777777" w:rsidTr="006E0FDB">
        <w:tc>
          <w:tcPr>
            <w:tcW w:w="2390" w:type="dxa"/>
          </w:tcPr>
          <w:p w14:paraId="37F971A5" w14:textId="23EBA7A6" w:rsidR="006E0FDB" w:rsidRPr="0059612C" w:rsidRDefault="006E0FDB" w:rsidP="006E0FDB">
            <w:pPr>
              <w:pStyle w:val="Paragraph"/>
              <w:spacing w:before="60" w:after="60" w:line="240" w:lineRule="auto"/>
            </w:pPr>
            <w:r>
              <w:t xml:space="preserve">Consultancy and professional services spend (para </w:t>
            </w:r>
            <w:r w:rsidR="00F55C19">
              <w:t>7</w:t>
            </w:r>
            <w:r>
              <w:t>i)</w:t>
            </w:r>
          </w:p>
        </w:tc>
        <w:tc>
          <w:tcPr>
            <w:tcW w:w="4614" w:type="dxa"/>
          </w:tcPr>
          <w:p w14:paraId="77898FFE" w14:textId="58C43DE3" w:rsidR="006E0FDB" w:rsidRPr="0059612C" w:rsidRDefault="006E0FDB" w:rsidP="006E0FDB">
            <w:pPr>
              <w:pStyle w:val="Paragraph"/>
              <w:tabs>
                <w:tab w:val="left" w:pos="2850"/>
              </w:tabs>
              <w:spacing w:before="60" w:after="60" w:line="240" w:lineRule="auto"/>
            </w:pPr>
            <w:r>
              <w:t>Cabinet Office and DHSC guidance on spend controls updated</w:t>
            </w:r>
            <w:r w:rsidR="0051783F">
              <w:t>, and the authority limits for directors, OMC and ET clarified</w:t>
            </w:r>
          </w:p>
        </w:tc>
        <w:tc>
          <w:tcPr>
            <w:tcW w:w="2068" w:type="dxa"/>
          </w:tcPr>
          <w:p w14:paraId="7366074B" w14:textId="6DE265C9" w:rsidR="006E0FDB" w:rsidRPr="0059612C" w:rsidRDefault="006E0FDB" w:rsidP="006E0FDB">
            <w:pPr>
              <w:pStyle w:val="Paragraph"/>
              <w:spacing w:before="60" w:after="60" w:line="240" w:lineRule="auto"/>
            </w:pPr>
            <w:r>
              <w:t>Regulatory compliance</w:t>
            </w:r>
          </w:p>
        </w:tc>
      </w:tr>
      <w:tr w:rsidR="006E0FDB" w:rsidRPr="0059612C" w14:paraId="34B998A5" w14:textId="77777777" w:rsidTr="006E0FDB">
        <w:tc>
          <w:tcPr>
            <w:tcW w:w="2390" w:type="dxa"/>
          </w:tcPr>
          <w:p w14:paraId="05327D0C" w14:textId="54923DB4" w:rsidR="006E0FDB" w:rsidRDefault="006E0FDB" w:rsidP="006E0FDB">
            <w:pPr>
              <w:pStyle w:val="Paragraph"/>
              <w:spacing w:before="60" w:after="60" w:line="240" w:lineRule="auto"/>
            </w:pPr>
            <w:r>
              <w:t xml:space="preserve">Contingent labour </w:t>
            </w:r>
            <w:proofErr w:type="gramStart"/>
            <w:r>
              <w:t>spend</w:t>
            </w:r>
            <w:proofErr w:type="gramEnd"/>
            <w:r>
              <w:t xml:space="preserve"> (para </w:t>
            </w:r>
            <w:r w:rsidR="00F55C19">
              <w:t>7</w:t>
            </w:r>
            <w:r>
              <w:t>ii)</w:t>
            </w:r>
          </w:p>
        </w:tc>
        <w:tc>
          <w:tcPr>
            <w:tcW w:w="4614" w:type="dxa"/>
          </w:tcPr>
          <w:p w14:paraId="7CF3E90E" w14:textId="1ECBC2AB" w:rsidR="006E0FDB" w:rsidRDefault="006E0FDB" w:rsidP="006E0FDB">
            <w:pPr>
              <w:pStyle w:val="Paragraph"/>
              <w:spacing w:before="60" w:after="60" w:line="240" w:lineRule="auto"/>
            </w:pPr>
            <w:r>
              <w:t>Cabinet Office and DHSC guidance on spend controls updated</w:t>
            </w:r>
            <w:r w:rsidR="0051783F">
              <w:t>, and the authority limits for directors, OMC and ET clarified</w:t>
            </w:r>
          </w:p>
        </w:tc>
        <w:tc>
          <w:tcPr>
            <w:tcW w:w="2068" w:type="dxa"/>
          </w:tcPr>
          <w:p w14:paraId="3440CB07" w14:textId="191104FB" w:rsidR="006E0FDB" w:rsidRDefault="006E0FDB" w:rsidP="006E0FDB">
            <w:pPr>
              <w:pStyle w:val="Paragraph"/>
              <w:spacing w:before="60" w:after="60" w:line="240" w:lineRule="auto"/>
            </w:pPr>
            <w:r>
              <w:t>Regulatory compliance</w:t>
            </w:r>
          </w:p>
        </w:tc>
      </w:tr>
      <w:tr w:rsidR="006E0FDB" w:rsidRPr="0059612C" w14:paraId="2072C41E" w14:textId="77777777" w:rsidTr="006E0FDB">
        <w:tc>
          <w:tcPr>
            <w:tcW w:w="2390" w:type="dxa"/>
          </w:tcPr>
          <w:p w14:paraId="41E25A3B" w14:textId="45B6D2B4" w:rsidR="006E0FDB" w:rsidRDefault="006E0FDB" w:rsidP="006E0FDB">
            <w:pPr>
              <w:pStyle w:val="Paragraph"/>
              <w:spacing w:before="60" w:after="60" w:line="240" w:lineRule="auto"/>
            </w:pPr>
            <w:r>
              <w:t xml:space="preserve">Capital expenditure (para </w:t>
            </w:r>
            <w:r w:rsidR="00F55C19">
              <w:t>7</w:t>
            </w:r>
            <w:r>
              <w:t>v)</w:t>
            </w:r>
          </w:p>
        </w:tc>
        <w:tc>
          <w:tcPr>
            <w:tcW w:w="4614" w:type="dxa"/>
          </w:tcPr>
          <w:p w14:paraId="23AC6107" w14:textId="3E87DC2A" w:rsidR="006E0FDB" w:rsidRDefault="006E0FDB" w:rsidP="006E0FDB">
            <w:pPr>
              <w:pStyle w:val="Paragraph"/>
              <w:spacing w:before="60" w:after="60" w:line="240" w:lineRule="auto"/>
            </w:pPr>
            <w:r>
              <w:t xml:space="preserve">Requires approval of the </w:t>
            </w:r>
            <w:r w:rsidR="009F0E78">
              <w:t>d</w:t>
            </w:r>
            <w:r>
              <w:t>irector of finance</w:t>
            </w:r>
          </w:p>
        </w:tc>
        <w:tc>
          <w:tcPr>
            <w:tcW w:w="2068" w:type="dxa"/>
          </w:tcPr>
          <w:p w14:paraId="271309FC" w14:textId="6F0CF2C8" w:rsidR="006E0FDB" w:rsidRDefault="006E0FDB" w:rsidP="006E0FDB">
            <w:pPr>
              <w:pStyle w:val="Paragraph"/>
              <w:spacing w:before="60" w:after="60" w:line="240" w:lineRule="auto"/>
            </w:pPr>
            <w:r>
              <w:t>General updating</w:t>
            </w:r>
          </w:p>
        </w:tc>
      </w:tr>
      <w:tr w:rsidR="006E0FDB" w:rsidRPr="0059612C" w14:paraId="7B44A5C8" w14:textId="77777777" w:rsidTr="006E0FDB">
        <w:tc>
          <w:tcPr>
            <w:tcW w:w="2390" w:type="dxa"/>
          </w:tcPr>
          <w:p w14:paraId="7134181E" w14:textId="20373595" w:rsidR="006E0FDB" w:rsidRPr="0059612C" w:rsidRDefault="00F55C19" w:rsidP="006E0FDB">
            <w:pPr>
              <w:pStyle w:val="Paragraph"/>
              <w:spacing w:before="60" w:after="60" w:line="240" w:lineRule="auto"/>
            </w:pPr>
            <w:r>
              <w:lastRenderedPageBreak/>
              <w:t xml:space="preserve">Income - </w:t>
            </w:r>
            <w:r w:rsidR="006E0FDB">
              <w:t>Fees and charges (para 1</w:t>
            </w:r>
            <w:r>
              <w:t>0</w:t>
            </w:r>
            <w:r w:rsidR="006E0FDB">
              <w:t>)</w:t>
            </w:r>
          </w:p>
        </w:tc>
        <w:tc>
          <w:tcPr>
            <w:tcW w:w="4614" w:type="dxa"/>
          </w:tcPr>
          <w:p w14:paraId="768E2437" w14:textId="6D4BE4CB" w:rsidR="006E0FDB" w:rsidRPr="0059612C" w:rsidRDefault="006E0FDB" w:rsidP="006E0FDB">
            <w:pPr>
              <w:pStyle w:val="Paragraph"/>
              <w:spacing w:before="60" w:after="60" w:line="240" w:lineRule="auto"/>
            </w:pPr>
            <w:r>
              <w:t>Updates to the approvers, and stating TA/HST fees must be changed in line with relevant Statutory Instrument and Managing Public Money</w:t>
            </w:r>
          </w:p>
        </w:tc>
        <w:tc>
          <w:tcPr>
            <w:tcW w:w="2068" w:type="dxa"/>
          </w:tcPr>
          <w:p w14:paraId="461052C8" w14:textId="48487834" w:rsidR="006E0FDB" w:rsidRPr="0059612C" w:rsidRDefault="006E0FDB" w:rsidP="006E0FDB">
            <w:pPr>
              <w:pStyle w:val="Paragraph"/>
              <w:spacing w:before="60" w:after="60" w:line="240" w:lineRule="auto"/>
            </w:pPr>
            <w:r>
              <w:t>Regulatory compliance</w:t>
            </w:r>
          </w:p>
        </w:tc>
      </w:tr>
      <w:tr w:rsidR="002A2115" w:rsidRPr="0059612C" w14:paraId="5FF544D7" w14:textId="77777777" w:rsidTr="006E0FDB">
        <w:tc>
          <w:tcPr>
            <w:tcW w:w="2390" w:type="dxa"/>
          </w:tcPr>
          <w:p w14:paraId="5B6D0D49" w14:textId="042DCC46" w:rsidR="002A2115" w:rsidRPr="0059612C" w:rsidRDefault="002A2115" w:rsidP="006E0FDB">
            <w:pPr>
              <w:pStyle w:val="Paragraph"/>
              <w:spacing w:before="60" w:after="60" w:line="240" w:lineRule="auto"/>
            </w:pPr>
            <w:r>
              <w:t>Employment (para 11)</w:t>
            </w:r>
          </w:p>
        </w:tc>
        <w:tc>
          <w:tcPr>
            <w:tcW w:w="4614" w:type="dxa"/>
          </w:tcPr>
          <w:p w14:paraId="01A3817D" w14:textId="3824ACF3" w:rsidR="002A2115" w:rsidRPr="0034755C" w:rsidRDefault="0034755C" w:rsidP="006E0FDB">
            <w:pPr>
              <w:pStyle w:val="Paragraph"/>
              <w:spacing w:before="60" w:after="60" w:line="240" w:lineRule="auto"/>
              <w:rPr>
                <w:highlight w:val="yellow"/>
              </w:rPr>
            </w:pPr>
            <w:r>
              <w:t>Includes approval for re-grading an existing post by the Grading Review Panel</w:t>
            </w:r>
          </w:p>
        </w:tc>
        <w:tc>
          <w:tcPr>
            <w:tcW w:w="2068" w:type="dxa"/>
          </w:tcPr>
          <w:p w14:paraId="78AB5553" w14:textId="0D431BE3" w:rsidR="002A2115" w:rsidRPr="0034755C" w:rsidRDefault="0034755C" w:rsidP="006E0FDB">
            <w:pPr>
              <w:pStyle w:val="Paragraph"/>
              <w:spacing w:before="60" w:after="60" w:line="240" w:lineRule="auto"/>
              <w:rPr>
                <w:highlight w:val="yellow"/>
              </w:rPr>
            </w:pPr>
            <w:r>
              <w:t>Updating internal governance arrangements</w:t>
            </w:r>
          </w:p>
        </w:tc>
      </w:tr>
    </w:tbl>
    <w:p w14:paraId="2FCCC61C" w14:textId="77777777" w:rsidR="00713DD5" w:rsidRDefault="00713DD5" w:rsidP="00767C6B">
      <w:pPr>
        <w:pStyle w:val="Bullets"/>
        <w:numPr>
          <w:ilvl w:val="0"/>
          <w:numId w:val="0"/>
        </w:numPr>
        <w:spacing w:before="120" w:line="240" w:lineRule="auto"/>
        <w:rPr>
          <w:b/>
          <w:bCs/>
          <w:sz w:val="20"/>
          <w:szCs w:val="20"/>
        </w:rPr>
      </w:pPr>
    </w:p>
    <w:sectPr w:rsidR="00713DD5" w:rsidSect="00370E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C196" w14:textId="77777777" w:rsidR="003C1FF2" w:rsidRDefault="003C1FF2" w:rsidP="00446BEE">
      <w:r>
        <w:separator/>
      </w:r>
    </w:p>
  </w:endnote>
  <w:endnote w:type="continuationSeparator" w:id="0">
    <w:p w14:paraId="515DE511" w14:textId="77777777" w:rsidR="003C1FF2" w:rsidRDefault="003C1FF2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52428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16"/>
            <w:szCs w:val="16"/>
          </w:rPr>
          <w:id w:val="-1773010949"/>
          <w:docPartObj>
            <w:docPartGallery w:val="Page Numbers (Bottom of Page)"/>
            <w:docPartUnique/>
          </w:docPartObj>
        </w:sdtPr>
        <w:sdtEndPr/>
        <w:sdtContent>
          <w:p w14:paraId="188D6AF5" w14:textId="2CBCA96D" w:rsidR="002830BE" w:rsidRPr="002830BE" w:rsidRDefault="002830BE" w:rsidP="002830BE">
            <w:pPr>
              <w:pStyle w:val="Footer"/>
              <w:rPr>
                <w:sz w:val="16"/>
                <w:szCs w:val="16"/>
              </w:rPr>
            </w:pPr>
            <w:r w:rsidRPr="002830BE">
              <w:rPr>
                <w:sz w:val="16"/>
                <w:szCs w:val="16"/>
              </w:rPr>
              <w:tab/>
            </w:r>
            <w:r w:rsidRPr="002830BE">
              <w:rPr>
                <w:sz w:val="16"/>
                <w:szCs w:val="16"/>
              </w:rPr>
              <w:tab/>
              <w:t xml:space="preserve">Page </w:t>
            </w:r>
            <w:r w:rsidRPr="002830BE">
              <w:rPr>
                <w:sz w:val="16"/>
                <w:szCs w:val="16"/>
              </w:rPr>
              <w:fldChar w:fldCharType="begin"/>
            </w:r>
            <w:r w:rsidRPr="002830BE">
              <w:rPr>
                <w:sz w:val="16"/>
                <w:szCs w:val="16"/>
              </w:rPr>
              <w:instrText xml:space="preserve"> PAGE </w:instrText>
            </w:r>
            <w:r w:rsidRPr="002830BE">
              <w:rPr>
                <w:sz w:val="16"/>
                <w:szCs w:val="16"/>
              </w:rPr>
              <w:fldChar w:fldCharType="separate"/>
            </w:r>
            <w:r w:rsidRPr="002830BE">
              <w:rPr>
                <w:sz w:val="16"/>
                <w:szCs w:val="16"/>
              </w:rPr>
              <w:t>1</w:t>
            </w:r>
            <w:r w:rsidRPr="002830BE">
              <w:rPr>
                <w:sz w:val="16"/>
                <w:szCs w:val="16"/>
              </w:rPr>
              <w:fldChar w:fldCharType="end"/>
            </w:r>
            <w:r w:rsidRPr="002830BE">
              <w:rPr>
                <w:sz w:val="16"/>
                <w:szCs w:val="16"/>
              </w:rPr>
              <w:t xml:space="preserve"> of </w:t>
            </w:r>
            <w:r w:rsidRPr="002830BE">
              <w:rPr>
                <w:sz w:val="16"/>
                <w:szCs w:val="16"/>
              </w:rPr>
              <w:fldChar w:fldCharType="begin"/>
            </w:r>
            <w:r w:rsidRPr="002830BE">
              <w:rPr>
                <w:sz w:val="16"/>
                <w:szCs w:val="16"/>
              </w:rPr>
              <w:instrText xml:space="preserve"> NUMPAGES </w:instrText>
            </w:r>
            <w:r w:rsidRPr="002830BE">
              <w:rPr>
                <w:sz w:val="16"/>
                <w:szCs w:val="16"/>
              </w:rPr>
              <w:fldChar w:fldCharType="separate"/>
            </w:r>
            <w:r w:rsidRPr="002830BE">
              <w:rPr>
                <w:sz w:val="16"/>
                <w:szCs w:val="16"/>
              </w:rPr>
              <w:t>2</w:t>
            </w:r>
            <w:r w:rsidRPr="002830BE">
              <w:rPr>
                <w:sz w:val="16"/>
                <w:szCs w:val="16"/>
              </w:rPr>
              <w:fldChar w:fldCharType="end"/>
            </w:r>
            <w:r w:rsidRPr="002830BE">
              <w:rPr>
                <w:sz w:val="16"/>
                <w:szCs w:val="16"/>
              </w:rPr>
              <w:t xml:space="preserve">  </w:t>
            </w:r>
          </w:p>
          <w:p w14:paraId="65CCFEC7" w14:textId="3A5CB183" w:rsidR="00446BEE" w:rsidRPr="002830BE" w:rsidRDefault="00CA05E1">
            <w:pPr>
              <w:pStyle w:val="Footer"/>
              <w:rPr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899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5182C" w14:textId="4DBE385B" w:rsidR="0075573E" w:rsidRDefault="007557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6E8DF9" w14:textId="6FFC7E45" w:rsidR="00FA108A" w:rsidRPr="00C63FCE" w:rsidRDefault="00FA108A" w:rsidP="00FA108A">
    <w:pPr>
      <w:pStyle w:val="Foo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EEE2" w14:textId="77777777" w:rsidR="003C1FF2" w:rsidRDefault="003C1FF2" w:rsidP="00446BEE">
      <w:r>
        <w:separator/>
      </w:r>
    </w:p>
  </w:footnote>
  <w:footnote w:type="continuationSeparator" w:id="0">
    <w:p w14:paraId="1957F75B" w14:textId="77777777" w:rsidR="003C1FF2" w:rsidRDefault="003C1FF2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71A3" w14:textId="4BFDC4CE" w:rsidR="003C1FF2" w:rsidRDefault="003C1FF2">
    <w:pPr>
      <w:pStyle w:val="Header"/>
      <w:rPr>
        <w:b/>
      </w:rPr>
    </w:pPr>
    <w:r w:rsidRPr="003C1FF2">
      <w:rPr>
        <w:noProof/>
      </w:rPr>
      <w:drawing>
        <wp:inline distT="0" distB="0" distL="0" distR="0" wp14:anchorId="4B11A574" wp14:editId="2E9DE939">
          <wp:extent cx="2899068" cy="51435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460" cy="532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B42BE" w14:textId="77777777" w:rsidR="00B458C6" w:rsidRDefault="00B45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9E3A" w14:textId="198A7C3C" w:rsidR="00FA108A" w:rsidRDefault="00FA108A">
    <w:pPr>
      <w:pStyle w:val="Header"/>
    </w:pPr>
    <w:r w:rsidRPr="003C1FF2">
      <w:rPr>
        <w:noProof/>
      </w:rPr>
      <w:drawing>
        <wp:inline distT="0" distB="0" distL="0" distR="0" wp14:anchorId="055EE211" wp14:editId="7B08FC6E">
          <wp:extent cx="2899068" cy="5143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460" cy="532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108A">
      <w:rPr>
        <w:b/>
      </w:rPr>
      <w:t xml:space="preserve"> 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61492"/>
    <w:multiLevelType w:val="hybridMultilevel"/>
    <w:tmpl w:val="9648EBCC"/>
    <w:lvl w:ilvl="0" w:tplc="AA446CC8">
      <w:start w:val="1"/>
      <w:numFmt w:val="decimal"/>
      <w:lvlText w:val="%1."/>
      <w:lvlJc w:val="left"/>
      <w:pPr>
        <w:ind w:left="907" w:hanging="51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71922"/>
    <w:multiLevelType w:val="hybridMultilevel"/>
    <w:tmpl w:val="E00EF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7DE076E"/>
    <w:multiLevelType w:val="hybridMultilevel"/>
    <w:tmpl w:val="B9406D3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0F0D26C5"/>
    <w:multiLevelType w:val="hybridMultilevel"/>
    <w:tmpl w:val="982A09BC"/>
    <w:lvl w:ilvl="0" w:tplc="6138FAE0">
      <w:start w:val="28"/>
      <w:numFmt w:val="decimal"/>
      <w:lvlText w:val="%1"/>
      <w:lvlJc w:val="left"/>
      <w:pPr>
        <w:ind w:left="10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22F3B"/>
    <w:multiLevelType w:val="hybridMultilevel"/>
    <w:tmpl w:val="3870865C"/>
    <w:lvl w:ilvl="0" w:tplc="DA767392">
      <w:start w:val="12"/>
      <w:numFmt w:val="decimal"/>
      <w:lvlText w:val="%1"/>
      <w:lvlJc w:val="left"/>
      <w:pPr>
        <w:ind w:left="786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73C5D"/>
    <w:multiLevelType w:val="hybridMultilevel"/>
    <w:tmpl w:val="47B08E96"/>
    <w:lvl w:ilvl="0" w:tplc="B90ECB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50C61"/>
    <w:multiLevelType w:val="hybridMultilevel"/>
    <w:tmpl w:val="1AB04F2A"/>
    <w:lvl w:ilvl="0" w:tplc="2A5EDDA6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15FC6"/>
    <w:multiLevelType w:val="multilevel"/>
    <w:tmpl w:val="91DC08B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607268"/>
    <w:multiLevelType w:val="hybridMultilevel"/>
    <w:tmpl w:val="47B08E96"/>
    <w:lvl w:ilvl="0" w:tplc="B90ECB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52B82"/>
    <w:multiLevelType w:val="hybridMultilevel"/>
    <w:tmpl w:val="AC06D58C"/>
    <w:lvl w:ilvl="0" w:tplc="485C4C5A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27182"/>
    <w:multiLevelType w:val="hybridMultilevel"/>
    <w:tmpl w:val="88A20EB4"/>
    <w:lvl w:ilvl="0" w:tplc="7EAA9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62AC4"/>
    <w:multiLevelType w:val="hybridMultilevel"/>
    <w:tmpl w:val="D0EC7964"/>
    <w:lvl w:ilvl="0" w:tplc="FB045D48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39777B"/>
    <w:multiLevelType w:val="hybridMultilevel"/>
    <w:tmpl w:val="EE6EB7C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3E3DDB"/>
    <w:multiLevelType w:val="hybridMultilevel"/>
    <w:tmpl w:val="767A8CC6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B72FA"/>
    <w:multiLevelType w:val="hybridMultilevel"/>
    <w:tmpl w:val="4CA24A00"/>
    <w:lvl w:ilvl="0" w:tplc="08090019">
      <w:start w:val="1"/>
      <w:numFmt w:val="lowerLetter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64A9038B"/>
    <w:multiLevelType w:val="hybridMultilevel"/>
    <w:tmpl w:val="12800D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545D3F"/>
    <w:multiLevelType w:val="hybridMultilevel"/>
    <w:tmpl w:val="075CCC1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3" w15:restartNumberingAfterBreak="0">
    <w:nsid w:val="75B45A52"/>
    <w:multiLevelType w:val="hybridMultilevel"/>
    <w:tmpl w:val="83CA5B68"/>
    <w:lvl w:ilvl="0" w:tplc="EFAAEA56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E8458DE"/>
    <w:multiLevelType w:val="hybridMultilevel"/>
    <w:tmpl w:val="E33AAE6C"/>
    <w:lvl w:ilvl="0" w:tplc="63867B20">
      <w:start w:val="20"/>
      <w:numFmt w:val="decimal"/>
      <w:lvlText w:val="%1"/>
      <w:lvlJc w:val="left"/>
      <w:pPr>
        <w:ind w:left="1086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num w:numId="1" w16cid:durableId="1097286132">
    <w:abstractNumId w:val="26"/>
  </w:num>
  <w:num w:numId="2" w16cid:durableId="1019358758">
    <w:abstractNumId w:val="31"/>
  </w:num>
  <w:num w:numId="3" w16cid:durableId="1869676944">
    <w:abstractNumId w:val="31"/>
    <w:lvlOverride w:ilvl="0">
      <w:startOverride w:val="1"/>
    </w:lvlOverride>
  </w:num>
  <w:num w:numId="4" w16cid:durableId="235284280">
    <w:abstractNumId w:val="31"/>
    <w:lvlOverride w:ilvl="0">
      <w:startOverride w:val="1"/>
    </w:lvlOverride>
  </w:num>
  <w:num w:numId="5" w16cid:durableId="2083869586">
    <w:abstractNumId w:val="31"/>
    <w:lvlOverride w:ilvl="0">
      <w:startOverride w:val="1"/>
    </w:lvlOverride>
  </w:num>
  <w:num w:numId="6" w16cid:durableId="1253006054">
    <w:abstractNumId w:val="31"/>
    <w:lvlOverride w:ilvl="0">
      <w:startOverride w:val="1"/>
    </w:lvlOverride>
  </w:num>
  <w:num w:numId="7" w16cid:durableId="455026181">
    <w:abstractNumId w:val="31"/>
    <w:lvlOverride w:ilvl="0">
      <w:startOverride w:val="1"/>
    </w:lvlOverride>
  </w:num>
  <w:num w:numId="8" w16cid:durableId="493497742">
    <w:abstractNumId w:val="9"/>
  </w:num>
  <w:num w:numId="9" w16cid:durableId="1330332782">
    <w:abstractNumId w:val="7"/>
  </w:num>
  <w:num w:numId="10" w16cid:durableId="199441545">
    <w:abstractNumId w:val="6"/>
  </w:num>
  <w:num w:numId="11" w16cid:durableId="946354783">
    <w:abstractNumId w:val="5"/>
  </w:num>
  <w:num w:numId="12" w16cid:durableId="1972709953">
    <w:abstractNumId w:val="4"/>
  </w:num>
  <w:num w:numId="13" w16cid:durableId="1545750332">
    <w:abstractNumId w:val="8"/>
  </w:num>
  <w:num w:numId="14" w16cid:durableId="1355690814">
    <w:abstractNumId w:val="3"/>
  </w:num>
  <w:num w:numId="15" w16cid:durableId="1703284639">
    <w:abstractNumId w:val="2"/>
  </w:num>
  <w:num w:numId="16" w16cid:durableId="2104957706">
    <w:abstractNumId w:val="1"/>
  </w:num>
  <w:num w:numId="17" w16cid:durableId="1088305009">
    <w:abstractNumId w:val="0"/>
  </w:num>
  <w:num w:numId="18" w16cid:durableId="88089597">
    <w:abstractNumId w:val="16"/>
  </w:num>
  <w:num w:numId="19" w16cid:durableId="2114549397">
    <w:abstractNumId w:val="16"/>
    <w:lvlOverride w:ilvl="0">
      <w:startOverride w:val="1"/>
    </w:lvlOverride>
  </w:num>
  <w:num w:numId="20" w16cid:durableId="1728340669">
    <w:abstractNumId w:val="14"/>
  </w:num>
  <w:num w:numId="21" w16cid:durableId="857235495">
    <w:abstractNumId w:val="17"/>
  </w:num>
  <w:num w:numId="22" w16cid:durableId="814835062">
    <w:abstractNumId w:val="20"/>
  </w:num>
  <w:num w:numId="23" w16cid:durableId="729813366">
    <w:abstractNumId w:val="11"/>
  </w:num>
  <w:num w:numId="24" w16cid:durableId="313068342">
    <w:abstractNumId w:val="18"/>
  </w:num>
  <w:num w:numId="25" w16cid:durableId="1852715303">
    <w:abstractNumId w:val="23"/>
  </w:num>
  <w:num w:numId="26" w16cid:durableId="1376393506">
    <w:abstractNumId w:val="22"/>
  </w:num>
  <w:num w:numId="27" w16cid:durableId="1519346568">
    <w:abstractNumId w:val="34"/>
  </w:num>
  <w:num w:numId="28" w16cid:durableId="78912684">
    <w:abstractNumId w:val="25"/>
  </w:num>
  <w:num w:numId="29" w16cid:durableId="465972953">
    <w:abstractNumId w:val="15"/>
  </w:num>
  <w:num w:numId="30" w16cid:durableId="441922405">
    <w:abstractNumId w:val="13"/>
  </w:num>
  <w:num w:numId="31" w16cid:durableId="21443677">
    <w:abstractNumId w:val="21"/>
  </w:num>
  <w:num w:numId="32" w16cid:durableId="981736313">
    <w:abstractNumId w:val="27"/>
  </w:num>
  <w:num w:numId="33" w16cid:durableId="901213777">
    <w:abstractNumId w:val="10"/>
  </w:num>
  <w:num w:numId="34" w16cid:durableId="791362669">
    <w:abstractNumId w:val="24"/>
  </w:num>
  <w:num w:numId="35" w16cid:durableId="2094085418">
    <w:abstractNumId w:val="19"/>
  </w:num>
  <w:num w:numId="36" w16cid:durableId="1618177995">
    <w:abstractNumId w:val="30"/>
  </w:num>
  <w:num w:numId="37" w16cid:durableId="472144007">
    <w:abstractNumId w:val="28"/>
  </w:num>
  <w:num w:numId="38" w16cid:durableId="702629947">
    <w:abstractNumId w:val="12"/>
  </w:num>
  <w:num w:numId="39" w16cid:durableId="87504294">
    <w:abstractNumId w:val="29"/>
  </w:num>
  <w:num w:numId="40" w16cid:durableId="1334529601">
    <w:abstractNumId w:val="32"/>
  </w:num>
  <w:num w:numId="41" w16cid:durableId="9875883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F2"/>
    <w:rsid w:val="00003150"/>
    <w:rsid w:val="000032A5"/>
    <w:rsid w:val="000053F8"/>
    <w:rsid w:val="000067ED"/>
    <w:rsid w:val="00012E07"/>
    <w:rsid w:val="00017CD9"/>
    <w:rsid w:val="0002215B"/>
    <w:rsid w:val="00024D0A"/>
    <w:rsid w:val="00027686"/>
    <w:rsid w:val="00030063"/>
    <w:rsid w:val="0003090D"/>
    <w:rsid w:val="00032301"/>
    <w:rsid w:val="00036054"/>
    <w:rsid w:val="00041626"/>
    <w:rsid w:val="00044484"/>
    <w:rsid w:val="00047151"/>
    <w:rsid w:val="000472DC"/>
    <w:rsid w:val="00051D25"/>
    <w:rsid w:val="00070065"/>
    <w:rsid w:val="00073DB9"/>
    <w:rsid w:val="00074867"/>
    <w:rsid w:val="00074DA1"/>
    <w:rsid w:val="00085A06"/>
    <w:rsid w:val="00090AA4"/>
    <w:rsid w:val="000913F0"/>
    <w:rsid w:val="00096ACC"/>
    <w:rsid w:val="000A4417"/>
    <w:rsid w:val="000A4FEE"/>
    <w:rsid w:val="000A5F4F"/>
    <w:rsid w:val="000A7813"/>
    <w:rsid w:val="000B5939"/>
    <w:rsid w:val="000C32CC"/>
    <w:rsid w:val="000C4C31"/>
    <w:rsid w:val="000C509B"/>
    <w:rsid w:val="000C6E7A"/>
    <w:rsid w:val="000D266E"/>
    <w:rsid w:val="000D31CA"/>
    <w:rsid w:val="000D4EB4"/>
    <w:rsid w:val="000E1EE9"/>
    <w:rsid w:val="000E31B0"/>
    <w:rsid w:val="000E3CFE"/>
    <w:rsid w:val="000E42DF"/>
    <w:rsid w:val="000E50D3"/>
    <w:rsid w:val="000E72F5"/>
    <w:rsid w:val="000F105E"/>
    <w:rsid w:val="000F6BE9"/>
    <w:rsid w:val="00104D1F"/>
    <w:rsid w:val="00106820"/>
    <w:rsid w:val="001068D0"/>
    <w:rsid w:val="00111CCE"/>
    <w:rsid w:val="00112EC0"/>
    <w:rsid w:val="00113391"/>
    <w:rsid w:val="001134E7"/>
    <w:rsid w:val="00117053"/>
    <w:rsid w:val="00121AAB"/>
    <w:rsid w:val="001240BC"/>
    <w:rsid w:val="00124AC4"/>
    <w:rsid w:val="00125844"/>
    <w:rsid w:val="00127627"/>
    <w:rsid w:val="0012780E"/>
    <w:rsid w:val="001303BA"/>
    <w:rsid w:val="00134BAC"/>
    <w:rsid w:val="001363BD"/>
    <w:rsid w:val="001377F4"/>
    <w:rsid w:val="00140F95"/>
    <w:rsid w:val="00142915"/>
    <w:rsid w:val="001501D3"/>
    <w:rsid w:val="0015100D"/>
    <w:rsid w:val="00151330"/>
    <w:rsid w:val="00160449"/>
    <w:rsid w:val="00163E3B"/>
    <w:rsid w:val="001673E9"/>
    <w:rsid w:val="0017115F"/>
    <w:rsid w:val="0017149E"/>
    <w:rsid w:val="0017169E"/>
    <w:rsid w:val="00181A4A"/>
    <w:rsid w:val="00181C85"/>
    <w:rsid w:val="00191975"/>
    <w:rsid w:val="0019602F"/>
    <w:rsid w:val="001A1FEC"/>
    <w:rsid w:val="001A578C"/>
    <w:rsid w:val="001A6F98"/>
    <w:rsid w:val="001B0EE9"/>
    <w:rsid w:val="001B14C2"/>
    <w:rsid w:val="001B20C2"/>
    <w:rsid w:val="001B2C97"/>
    <w:rsid w:val="001B3009"/>
    <w:rsid w:val="001B3C18"/>
    <w:rsid w:val="001B65B3"/>
    <w:rsid w:val="001B7BAE"/>
    <w:rsid w:val="001B7EE0"/>
    <w:rsid w:val="001C4E2D"/>
    <w:rsid w:val="001D301E"/>
    <w:rsid w:val="001D32AD"/>
    <w:rsid w:val="001D4CB1"/>
    <w:rsid w:val="001D5701"/>
    <w:rsid w:val="001E0E15"/>
    <w:rsid w:val="001E7A4B"/>
    <w:rsid w:val="001F1C95"/>
    <w:rsid w:val="001F3BEE"/>
    <w:rsid w:val="001F6D24"/>
    <w:rsid w:val="001F74AF"/>
    <w:rsid w:val="002029A6"/>
    <w:rsid w:val="0020445C"/>
    <w:rsid w:val="00204960"/>
    <w:rsid w:val="00205D7B"/>
    <w:rsid w:val="002203DB"/>
    <w:rsid w:val="00223330"/>
    <w:rsid w:val="002239BF"/>
    <w:rsid w:val="00236EDF"/>
    <w:rsid w:val="00237F43"/>
    <w:rsid w:val="002408EA"/>
    <w:rsid w:val="002420C7"/>
    <w:rsid w:val="00245E26"/>
    <w:rsid w:val="00246821"/>
    <w:rsid w:val="0025164F"/>
    <w:rsid w:val="00253F58"/>
    <w:rsid w:val="00254FFE"/>
    <w:rsid w:val="00256DC7"/>
    <w:rsid w:val="00271817"/>
    <w:rsid w:val="002766F3"/>
    <w:rsid w:val="0028033F"/>
    <w:rsid w:val="0028195E"/>
    <w:rsid w:val="002819D7"/>
    <w:rsid w:val="002830BE"/>
    <w:rsid w:val="00285F09"/>
    <w:rsid w:val="00286D28"/>
    <w:rsid w:val="00294CB8"/>
    <w:rsid w:val="002971D1"/>
    <w:rsid w:val="002972A8"/>
    <w:rsid w:val="00297764"/>
    <w:rsid w:val="002A2115"/>
    <w:rsid w:val="002A54DB"/>
    <w:rsid w:val="002A57C5"/>
    <w:rsid w:val="002A6703"/>
    <w:rsid w:val="002A6C14"/>
    <w:rsid w:val="002A6FE6"/>
    <w:rsid w:val="002B2264"/>
    <w:rsid w:val="002B40D8"/>
    <w:rsid w:val="002B4A91"/>
    <w:rsid w:val="002B555E"/>
    <w:rsid w:val="002B6731"/>
    <w:rsid w:val="002B7A6A"/>
    <w:rsid w:val="002C1A7E"/>
    <w:rsid w:val="002C4521"/>
    <w:rsid w:val="002D3376"/>
    <w:rsid w:val="002D3D17"/>
    <w:rsid w:val="002D5374"/>
    <w:rsid w:val="002E0DFD"/>
    <w:rsid w:val="002E345D"/>
    <w:rsid w:val="002E474D"/>
    <w:rsid w:val="002E5EA4"/>
    <w:rsid w:val="002F3703"/>
    <w:rsid w:val="002F4AB5"/>
    <w:rsid w:val="002F679C"/>
    <w:rsid w:val="00301CCB"/>
    <w:rsid w:val="00311ED0"/>
    <w:rsid w:val="0032622D"/>
    <w:rsid w:val="00337B5D"/>
    <w:rsid w:val="0034755C"/>
    <w:rsid w:val="00353F46"/>
    <w:rsid w:val="00354007"/>
    <w:rsid w:val="00356799"/>
    <w:rsid w:val="00360703"/>
    <w:rsid w:val="003612BA"/>
    <w:rsid w:val="00364685"/>
    <w:rsid w:val="003648C5"/>
    <w:rsid w:val="003666BC"/>
    <w:rsid w:val="00367CA4"/>
    <w:rsid w:val="00370EEB"/>
    <w:rsid w:val="003722FA"/>
    <w:rsid w:val="00377233"/>
    <w:rsid w:val="00377669"/>
    <w:rsid w:val="00381063"/>
    <w:rsid w:val="00382C10"/>
    <w:rsid w:val="00383A58"/>
    <w:rsid w:val="003875BB"/>
    <w:rsid w:val="0039332B"/>
    <w:rsid w:val="00396365"/>
    <w:rsid w:val="00397598"/>
    <w:rsid w:val="003A1A9A"/>
    <w:rsid w:val="003A379D"/>
    <w:rsid w:val="003B15CA"/>
    <w:rsid w:val="003B6A08"/>
    <w:rsid w:val="003B71C9"/>
    <w:rsid w:val="003C0AD4"/>
    <w:rsid w:val="003C15E1"/>
    <w:rsid w:val="003C1FF2"/>
    <w:rsid w:val="003C3306"/>
    <w:rsid w:val="003C5189"/>
    <w:rsid w:val="003C6116"/>
    <w:rsid w:val="003C6691"/>
    <w:rsid w:val="003C6D75"/>
    <w:rsid w:val="003C7AAF"/>
    <w:rsid w:val="003D112F"/>
    <w:rsid w:val="003D713C"/>
    <w:rsid w:val="003D73C7"/>
    <w:rsid w:val="003E21F0"/>
    <w:rsid w:val="003E2635"/>
    <w:rsid w:val="003E5405"/>
    <w:rsid w:val="00401153"/>
    <w:rsid w:val="00406A4A"/>
    <w:rsid w:val="004075B6"/>
    <w:rsid w:val="004107B5"/>
    <w:rsid w:val="0041219C"/>
    <w:rsid w:val="0041531F"/>
    <w:rsid w:val="00417D9E"/>
    <w:rsid w:val="00420952"/>
    <w:rsid w:val="0042201D"/>
    <w:rsid w:val="00423062"/>
    <w:rsid w:val="00425D9F"/>
    <w:rsid w:val="004306E1"/>
    <w:rsid w:val="00430A8A"/>
    <w:rsid w:val="0043158B"/>
    <w:rsid w:val="004327E4"/>
    <w:rsid w:val="00433E9D"/>
    <w:rsid w:val="00433EFF"/>
    <w:rsid w:val="00437599"/>
    <w:rsid w:val="0044041C"/>
    <w:rsid w:val="00442643"/>
    <w:rsid w:val="00443081"/>
    <w:rsid w:val="004436A3"/>
    <w:rsid w:val="00444578"/>
    <w:rsid w:val="004459C6"/>
    <w:rsid w:val="004469D2"/>
    <w:rsid w:val="00446BEE"/>
    <w:rsid w:val="00446D36"/>
    <w:rsid w:val="004500B4"/>
    <w:rsid w:val="004501C6"/>
    <w:rsid w:val="00450D30"/>
    <w:rsid w:val="00455A0B"/>
    <w:rsid w:val="004567B8"/>
    <w:rsid w:val="00471888"/>
    <w:rsid w:val="0047389D"/>
    <w:rsid w:val="00485B8F"/>
    <w:rsid w:val="00485E06"/>
    <w:rsid w:val="00494E3B"/>
    <w:rsid w:val="0049532B"/>
    <w:rsid w:val="0049595C"/>
    <w:rsid w:val="004965FB"/>
    <w:rsid w:val="004A21EE"/>
    <w:rsid w:val="004A79EA"/>
    <w:rsid w:val="004B0B59"/>
    <w:rsid w:val="004C539B"/>
    <w:rsid w:val="004D09BA"/>
    <w:rsid w:val="004D14DB"/>
    <w:rsid w:val="004D365E"/>
    <w:rsid w:val="004D4947"/>
    <w:rsid w:val="004D5AE8"/>
    <w:rsid w:val="004D795C"/>
    <w:rsid w:val="004E0819"/>
    <w:rsid w:val="004E1BB1"/>
    <w:rsid w:val="004E1FAF"/>
    <w:rsid w:val="004E2DA2"/>
    <w:rsid w:val="004E40B0"/>
    <w:rsid w:val="004E6BCF"/>
    <w:rsid w:val="004F0BD5"/>
    <w:rsid w:val="004F21BC"/>
    <w:rsid w:val="004F2C8B"/>
    <w:rsid w:val="004F4DBC"/>
    <w:rsid w:val="004F6A05"/>
    <w:rsid w:val="004F798A"/>
    <w:rsid w:val="00500E08"/>
    <w:rsid w:val="005025A1"/>
    <w:rsid w:val="00503C3F"/>
    <w:rsid w:val="00505FD1"/>
    <w:rsid w:val="00506652"/>
    <w:rsid w:val="0051081B"/>
    <w:rsid w:val="005112A6"/>
    <w:rsid w:val="0051783F"/>
    <w:rsid w:val="00517B6E"/>
    <w:rsid w:val="00520BBA"/>
    <w:rsid w:val="005332E4"/>
    <w:rsid w:val="005360BD"/>
    <w:rsid w:val="0054011E"/>
    <w:rsid w:val="005403A9"/>
    <w:rsid w:val="00544D8D"/>
    <w:rsid w:val="005462D4"/>
    <w:rsid w:val="0054665D"/>
    <w:rsid w:val="00556F17"/>
    <w:rsid w:val="0055716B"/>
    <w:rsid w:val="00582D48"/>
    <w:rsid w:val="005838B0"/>
    <w:rsid w:val="00583B8D"/>
    <w:rsid w:val="00583F4C"/>
    <w:rsid w:val="00586E8A"/>
    <w:rsid w:val="005925B4"/>
    <w:rsid w:val="00594076"/>
    <w:rsid w:val="00596122"/>
    <w:rsid w:val="005A5915"/>
    <w:rsid w:val="005A7877"/>
    <w:rsid w:val="005C4A22"/>
    <w:rsid w:val="005D0CB1"/>
    <w:rsid w:val="005D54E6"/>
    <w:rsid w:val="005D7A03"/>
    <w:rsid w:val="005E5CAF"/>
    <w:rsid w:val="005F4814"/>
    <w:rsid w:val="005F6C85"/>
    <w:rsid w:val="0060292F"/>
    <w:rsid w:val="00604730"/>
    <w:rsid w:val="00604A62"/>
    <w:rsid w:val="00605F12"/>
    <w:rsid w:val="00607302"/>
    <w:rsid w:val="00611F34"/>
    <w:rsid w:val="00613C51"/>
    <w:rsid w:val="00620C24"/>
    <w:rsid w:val="006227EC"/>
    <w:rsid w:val="0062690B"/>
    <w:rsid w:val="00626CCB"/>
    <w:rsid w:val="00636057"/>
    <w:rsid w:val="00640D6E"/>
    <w:rsid w:val="0065154D"/>
    <w:rsid w:val="00660F06"/>
    <w:rsid w:val="00663439"/>
    <w:rsid w:val="006638FA"/>
    <w:rsid w:val="00665256"/>
    <w:rsid w:val="00666320"/>
    <w:rsid w:val="00666F52"/>
    <w:rsid w:val="00674B05"/>
    <w:rsid w:val="00675EE1"/>
    <w:rsid w:val="006768E9"/>
    <w:rsid w:val="00677651"/>
    <w:rsid w:val="006800C7"/>
    <w:rsid w:val="00681A30"/>
    <w:rsid w:val="00684A9B"/>
    <w:rsid w:val="0069103D"/>
    <w:rsid w:val="00691A4E"/>
    <w:rsid w:val="006921E1"/>
    <w:rsid w:val="0069391A"/>
    <w:rsid w:val="00695AB3"/>
    <w:rsid w:val="006963AD"/>
    <w:rsid w:val="006A16FF"/>
    <w:rsid w:val="006A1FFB"/>
    <w:rsid w:val="006A5C4F"/>
    <w:rsid w:val="006B46A6"/>
    <w:rsid w:val="006B7039"/>
    <w:rsid w:val="006B7D77"/>
    <w:rsid w:val="006D037F"/>
    <w:rsid w:val="006D6BCB"/>
    <w:rsid w:val="006E0738"/>
    <w:rsid w:val="006E0FDB"/>
    <w:rsid w:val="006F0B84"/>
    <w:rsid w:val="006F1A0B"/>
    <w:rsid w:val="006F2405"/>
    <w:rsid w:val="006F4B25"/>
    <w:rsid w:val="006F6496"/>
    <w:rsid w:val="006F657E"/>
    <w:rsid w:val="0070351C"/>
    <w:rsid w:val="007064A7"/>
    <w:rsid w:val="00706EE8"/>
    <w:rsid w:val="007129E0"/>
    <w:rsid w:val="00713DD5"/>
    <w:rsid w:val="00714B4D"/>
    <w:rsid w:val="007177CA"/>
    <w:rsid w:val="00722DDB"/>
    <w:rsid w:val="00724677"/>
    <w:rsid w:val="00727875"/>
    <w:rsid w:val="00730501"/>
    <w:rsid w:val="007305CB"/>
    <w:rsid w:val="00734461"/>
    <w:rsid w:val="00736348"/>
    <w:rsid w:val="0074164F"/>
    <w:rsid w:val="00753927"/>
    <w:rsid w:val="00754853"/>
    <w:rsid w:val="0075573E"/>
    <w:rsid w:val="00760908"/>
    <w:rsid w:val="00766E54"/>
    <w:rsid w:val="0076708E"/>
    <w:rsid w:val="00767C6B"/>
    <w:rsid w:val="00773073"/>
    <w:rsid w:val="007824A0"/>
    <w:rsid w:val="00782F98"/>
    <w:rsid w:val="0078502E"/>
    <w:rsid w:val="007862BA"/>
    <w:rsid w:val="007916EF"/>
    <w:rsid w:val="00792033"/>
    <w:rsid w:val="007947CE"/>
    <w:rsid w:val="007968FD"/>
    <w:rsid w:val="007A12E1"/>
    <w:rsid w:val="007A44C5"/>
    <w:rsid w:val="007A4C41"/>
    <w:rsid w:val="007B243F"/>
    <w:rsid w:val="007B6083"/>
    <w:rsid w:val="007C0B9C"/>
    <w:rsid w:val="007C1F3A"/>
    <w:rsid w:val="007D106F"/>
    <w:rsid w:val="007D48B1"/>
    <w:rsid w:val="007D4FA5"/>
    <w:rsid w:val="007D71C1"/>
    <w:rsid w:val="007F1277"/>
    <w:rsid w:val="007F238D"/>
    <w:rsid w:val="007F3421"/>
    <w:rsid w:val="007F5896"/>
    <w:rsid w:val="0080058A"/>
    <w:rsid w:val="00813F1D"/>
    <w:rsid w:val="00816893"/>
    <w:rsid w:val="00817841"/>
    <w:rsid w:val="008237D5"/>
    <w:rsid w:val="0082742B"/>
    <w:rsid w:val="00833AA4"/>
    <w:rsid w:val="008349A7"/>
    <w:rsid w:val="00843DF9"/>
    <w:rsid w:val="0084725C"/>
    <w:rsid w:val="00852947"/>
    <w:rsid w:val="00853D1B"/>
    <w:rsid w:val="00854C6C"/>
    <w:rsid w:val="0085541D"/>
    <w:rsid w:val="0085721E"/>
    <w:rsid w:val="00857CDB"/>
    <w:rsid w:val="00861B92"/>
    <w:rsid w:val="00863C71"/>
    <w:rsid w:val="0087724C"/>
    <w:rsid w:val="008779E0"/>
    <w:rsid w:val="008814FB"/>
    <w:rsid w:val="0088744D"/>
    <w:rsid w:val="00890F34"/>
    <w:rsid w:val="00893C37"/>
    <w:rsid w:val="00896896"/>
    <w:rsid w:val="008A52A3"/>
    <w:rsid w:val="008B1570"/>
    <w:rsid w:val="008C0FDC"/>
    <w:rsid w:val="008C5428"/>
    <w:rsid w:val="008C57F3"/>
    <w:rsid w:val="008C6A5D"/>
    <w:rsid w:val="008D5ED6"/>
    <w:rsid w:val="008E3E0C"/>
    <w:rsid w:val="008E417B"/>
    <w:rsid w:val="008E43C3"/>
    <w:rsid w:val="008F1FE8"/>
    <w:rsid w:val="008F3D7F"/>
    <w:rsid w:val="008F448D"/>
    <w:rsid w:val="008F486D"/>
    <w:rsid w:val="008F4DC3"/>
    <w:rsid w:val="008F5E30"/>
    <w:rsid w:val="00901720"/>
    <w:rsid w:val="00907ACE"/>
    <w:rsid w:val="00910F7B"/>
    <w:rsid w:val="00911764"/>
    <w:rsid w:val="00912EDE"/>
    <w:rsid w:val="0091364C"/>
    <w:rsid w:val="00914D7F"/>
    <w:rsid w:val="00920423"/>
    <w:rsid w:val="00921CC5"/>
    <w:rsid w:val="00922B72"/>
    <w:rsid w:val="0092492A"/>
    <w:rsid w:val="009253D6"/>
    <w:rsid w:val="00925AE6"/>
    <w:rsid w:val="00925E6B"/>
    <w:rsid w:val="009453E0"/>
    <w:rsid w:val="00950D73"/>
    <w:rsid w:val="009537D8"/>
    <w:rsid w:val="009538E3"/>
    <w:rsid w:val="00953954"/>
    <w:rsid w:val="00961BD3"/>
    <w:rsid w:val="00962756"/>
    <w:rsid w:val="009630C8"/>
    <w:rsid w:val="0096321F"/>
    <w:rsid w:val="0096678C"/>
    <w:rsid w:val="009714FB"/>
    <w:rsid w:val="00974AD2"/>
    <w:rsid w:val="00975882"/>
    <w:rsid w:val="0098402F"/>
    <w:rsid w:val="00984186"/>
    <w:rsid w:val="0098547B"/>
    <w:rsid w:val="00986E34"/>
    <w:rsid w:val="00992438"/>
    <w:rsid w:val="00993591"/>
    <w:rsid w:val="00997EA5"/>
    <w:rsid w:val="009A1557"/>
    <w:rsid w:val="009A1F76"/>
    <w:rsid w:val="009A4FDA"/>
    <w:rsid w:val="009A5502"/>
    <w:rsid w:val="009A5B0D"/>
    <w:rsid w:val="009A605B"/>
    <w:rsid w:val="009A7E58"/>
    <w:rsid w:val="009B5E74"/>
    <w:rsid w:val="009B7B88"/>
    <w:rsid w:val="009C1741"/>
    <w:rsid w:val="009C281E"/>
    <w:rsid w:val="009C4DD1"/>
    <w:rsid w:val="009C5043"/>
    <w:rsid w:val="009C57FB"/>
    <w:rsid w:val="009C67D2"/>
    <w:rsid w:val="009D2B5E"/>
    <w:rsid w:val="009D3893"/>
    <w:rsid w:val="009D4D15"/>
    <w:rsid w:val="009D76DE"/>
    <w:rsid w:val="009E177E"/>
    <w:rsid w:val="009E212E"/>
    <w:rsid w:val="009E3219"/>
    <w:rsid w:val="009E680B"/>
    <w:rsid w:val="009F0E78"/>
    <w:rsid w:val="00A005BE"/>
    <w:rsid w:val="00A14459"/>
    <w:rsid w:val="00A15A1F"/>
    <w:rsid w:val="00A1627A"/>
    <w:rsid w:val="00A23902"/>
    <w:rsid w:val="00A262BD"/>
    <w:rsid w:val="00A26C02"/>
    <w:rsid w:val="00A275B9"/>
    <w:rsid w:val="00A3099B"/>
    <w:rsid w:val="00A31F30"/>
    <w:rsid w:val="00A3325A"/>
    <w:rsid w:val="00A35E47"/>
    <w:rsid w:val="00A36566"/>
    <w:rsid w:val="00A37D31"/>
    <w:rsid w:val="00A43013"/>
    <w:rsid w:val="00A473FB"/>
    <w:rsid w:val="00A51102"/>
    <w:rsid w:val="00A56122"/>
    <w:rsid w:val="00A5635C"/>
    <w:rsid w:val="00A62152"/>
    <w:rsid w:val="00A6740A"/>
    <w:rsid w:val="00A7061E"/>
    <w:rsid w:val="00A72036"/>
    <w:rsid w:val="00A8656E"/>
    <w:rsid w:val="00A97DB6"/>
    <w:rsid w:val="00AA3BB2"/>
    <w:rsid w:val="00AA5502"/>
    <w:rsid w:val="00AC00BF"/>
    <w:rsid w:val="00AC5B0D"/>
    <w:rsid w:val="00AC76B6"/>
    <w:rsid w:val="00AD6A01"/>
    <w:rsid w:val="00AE0144"/>
    <w:rsid w:val="00AE2FE2"/>
    <w:rsid w:val="00AF108A"/>
    <w:rsid w:val="00AF3BD5"/>
    <w:rsid w:val="00AF572C"/>
    <w:rsid w:val="00AF57A3"/>
    <w:rsid w:val="00B01FA3"/>
    <w:rsid w:val="00B0261D"/>
    <w:rsid w:val="00B02CC4"/>
    <w:rsid w:val="00B02E55"/>
    <w:rsid w:val="00B036C1"/>
    <w:rsid w:val="00B06986"/>
    <w:rsid w:val="00B06DE5"/>
    <w:rsid w:val="00B14F92"/>
    <w:rsid w:val="00B150C3"/>
    <w:rsid w:val="00B213F3"/>
    <w:rsid w:val="00B21FF3"/>
    <w:rsid w:val="00B24BBB"/>
    <w:rsid w:val="00B26933"/>
    <w:rsid w:val="00B310B1"/>
    <w:rsid w:val="00B3140D"/>
    <w:rsid w:val="00B34ED9"/>
    <w:rsid w:val="00B367DD"/>
    <w:rsid w:val="00B379D5"/>
    <w:rsid w:val="00B37CAB"/>
    <w:rsid w:val="00B40915"/>
    <w:rsid w:val="00B458C6"/>
    <w:rsid w:val="00B467A6"/>
    <w:rsid w:val="00B4696A"/>
    <w:rsid w:val="00B47E5C"/>
    <w:rsid w:val="00B5004D"/>
    <w:rsid w:val="00B507C9"/>
    <w:rsid w:val="00B5431F"/>
    <w:rsid w:val="00B55232"/>
    <w:rsid w:val="00B56251"/>
    <w:rsid w:val="00B5668F"/>
    <w:rsid w:val="00B56727"/>
    <w:rsid w:val="00B62464"/>
    <w:rsid w:val="00B6409F"/>
    <w:rsid w:val="00B717EF"/>
    <w:rsid w:val="00B7727A"/>
    <w:rsid w:val="00B8128E"/>
    <w:rsid w:val="00B817A4"/>
    <w:rsid w:val="00B81C24"/>
    <w:rsid w:val="00B8674D"/>
    <w:rsid w:val="00B913EF"/>
    <w:rsid w:val="00B91EF6"/>
    <w:rsid w:val="00B94F7E"/>
    <w:rsid w:val="00BA15CA"/>
    <w:rsid w:val="00BA3928"/>
    <w:rsid w:val="00BA5701"/>
    <w:rsid w:val="00BA6D51"/>
    <w:rsid w:val="00BB13B5"/>
    <w:rsid w:val="00BB2C91"/>
    <w:rsid w:val="00BB54FD"/>
    <w:rsid w:val="00BB5BE2"/>
    <w:rsid w:val="00BB75B9"/>
    <w:rsid w:val="00BC0173"/>
    <w:rsid w:val="00BC4FA2"/>
    <w:rsid w:val="00BC5326"/>
    <w:rsid w:val="00BD562B"/>
    <w:rsid w:val="00BD5C83"/>
    <w:rsid w:val="00BD6D88"/>
    <w:rsid w:val="00BE34C5"/>
    <w:rsid w:val="00BF03E0"/>
    <w:rsid w:val="00BF1392"/>
    <w:rsid w:val="00BF2A93"/>
    <w:rsid w:val="00BF6B2C"/>
    <w:rsid w:val="00BF6D30"/>
    <w:rsid w:val="00BF7FE0"/>
    <w:rsid w:val="00C00773"/>
    <w:rsid w:val="00C12BB1"/>
    <w:rsid w:val="00C12F14"/>
    <w:rsid w:val="00C15F7F"/>
    <w:rsid w:val="00C171B1"/>
    <w:rsid w:val="00C22DBA"/>
    <w:rsid w:val="00C31271"/>
    <w:rsid w:val="00C32602"/>
    <w:rsid w:val="00C33F82"/>
    <w:rsid w:val="00C36544"/>
    <w:rsid w:val="00C42390"/>
    <w:rsid w:val="00C426A1"/>
    <w:rsid w:val="00C5116A"/>
    <w:rsid w:val="00C55D36"/>
    <w:rsid w:val="00C636C9"/>
    <w:rsid w:val="00C63A77"/>
    <w:rsid w:val="00C63FCE"/>
    <w:rsid w:val="00C656CF"/>
    <w:rsid w:val="00C66266"/>
    <w:rsid w:val="00C74ABD"/>
    <w:rsid w:val="00C76640"/>
    <w:rsid w:val="00C81104"/>
    <w:rsid w:val="00C8560D"/>
    <w:rsid w:val="00C92B47"/>
    <w:rsid w:val="00C93826"/>
    <w:rsid w:val="00C9524A"/>
    <w:rsid w:val="00C96411"/>
    <w:rsid w:val="00CA05E1"/>
    <w:rsid w:val="00CA09AC"/>
    <w:rsid w:val="00CA24F2"/>
    <w:rsid w:val="00CA6C9F"/>
    <w:rsid w:val="00CA6D50"/>
    <w:rsid w:val="00CA7FC4"/>
    <w:rsid w:val="00CB114A"/>
    <w:rsid w:val="00CB172B"/>
    <w:rsid w:val="00CB4C8F"/>
    <w:rsid w:val="00CB5671"/>
    <w:rsid w:val="00CB56EE"/>
    <w:rsid w:val="00CC315F"/>
    <w:rsid w:val="00CC4193"/>
    <w:rsid w:val="00CD2C39"/>
    <w:rsid w:val="00CD494B"/>
    <w:rsid w:val="00CD6B0B"/>
    <w:rsid w:val="00CD74E1"/>
    <w:rsid w:val="00CF014E"/>
    <w:rsid w:val="00CF19EE"/>
    <w:rsid w:val="00CF284C"/>
    <w:rsid w:val="00CF58B7"/>
    <w:rsid w:val="00D01118"/>
    <w:rsid w:val="00D01FAD"/>
    <w:rsid w:val="00D04471"/>
    <w:rsid w:val="00D07801"/>
    <w:rsid w:val="00D106AB"/>
    <w:rsid w:val="00D160F2"/>
    <w:rsid w:val="00D165C5"/>
    <w:rsid w:val="00D20613"/>
    <w:rsid w:val="00D21CA1"/>
    <w:rsid w:val="00D23BE3"/>
    <w:rsid w:val="00D315AC"/>
    <w:rsid w:val="00D345C9"/>
    <w:rsid w:val="00D34C62"/>
    <w:rsid w:val="00D351C1"/>
    <w:rsid w:val="00D35223"/>
    <w:rsid w:val="00D35EFB"/>
    <w:rsid w:val="00D374B7"/>
    <w:rsid w:val="00D446D1"/>
    <w:rsid w:val="00D45B5A"/>
    <w:rsid w:val="00D47D37"/>
    <w:rsid w:val="00D504B3"/>
    <w:rsid w:val="00D5641B"/>
    <w:rsid w:val="00D60B69"/>
    <w:rsid w:val="00D6398C"/>
    <w:rsid w:val="00D727EB"/>
    <w:rsid w:val="00D73D6A"/>
    <w:rsid w:val="00D824D4"/>
    <w:rsid w:val="00D83F9A"/>
    <w:rsid w:val="00D86BF0"/>
    <w:rsid w:val="00D91651"/>
    <w:rsid w:val="00D92167"/>
    <w:rsid w:val="00DA185E"/>
    <w:rsid w:val="00DA3F1F"/>
    <w:rsid w:val="00DB1F9F"/>
    <w:rsid w:val="00DD0048"/>
    <w:rsid w:val="00DD033B"/>
    <w:rsid w:val="00DD0941"/>
    <w:rsid w:val="00DD5D3C"/>
    <w:rsid w:val="00DD7BB0"/>
    <w:rsid w:val="00DE0D8E"/>
    <w:rsid w:val="00DE178B"/>
    <w:rsid w:val="00DE25CC"/>
    <w:rsid w:val="00DE45BF"/>
    <w:rsid w:val="00DE713E"/>
    <w:rsid w:val="00DE74A1"/>
    <w:rsid w:val="00DF2405"/>
    <w:rsid w:val="00DF29AD"/>
    <w:rsid w:val="00E02D6C"/>
    <w:rsid w:val="00E069A9"/>
    <w:rsid w:val="00E10E48"/>
    <w:rsid w:val="00E154EF"/>
    <w:rsid w:val="00E15636"/>
    <w:rsid w:val="00E160E4"/>
    <w:rsid w:val="00E1743F"/>
    <w:rsid w:val="00E17874"/>
    <w:rsid w:val="00E21800"/>
    <w:rsid w:val="00E24290"/>
    <w:rsid w:val="00E24FF7"/>
    <w:rsid w:val="00E30DCA"/>
    <w:rsid w:val="00E319D3"/>
    <w:rsid w:val="00E32EB5"/>
    <w:rsid w:val="00E3345B"/>
    <w:rsid w:val="00E337B1"/>
    <w:rsid w:val="00E34FD2"/>
    <w:rsid w:val="00E3553C"/>
    <w:rsid w:val="00E43992"/>
    <w:rsid w:val="00E50AC5"/>
    <w:rsid w:val="00E51920"/>
    <w:rsid w:val="00E52CFC"/>
    <w:rsid w:val="00E55F32"/>
    <w:rsid w:val="00E56DA9"/>
    <w:rsid w:val="00E574BC"/>
    <w:rsid w:val="00E6252D"/>
    <w:rsid w:val="00E64120"/>
    <w:rsid w:val="00E65753"/>
    <w:rsid w:val="00E660A1"/>
    <w:rsid w:val="00E84C2B"/>
    <w:rsid w:val="00E958D8"/>
    <w:rsid w:val="00EA1411"/>
    <w:rsid w:val="00EA2C98"/>
    <w:rsid w:val="00EA34E5"/>
    <w:rsid w:val="00EA3CCF"/>
    <w:rsid w:val="00EA3D1A"/>
    <w:rsid w:val="00EA67F3"/>
    <w:rsid w:val="00EC2A2B"/>
    <w:rsid w:val="00EC2A3D"/>
    <w:rsid w:val="00EC60BE"/>
    <w:rsid w:val="00EC6BAF"/>
    <w:rsid w:val="00ED07AD"/>
    <w:rsid w:val="00ED3B22"/>
    <w:rsid w:val="00ED698B"/>
    <w:rsid w:val="00ED7BC4"/>
    <w:rsid w:val="00ED7F08"/>
    <w:rsid w:val="00EE1113"/>
    <w:rsid w:val="00EE5F49"/>
    <w:rsid w:val="00EE6394"/>
    <w:rsid w:val="00EF383A"/>
    <w:rsid w:val="00EF61D6"/>
    <w:rsid w:val="00F055F1"/>
    <w:rsid w:val="00F10BD0"/>
    <w:rsid w:val="00F16266"/>
    <w:rsid w:val="00F16E2C"/>
    <w:rsid w:val="00F17C90"/>
    <w:rsid w:val="00F20725"/>
    <w:rsid w:val="00F20B70"/>
    <w:rsid w:val="00F2121E"/>
    <w:rsid w:val="00F25C9A"/>
    <w:rsid w:val="00F26543"/>
    <w:rsid w:val="00F26BE3"/>
    <w:rsid w:val="00F31EF7"/>
    <w:rsid w:val="00F369BD"/>
    <w:rsid w:val="00F37E19"/>
    <w:rsid w:val="00F4515C"/>
    <w:rsid w:val="00F45D4B"/>
    <w:rsid w:val="00F46AD7"/>
    <w:rsid w:val="00F511EE"/>
    <w:rsid w:val="00F51E53"/>
    <w:rsid w:val="00F55327"/>
    <w:rsid w:val="00F55ADD"/>
    <w:rsid w:val="00F55C19"/>
    <w:rsid w:val="00F610AF"/>
    <w:rsid w:val="00F6152E"/>
    <w:rsid w:val="00F61D16"/>
    <w:rsid w:val="00F62654"/>
    <w:rsid w:val="00F626A8"/>
    <w:rsid w:val="00F63C0A"/>
    <w:rsid w:val="00F70248"/>
    <w:rsid w:val="00F70D69"/>
    <w:rsid w:val="00F76B47"/>
    <w:rsid w:val="00F76FF5"/>
    <w:rsid w:val="00F8356F"/>
    <w:rsid w:val="00F84450"/>
    <w:rsid w:val="00F87163"/>
    <w:rsid w:val="00F90E77"/>
    <w:rsid w:val="00F92250"/>
    <w:rsid w:val="00F9425A"/>
    <w:rsid w:val="00F95809"/>
    <w:rsid w:val="00F97224"/>
    <w:rsid w:val="00FA108A"/>
    <w:rsid w:val="00FA2C5A"/>
    <w:rsid w:val="00FA4FC2"/>
    <w:rsid w:val="00FB2F56"/>
    <w:rsid w:val="00FB6A51"/>
    <w:rsid w:val="00FC2D11"/>
    <w:rsid w:val="00FC3F2F"/>
    <w:rsid w:val="00FC43FA"/>
    <w:rsid w:val="00FC6230"/>
    <w:rsid w:val="00FC6D03"/>
    <w:rsid w:val="00FC7D6F"/>
    <w:rsid w:val="00FD2484"/>
    <w:rsid w:val="00FD2904"/>
    <w:rsid w:val="00FD4E87"/>
    <w:rsid w:val="00FE6C83"/>
    <w:rsid w:val="00FE6E81"/>
    <w:rsid w:val="00FF19B6"/>
    <w:rsid w:val="00FF4C1B"/>
    <w:rsid w:val="00FF61E7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,"/>
  <w14:docId w14:val="2CCD0D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5E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367CA4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367CA4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</w:rPr>
  </w:style>
  <w:style w:type="paragraph" w:styleId="Heading3">
    <w:name w:val="heading 3"/>
    <w:basedOn w:val="Normal"/>
    <w:next w:val="Paragraph"/>
    <w:link w:val="Heading3Char"/>
    <w:qFormat/>
    <w:rsid w:val="00367CA4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</w:rPr>
  </w:style>
  <w:style w:type="paragraph" w:styleId="Heading4">
    <w:name w:val="heading 4"/>
    <w:basedOn w:val="Normal"/>
    <w:next w:val="Paragraph"/>
    <w:link w:val="Heading4Char"/>
    <w:qFormat/>
    <w:rsid w:val="00367CA4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</w:rPr>
  </w:style>
  <w:style w:type="character" w:default="1" w:styleId="DefaultParagraphFont">
    <w:name w:val="Default Paragraph Font"/>
    <w:uiPriority w:val="1"/>
    <w:semiHidden/>
    <w:unhideWhenUsed/>
    <w:rsid w:val="00CA05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05E1"/>
  </w:style>
  <w:style w:type="paragraph" w:customStyle="1" w:styleId="Paragraph">
    <w:name w:val="Paragraph"/>
    <w:basedOn w:val="Normal"/>
    <w:uiPriority w:val="99"/>
    <w:qFormat/>
    <w:rsid w:val="00367CA4"/>
    <w:pPr>
      <w:spacing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367CA4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367CA4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367CA4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367CA4"/>
    <w:pPr>
      <w:numPr>
        <w:numId w:val="2"/>
      </w:numPr>
      <w:tabs>
        <w:tab w:val="left" w:pos="993"/>
      </w:tabs>
      <w:spacing w:line="360" w:lineRule="auto"/>
      <w:ind w:left="993" w:hanging="426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367CA4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67CA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7CA4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67CA4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367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7C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367CA4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67CA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367CA4"/>
    <w:pPr>
      <w:numPr>
        <w:numId w:val="18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F51E53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rsid w:val="00367CA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67CA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67CA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367CA4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367CA4"/>
    <w:pPr>
      <w:spacing w:before="120"/>
    </w:pPr>
    <w:rPr>
      <w:rFonts w:ascii="Arial" w:hAnsi="Arial"/>
      <w:b/>
      <w:bCs/>
    </w:rPr>
  </w:style>
  <w:style w:type="character" w:styleId="PageNumber">
    <w:name w:val="page number"/>
    <w:rsid w:val="00C63FC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B7039"/>
    <w:pPr>
      <w:ind w:left="720"/>
      <w:contextualSpacing/>
    </w:pPr>
  </w:style>
  <w:style w:type="paragraph" w:customStyle="1" w:styleId="Heading1boardreport">
    <w:name w:val="Heading 1 board report"/>
    <w:basedOn w:val="Heading1"/>
    <w:next w:val="Paragraph"/>
    <w:link w:val="Heading1boardreportChar"/>
    <w:qFormat/>
    <w:rsid w:val="003D73C7"/>
    <w:rPr>
      <w:color w:val="00506A"/>
    </w:rPr>
  </w:style>
  <w:style w:type="character" w:customStyle="1" w:styleId="Heading1boardreportChar">
    <w:name w:val="Heading 1 board report Char"/>
    <w:basedOn w:val="Heading1Char"/>
    <w:link w:val="Heading1boardreport"/>
    <w:rsid w:val="003D73C7"/>
    <w:rPr>
      <w:rFonts w:ascii="Arial" w:hAnsi="Arial" w:cs="Arial"/>
      <w:b/>
      <w:bCs/>
      <w:color w:val="00506A"/>
      <w:kern w:val="32"/>
      <w:sz w:val="28"/>
      <w:szCs w:val="32"/>
      <w:lang w:eastAsia="en-US"/>
    </w:rPr>
  </w:style>
  <w:style w:type="paragraph" w:customStyle="1" w:styleId="Style1">
    <w:name w:val="Style1"/>
    <w:basedOn w:val="Heading1"/>
    <w:link w:val="Style1Char"/>
    <w:qFormat/>
    <w:rsid w:val="00C15F7F"/>
    <w:pPr>
      <w:jc w:val="center"/>
    </w:pPr>
  </w:style>
  <w:style w:type="character" w:customStyle="1" w:styleId="Style1Char">
    <w:name w:val="Style1 Char"/>
    <w:basedOn w:val="Heading1Char"/>
    <w:link w:val="Style1"/>
    <w:rsid w:val="00C15F7F"/>
    <w:rPr>
      <w:rFonts w:ascii="Arial" w:hAnsi="Arial" w:cs="Arial"/>
      <w:b/>
      <w:bCs/>
      <w:kern w:val="32"/>
      <w:sz w:val="28"/>
      <w:szCs w:val="32"/>
      <w:lang w:eastAsia="en-US"/>
    </w:rPr>
  </w:style>
  <w:style w:type="paragraph" w:styleId="BodyTextIndent3">
    <w:name w:val="Body Text Indent 3"/>
    <w:basedOn w:val="Normal"/>
    <w:link w:val="BodyTextIndent3Char"/>
    <w:rsid w:val="00EE6394"/>
    <w:pPr>
      <w:ind w:left="567"/>
    </w:pPr>
    <w:rPr>
      <w:rFonts w:ascii="Arial" w:hAnsi="Arial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EE6394"/>
    <w:rPr>
      <w:rFonts w:ascii="Arial" w:hAnsi="Arial"/>
      <w:sz w:val="22"/>
      <w:szCs w:val="22"/>
      <w:u w:val="single"/>
    </w:rPr>
  </w:style>
  <w:style w:type="paragraph" w:customStyle="1" w:styleId="NICEnormal">
    <w:name w:val="NICE normal"/>
    <w:link w:val="NICEnormalChar"/>
    <w:rsid w:val="00EE6394"/>
    <w:pPr>
      <w:spacing w:after="240" w:line="360" w:lineRule="auto"/>
    </w:pPr>
    <w:rPr>
      <w:rFonts w:ascii="Arial" w:hAnsi="Arial"/>
      <w:sz w:val="24"/>
      <w:szCs w:val="24"/>
      <w:lang w:val="en-US"/>
    </w:rPr>
  </w:style>
  <w:style w:type="character" w:customStyle="1" w:styleId="NICEnormalChar">
    <w:name w:val="NICE normal Char"/>
    <w:link w:val="NICEnormal"/>
    <w:rsid w:val="00EE6394"/>
    <w:rPr>
      <w:rFonts w:ascii="Arial" w:hAnsi="Arial"/>
      <w:sz w:val="24"/>
      <w:szCs w:val="24"/>
      <w:lang w:val="en-US"/>
    </w:rPr>
  </w:style>
  <w:style w:type="paragraph" w:customStyle="1" w:styleId="Title16pt">
    <w:name w:val="Title 16 pt"/>
    <w:basedOn w:val="Title"/>
    <w:rsid w:val="00EE6394"/>
    <w:pPr>
      <w:keepNext/>
    </w:pPr>
    <w:rPr>
      <w:rFonts w:cs="Arial"/>
    </w:rPr>
  </w:style>
  <w:style w:type="table" w:styleId="TableGrid">
    <w:name w:val="Table Grid"/>
    <w:basedOn w:val="TableNormal"/>
    <w:rsid w:val="0036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67C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67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7CA4"/>
  </w:style>
  <w:style w:type="paragraph" w:styleId="CommentSubject">
    <w:name w:val="annotation subject"/>
    <w:basedOn w:val="CommentText"/>
    <w:next w:val="CommentText"/>
    <w:link w:val="CommentSubjectChar"/>
    <w:semiHidden/>
    <w:rsid w:val="00367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7CA4"/>
    <w:rPr>
      <w:b/>
      <w:bCs/>
    </w:rPr>
  </w:style>
  <w:style w:type="paragraph" w:styleId="Revision">
    <w:name w:val="Revision"/>
    <w:hidden/>
    <w:uiPriority w:val="99"/>
    <w:semiHidden/>
    <w:rsid w:val="00C32602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67CA4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customStyle="1" w:styleId="ParagraphNumbered">
    <w:name w:val="Paragraph Numbered"/>
    <w:basedOn w:val="Normal"/>
    <w:uiPriority w:val="4"/>
    <w:qFormat/>
    <w:rsid w:val="00367CA4"/>
    <w:pPr>
      <w:numPr>
        <w:numId w:val="1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</w:rPr>
  </w:style>
  <w:style w:type="paragraph" w:styleId="Caption">
    <w:name w:val="caption"/>
    <w:basedOn w:val="Normal"/>
    <w:next w:val="Normal"/>
    <w:unhideWhenUsed/>
    <w:qFormat/>
    <w:rsid w:val="00367CA4"/>
    <w:pPr>
      <w:keepNext/>
      <w:spacing w:before="240" w:after="200" w:line="360" w:lineRule="auto"/>
    </w:pPr>
    <w:rPr>
      <w:rFonts w:ascii="Arial" w:hAnsi="Arial"/>
      <w:b/>
      <w:iCs/>
      <w:szCs w:val="18"/>
    </w:rPr>
  </w:style>
  <w:style w:type="character" w:styleId="Hyperlink">
    <w:name w:val="Hyperlink"/>
    <w:basedOn w:val="DefaultParagraphFont"/>
    <w:uiPriority w:val="99"/>
    <w:unhideWhenUsed/>
    <w:rsid w:val="00367CA4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367CA4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367CA4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367CA4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367CA4"/>
    <w:pPr>
      <w:spacing w:before="60" w:after="80"/>
    </w:pPr>
    <w:rPr>
      <w:rFonts w:ascii="Arial" w:hAnsi="Arial"/>
    </w:rPr>
  </w:style>
  <w:style w:type="paragraph" w:customStyle="1" w:styleId="Tablebullet">
    <w:name w:val="Table bullet"/>
    <w:basedOn w:val="Tabletext"/>
    <w:qFormat/>
    <w:rsid w:val="00367CA4"/>
    <w:pPr>
      <w:numPr>
        <w:numId w:val="39"/>
      </w:numPr>
    </w:pPr>
  </w:style>
  <w:style w:type="paragraph" w:customStyle="1" w:styleId="Tableheading">
    <w:name w:val="Table heading"/>
    <w:basedOn w:val="Tabletext"/>
    <w:qFormat/>
    <w:rsid w:val="00367CA4"/>
    <w:rPr>
      <w:b/>
    </w:rPr>
  </w:style>
  <w:style w:type="table" w:styleId="TableGridLight">
    <w:name w:val="Grid Table Light"/>
    <w:basedOn w:val="TableNormal"/>
    <w:uiPriority w:val="40"/>
    <w:rsid w:val="00367C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367CA4"/>
    <w:pPr>
      <w:numPr>
        <w:numId w:val="40"/>
      </w:numPr>
      <w:ind w:left="993" w:hanging="426"/>
    </w:pPr>
  </w:style>
  <w:style w:type="paragraph" w:customStyle="1" w:styleId="Panelwhitetext">
    <w:name w:val="Panel white text"/>
    <w:basedOn w:val="Paragraph"/>
    <w:qFormat/>
    <w:rsid w:val="00367CA4"/>
    <w:rPr>
      <w:b/>
      <w:color w:val="FFFFFF"/>
    </w:rPr>
  </w:style>
  <w:style w:type="paragraph" w:customStyle="1" w:styleId="Title2">
    <w:name w:val="Title 2"/>
    <w:basedOn w:val="Title"/>
    <w:qFormat/>
    <w:rsid w:val="00367CA4"/>
    <w:rPr>
      <w:color w:val="4F81BD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367CA4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367CA4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367CA4"/>
    <w:pPr>
      <w:jc w:val="center"/>
    </w:pPr>
    <w:rPr>
      <w:b/>
      <w:color w:val="228096"/>
      <w:sz w:val="26"/>
      <w:szCs w:val="26"/>
    </w:rPr>
  </w:style>
  <w:style w:type="character" w:customStyle="1" w:styleId="StyleCommentReference">
    <w:name w:val="Style Comment Reference +"/>
    <w:basedOn w:val="CommentReference"/>
    <w:rsid w:val="00367CA4"/>
    <w:rPr>
      <w:rFonts w:ascii="Arial" w:hAnsi="Arial"/>
      <w:b/>
      <w:sz w:val="4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2022-12-09T09:38:00Z</dcterms:created>
  <dcterms:modified xsi:type="dcterms:W3CDTF">2022-12-12T12:33:00Z</dcterms:modified>
</cp:coreProperties>
</file>