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9F94" w14:textId="488644AC" w:rsidR="002C2B95" w:rsidRPr="0038467A" w:rsidRDefault="005B0665" w:rsidP="002C2B95">
      <w:pPr>
        <w:rPr>
          <w:b/>
          <w:bCs/>
          <w:lang w:val="cs-CZ"/>
        </w:rPr>
      </w:pPr>
      <w:r w:rsidRPr="0038467A">
        <w:rPr>
          <w:sz w:val="32"/>
          <w:szCs w:val="32"/>
          <w:lang w:val="cs-CZ"/>
        </w:rPr>
        <w:t>Bezpečná validace, rychlejší výroba:</w:t>
      </w:r>
      <w:r w:rsidRPr="0038467A">
        <w:rPr>
          <w:lang w:val="cs-CZ"/>
        </w:rPr>
        <w:br/>
      </w:r>
      <w:r w:rsidRPr="0038467A">
        <w:rPr>
          <w:b/>
          <w:bCs/>
          <w:sz w:val="28"/>
          <w:szCs w:val="28"/>
          <w:lang w:val="cs-CZ"/>
        </w:rPr>
        <w:t>Validační asistent ENGEL minimalizuje rizika a zkracuje dobu validace</w:t>
      </w:r>
    </w:p>
    <w:p w14:paraId="4C54DC96" w14:textId="77777777" w:rsidR="002C2B95" w:rsidRPr="0038467A" w:rsidRDefault="002C2B95" w:rsidP="002C2B95">
      <w:pPr>
        <w:rPr>
          <w:b/>
          <w:bCs/>
          <w:lang w:val="cs-CZ"/>
        </w:rPr>
      </w:pPr>
    </w:p>
    <w:p w14:paraId="6E9F4F04" w14:textId="65DAC4EE" w:rsidR="002C2B95" w:rsidRPr="0038467A" w:rsidRDefault="002C2B95" w:rsidP="00E84CCF">
      <w:pPr>
        <w:spacing w:after="120"/>
        <w:rPr>
          <w:b/>
          <w:bCs/>
          <w:lang w:val="cs-CZ"/>
        </w:rPr>
      </w:pPr>
      <w:r w:rsidRPr="0038467A">
        <w:rPr>
          <w:i/>
          <w:iCs/>
          <w:lang w:val="cs-CZ"/>
        </w:rPr>
        <w:t>Schwertberg - Rakousko, srpen 2025</w:t>
      </w:r>
      <w:r w:rsidRPr="0038467A">
        <w:rPr>
          <w:lang w:val="cs-CZ"/>
        </w:rPr>
        <w:br/>
      </w:r>
      <w:r w:rsidR="00636136" w:rsidRPr="0038467A">
        <w:rPr>
          <w:b/>
          <w:bCs/>
          <w:lang w:val="cs-CZ"/>
        </w:rPr>
        <w:t>Na veletrhu K 2025 představí společnost ENGEL validačního asistenta – revoluční kvalifikační a validační strategii pro digitální podporu validačních procesů v lékařské technice. Tento produktový balíček kombinuje strategická řešení a digitální asistenční systémy šité na míru výrobním procesům založeným na rizicích. Šetří čas a zdroje a zároveň výrazně snižuje procesní rizika – v plném souladu s předpisy, škálovatelný a praktický. Toto integrované řešení, vyvinuté ve spolupráci s inovativním partnerem HACK Formenbau GmbH a profesorem Thomasem Seelem, spojuje asistenční funkce na straně stroje, senzoriku integrovanou do nástroje a strukturovaných softwarových modulů do flexibilní sady nástrojů s otevřenou technologií pro vstřikovací procesy v souladu s GMP.</w:t>
      </w:r>
    </w:p>
    <w:p w14:paraId="199AA302" w14:textId="35C34CA8" w:rsidR="00636136" w:rsidRPr="0038467A" w:rsidRDefault="002C2B95" w:rsidP="00E84CCF">
      <w:pPr>
        <w:spacing w:after="120"/>
        <w:rPr>
          <w:lang w:val="cs-CZ"/>
        </w:rPr>
      </w:pPr>
      <w:r w:rsidRPr="0038467A">
        <w:rPr>
          <w:lang w:val="cs-CZ"/>
        </w:rPr>
        <w:br/>
      </w:r>
      <w:r w:rsidR="001F42FD" w:rsidRPr="0038467A">
        <w:rPr>
          <w:b/>
          <w:bCs/>
          <w:lang w:val="cs-CZ"/>
        </w:rPr>
        <w:t>Efektivní validace v souladu s předpisy</w:t>
      </w:r>
    </w:p>
    <w:p w14:paraId="70A73533" w14:textId="3E22E917" w:rsidR="002C2B95" w:rsidRPr="0038467A" w:rsidRDefault="001F42FD" w:rsidP="00E84CCF">
      <w:pPr>
        <w:spacing w:after="120"/>
        <w:rPr>
          <w:lang w:val="cs-CZ"/>
        </w:rPr>
      </w:pPr>
      <w:r w:rsidRPr="0038467A">
        <w:rPr>
          <w:lang w:val="cs-CZ"/>
        </w:rPr>
        <w:t>Výroba zdravotnických prostředků podléhá celosvětově obzvláště přísným regulačním požadavkům. Všechny vstřikovací buňky musí být kvalifikovány a výrobní procesy validovány, přičemž zejména validace vstřikovacího procesu klade komplexní výzvy. Asistent validace se konkrétně zabývá těmito požadavky a podporuje všechny čtyři fáze validace: Design Qualification (DQ), Installation Qualification (IQ), Operational Qualification (OQ) a Performance Qualification (PQ) až po úspěšnou procesní validaci (PV). Strategie validačního asistenta začíná tím, že bere v úvahu specifikaci uživatelských požadavků (URS) na straně produktu a její kritické atributy kvality (CQA). Na jejich základě jsou identifikovány kritické parametry procesu (CPP), které jsou použity k odvození kvalifikačních opatření založených na CPP. To také tvoří základ pro kombinaci potřebných digitálních modulů, což umožňuje kratší dodací lhůty projektu, nižší spotřebu zdrojů a vyšší spolehlivost procesu. Validační asistent je vhodný pro malé i velké výrobní šarže.</w:t>
      </w:r>
    </w:p>
    <w:p w14:paraId="200E9F12" w14:textId="55BC0C7A" w:rsidR="002C2B95" w:rsidRPr="0038467A" w:rsidRDefault="0051018E" w:rsidP="00E84CCF">
      <w:pPr>
        <w:spacing w:after="120"/>
        <w:rPr>
          <w:b/>
          <w:bCs/>
          <w:lang w:val="cs-CZ"/>
        </w:rPr>
      </w:pPr>
      <w:r w:rsidRPr="0038467A">
        <w:rPr>
          <w:b/>
          <w:bCs/>
          <w:lang w:val="cs-CZ"/>
        </w:rPr>
        <w:lastRenderedPageBreak/>
        <w:t>Komplexní digitální strategie</w:t>
      </w:r>
    </w:p>
    <w:p w14:paraId="5FEBF3A6" w14:textId="218C7DAC" w:rsidR="00356A13" w:rsidRPr="0038467A" w:rsidRDefault="00356A13" w:rsidP="00356A13">
      <w:pPr>
        <w:spacing w:after="120"/>
        <w:rPr>
          <w:color w:val="000000" w:themeColor="text1"/>
          <w:lang w:val="cs-CZ"/>
        </w:rPr>
      </w:pPr>
      <w:r w:rsidRPr="0038467A">
        <w:rPr>
          <w:lang w:val="cs-CZ"/>
        </w:rPr>
        <w:t xml:space="preserve">Validační asistent ENGEL se opírá o přesně sladěné komponenty: na straně stroje integruje digitální asistenční systémy ENGEL – </w:t>
      </w:r>
      <w:r w:rsidRPr="0038467A">
        <w:rPr>
          <w:color w:val="000000" w:themeColor="text1"/>
          <w:lang w:val="cs-CZ"/>
        </w:rPr>
        <w:t xml:space="preserve">včetně </w:t>
      </w:r>
      <w:hyperlink r:id="rId8" w:history="1">
        <w:r w:rsidR="00BB7A54" w:rsidRPr="00BB7A54">
          <w:rPr>
            <w:rStyle w:val="Hyperlink"/>
            <w:color w:val="000000" w:themeColor="text1"/>
            <w:lang w:val="cs-CZ"/>
          </w:rPr>
          <w:t>iQ clamp control</w:t>
        </w:r>
      </w:hyperlink>
      <w:r w:rsidR="00BB7A54" w:rsidRPr="00BB7A54">
        <w:rPr>
          <w:color w:val="000000" w:themeColor="text1"/>
          <w:lang w:val="cs-CZ"/>
        </w:rPr>
        <w:t xml:space="preserve">, </w:t>
      </w:r>
      <w:hyperlink r:id="rId9" w:history="1">
        <w:r w:rsidR="00BB7A54" w:rsidRPr="00BB7A54">
          <w:rPr>
            <w:rStyle w:val="Hyperlink"/>
            <w:color w:val="000000" w:themeColor="text1"/>
            <w:lang w:val="cs-CZ"/>
          </w:rPr>
          <w:t>iQ hold control</w:t>
        </w:r>
      </w:hyperlink>
      <w:r w:rsidR="00BB7A54" w:rsidRPr="00BB7A54">
        <w:rPr>
          <w:color w:val="000000" w:themeColor="text1"/>
          <w:lang w:val="cs-CZ"/>
        </w:rPr>
        <w:t xml:space="preserve">, </w:t>
      </w:r>
      <w:hyperlink r:id="rId10" w:history="1">
        <w:r w:rsidR="00BB7A54" w:rsidRPr="00BB7A54">
          <w:rPr>
            <w:rStyle w:val="Hyperlink"/>
            <w:color w:val="000000" w:themeColor="text1"/>
            <w:lang w:val="cs-CZ"/>
          </w:rPr>
          <w:t>iQ weight control</w:t>
        </w:r>
      </w:hyperlink>
      <w:r w:rsidR="00BB7A54" w:rsidRPr="00BB7A54">
        <w:rPr>
          <w:color w:val="000000" w:themeColor="text1"/>
          <w:lang w:val="cs-CZ"/>
        </w:rPr>
        <w:t xml:space="preserve">, </w:t>
      </w:r>
      <w:hyperlink r:id="rId11" w:history="1">
        <w:r w:rsidR="00BB7A54" w:rsidRPr="00BB7A54">
          <w:rPr>
            <w:rStyle w:val="Hyperlink"/>
            <w:color w:val="000000" w:themeColor="text1"/>
            <w:lang w:val="cs-CZ"/>
          </w:rPr>
          <w:t>iQ flow control</w:t>
        </w:r>
      </w:hyperlink>
      <w:r w:rsidRPr="0038467A">
        <w:rPr>
          <w:color w:val="000000" w:themeColor="text1"/>
          <w:lang w:val="cs-CZ"/>
        </w:rPr>
        <w:t xml:space="preserve"> a </w:t>
      </w:r>
      <w:hyperlink r:id="rId12" w:history="1">
        <w:r w:rsidR="00BC6815" w:rsidRPr="00BC6815">
          <w:rPr>
            <w:rStyle w:val="Hyperlink"/>
            <w:color w:val="000000" w:themeColor="text1"/>
            <w:lang w:val="cs-CZ"/>
          </w:rPr>
          <w:t>iQ process observer</w:t>
        </w:r>
      </w:hyperlink>
      <w:r w:rsidRPr="0038467A">
        <w:rPr>
          <w:color w:val="000000" w:themeColor="text1"/>
          <w:lang w:val="cs-CZ"/>
        </w:rPr>
        <w:t>. Tyto systémy podporují určování procesních oken a automaticky monitorují a řídí kritické procesní proměnné ve validovaném, a tedy schváleném výrobním prostředí. Uvedení produktu na trh se stále provádí s obvyklou spolehlivostí na základě definovaných kritérií kvality specifických pro produkt. Kromě toho tyto systémy pomáhají budovat porozumění procesům a podporují hloubkové analýzy procesů.</w:t>
      </w:r>
    </w:p>
    <w:p w14:paraId="2CA060F4" w14:textId="16A73A95" w:rsidR="0051018E" w:rsidRPr="0038467A" w:rsidRDefault="00356A13" w:rsidP="00356A13">
      <w:pPr>
        <w:spacing w:after="120"/>
        <w:rPr>
          <w:rFonts w:eastAsia="Calibri"/>
          <w:lang w:val="cs-CZ"/>
        </w:rPr>
      </w:pPr>
      <w:r w:rsidRPr="0038467A">
        <w:rPr>
          <w:color w:val="000000" w:themeColor="text1"/>
          <w:lang w:val="cs-CZ"/>
        </w:rPr>
        <w:t xml:space="preserve">Na veletrhu K předvádí společnost ENGEL validačního asistenta na </w:t>
      </w:r>
      <w:hyperlink r:id="rId13" w:history="1">
        <w:r w:rsidRPr="0038467A">
          <w:rPr>
            <w:rStyle w:val="Hyperlink"/>
            <w:color w:val="000000" w:themeColor="text1"/>
            <w:lang w:val="cs-CZ"/>
          </w:rPr>
          <w:t>vstřikovacím stroji e-motion 280 combi MW</w:t>
        </w:r>
      </w:hyperlink>
      <w:r w:rsidRPr="0038467A">
        <w:rPr>
          <w:color w:val="000000" w:themeColor="text1"/>
          <w:lang w:val="cs-CZ"/>
        </w:rPr>
        <w:t xml:space="preserve"> – jádru progresivního výrobního řešení pro vysoce komplexní 24jamkové destičky a víčka pro buněčné kultury. Inovativní vysoce výkonná </w:t>
      </w:r>
      <w:r w:rsidRPr="0038467A">
        <w:rPr>
          <w:lang w:val="cs-CZ"/>
        </w:rPr>
        <w:t xml:space="preserve">technologie forem Variotwinstack od společnosti Hack Formenbau výrazně snižuje složitost konvenčních etážových forem a zároveň zkracuje dobu údržby a přípravy. </w:t>
      </w:r>
    </w:p>
    <w:p w14:paraId="4CDD3949" w14:textId="041EDB28" w:rsidR="0051018E" w:rsidRPr="0038467A" w:rsidRDefault="0051018E" w:rsidP="00E84CCF">
      <w:pPr>
        <w:spacing w:after="120"/>
        <w:rPr>
          <w:rFonts w:eastAsia="Calibri"/>
          <w:lang w:val="cs-CZ"/>
        </w:rPr>
      </w:pPr>
      <w:r w:rsidRPr="0038467A">
        <w:rPr>
          <w:rFonts w:eastAsia="Calibri"/>
          <w:lang w:val="cs-CZ"/>
        </w:rPr>
        <w:t xml:space="preserve">Maximální spolehlivost a efektivitu procesu zajišťuje inteligentní senzorový systém HACK® moldlife® sense, který v reálném čase nepřetržitě monitoruje klíčové parametry, jako je vyrovnání formy, dýchání, teplotní profil a akustika. Údaje o formě se agregují s daty ze senzorů stroje prostřednictvím rozhraní EUROMAP 82.5 přímo na řídicí jednotce ENGEL. </w:t>
      </w:r>
    </w:p>
    <w:p w14:paraId="6BF933CD" w14:textId="4A020733" w:rsidR="002C2B95" w:rsidRPr="0038467A" w:rsidRDefault="0051018E" w:rsidP="00E84CCF">
      <w:pPr>
        <w:spacing w:after="120"/>
        <w:rPr>
          <w:lang w:val="cs-CZ"/>
        </w:rPr>
      </w:pPr>
      <w:r w:rsidRPr="0038467A">
        <w:rPr>
          <w:rFonts w:eastAsia="Calibri"/>
          <w:lang w:val="cs-CZ"/>
        </w:rPr>
        <w:t>Systém je doplněn interaktivním modulem řízení údržby, který zajišťuje maximální produktivitu a konzistentní kvalitu dílů. Validační asistent ENGEL navíc poskytuje strukturované prvky dokumentace, jako jsou kontrolní seznamy pro virtuální návrh experimentů (DoE</w:t>
      </w:r>
      <w:r w:rsidR="000748B0">
        <w:rPr>
          <w:rFonts w:eastAsia="Calibri"/>
          <w:lang w:val="cs-CZ"/>
        </w:rPr>
        <w:t>s</w:t>
      </w:r>
      <w:r w:rsidRPr="0038467A">
        <w:rPr>
          <w:rFonts w:eastAsia="Calibri"/>
          <w:lang w:val="cs-CZ"/>
        </w:rPr>
        <w:t>), které se ověřují pomocí sníženého počtu skutečných DoE</w:t>
      </w:r>
      <w:r w:rsidR="000748B0">
        <w:rPr>
          <w:rFonts w:eastAsia="Calibri"/>
          <w:lang w:val="cs-CZ"/>
        </w:rPr>
        <w:t>s</w:t>
      </w:r>
      <w:r w:rsidRPr="0038467A">
        <w:rPr>
          <w:rFonts w:eastAsia="Calibri"/>
          <w:lang w:val="cs-CZ"/>
        </w:rPr>
        <w:t>, spolu s digitální dokumentací stroje.</w:t>
      </w:r>
    </w:p>
    <w:p w14:paraId="7355059D" w14:textId="58D9BCB4" w:rsidR="002C2B95" w:rsidRPr="0038467A" w:rsidRDefault="0051018E" w:rsidP="00E84CCF">
      <w:pPr>
        <w:spacing w:after="120"/>
        <w:rPr>
          <w:lang w:val="cs-CZ"/>
        </w:rPr>
      </w:pPr>
      <w:r w:rsidRPr="0038467A">
        <w:rPr>
          <w:b/>
          <w:bCs/>
          <w:lang w:val="cs-CZ"/>
        </w:rPr>
        <w:lastRenderedPageBreak/>
        <w:t>Od návrhu po rekvalifikaci</w:t>
      </w:r>
    </w:p>
    <w:p w14:paraId="1FC55FE2" w14:textId="092FA031" w:rsidR="002C2B95" w:rsidRPr="0038467A" w:rsidRDefault="00506EEB" w:rsidP="00E84CCF">
      <w:pPr>
        <w:spacing w:after="120"/>
        <w:rPr>
          <w:lang w:val="cs-CZ"/>
        </w:rPr>
      </w:pPr>
      <w:r w:rsidRPr="0038467A">
        <w:rPr>
          <w:lang w:val="cs-CZ"/>
        </w:rPr>
        <w:t>Ať už se jedná o počáteční validaci nebo rekvalifikaci – validační asistent ENGEL podporuje celý proces. Již ve fázi konceptu lze virtuální DoE</w:t>
      </w:r>
      <w:r w:rsidR="00B10EB6">
        <w:rPr>
          <w:lang w:val="cs-CZ"/>
        </w:rPr>
        <w:t>s</w:t>
      </w:r>
      <w:r w:rsidRPr="0038467A">
        <w:rPr>
          <w:lang w:val="cs-CZ"/>
        </w:rPr>
        <w:t xml:space="preserve"> použít k simulaci chování procesu a předběžnému vyhodnocení navržené kombinace stroje a formy pro kvalifikaci návrhu. To nejen šetří čas a náklady během kvalifikace (např. během milníků, jako jsou FTD, FIR, FOT, FAT, SAT), ale také snižuje procesní a produktová rizika, jakož i úsilí při provádění zkoušek na výrobní buňce. Kromě počáteční validace podporuje asistent také další opatření pro rekvalifikaci a revalidaci. Na základě snímání procesu nezávislého na stroji umožňuje validační asistent dokonce přenos ověřených procesních oken do jiných strojů ENGEL.</w:t>
      </w:r>
    </w:p>
    <w:p w14:paraId="71FC20B7" w14:textId="7C7CC634" w:rsidR="002C2B95" w:rsidRPr="0038467A" w:rsidRDefault="002C2B95" w:rsidP="00E84CCF">
      <w:pPr>
        <w:spacing w:after="120"/>
        <w:rPr>
          <w:lang w:val="cs-CZ"/>
        </w:rPr>
      </w:pPr>
      <w:r w:rsidRPr="0038467A">
        <w:rPr>
          <w:b/>
          <w:bCs/>
          <w:lang w:val="cs-CZ"/>
        </w:rPr>
        <w:t>Připraveno pro parametrické uvolnění</w:t>
      </w:r>
    </w:p>
    <w:p w14:paraId="707FEE7C" w14:textId="59CCA323" w:rsidR="002C2B95" w:rsidRPr="0038467A" w:rsidRDefault="00506EEB" w:rsidP="00E84CCF">
      <w:pPr>
        <w:spacing w:after="120"/>
        <w:rPr>
          <w:b/>
          <w:bCs/>
          <w:lang w:val="cs-CZ"/>
        </w:rPr>
      </w:pPr>
      <w:r w:rsidRPr="0038467A">
        <w:rPr>
          <w:lang w:val="cs-CZ"/>
        </w:rPr>
        <w:t>Hlavním cílem validačního asistenta ENGEL je podporovat budoucí strategie uvolňování, jako je parametrické uvolňování. V tomto přístupu již není uvádění produktů na trh založeno na testování každého jednotlivého konečného produktu, ale místo toho se spoléhá na platné monitorování kritických procesních parametrů (CPP).</w:t>
      </w:r>
    </w:p>
    <w:p w14:paraId="76ECFB5D" w14:textId="5D7B843A" w:rsidR="002C2B95" w:rsidRPr="0038467A" w:rsidRDefault="00506EEB" w:rsidP="00E84CCF">
      <w:pPr>
        <w:spacing w:after="120"/>
        <w:rPr>
          <w:lang w:val="cs-CZ"/>
        </w:rPr>
      </w:pPr>
      <w:r w:rsidRPr="0038467A">
        <w:rPr>
          <w:b/>
          <w:bCs/>
          <w:lang w:val="cs-CZ"/>
        </w:rPr>
        <w:lastRenderedPageBreak/>
        <w:t>Shoda s předpisy již od návrhu</w:t>
      </w:r>
    </w:p>
    <w:p w14:paraId="7C740369" w14:textId="71CB7D7A" w:rsidR="002C2B95" w:rsidRPr="0038467A" w:rsidRDefault="00506EEB" w:rsidP="00E84CCF">
      <w:pPr>
        <w:spacing w:after="120"/>
        <w:rPr>
          <w:b/>
          <w:bCs/>
          <w:lang w:val="cs-CZ"/>
        </w:rPr>
      </w:pPr>
      <w:r w:rsidRPr="0038467A">
        <w:rPr>
          <w:lang w:val="cs-CZ"/>
        </w:rPr>
        <w:t xml:space="preserve">Moduly validačního asistenta ENGEL jsou navrženy tak, aby splňovaly požadavky platných předpisů, včetně norem ISO, FDA, EU-GMP a norem specifických pro jednotlivé země. To platí pro kalibraci senzorů, uvádění digitálních asistenčních systémů do provozu, jakož i pro jejich aplikaci a dokumentaci výsledků. </w:t>
      </w:r>
      <w:r w:rsidR="002C2B95" w:rsidRPr="0038467A">
        <w:rPr>
          <w:lang w:val="cs-CZ"/>
        </w:rPr>
        <w:br/>
      </w:r>
    </w:p>
    <w:p w14:paraId="09B3D141" w14:textId="67409373" w:rsidR="002C2B95" w:rsidRPr="0038467A" w:rsidRDefault="00506EEB" w:rsidP="00E84CCF">
      <w:pPr>
        <w:spacing w:after="120"/>
        <w:rPr>
          <w:lang w:val="cs-CZ"/>
        </w:rPr>
      </w:pPr>
      <w:r w:rsidRPr="0038467A">
        <w:rPr>
          <w:b/>
          <w:bCs/>
          <w:lang w:val="cs-CZ"/>
        </w:rPr>
        <w:t>Validace připravená na budoucnost</w:t>
      </w:r>
    </w:p>
    <w:p w14:paraId="526F52B3" w14:textId="27C867FC" w:rsidR="002C2B95" w:rsidRPr="0038467A" w:rsidRDefault="00506EEB" w:rsidP="00E84CCF">
      <w:pPr>
        <w:spacing w:after="120"/>
        <w:rPr>
          <w:lang w:val="cs-CZ"/>
        </w:rPr>
      </w:pPr>
      <w:r w:rsidRPr="0038467A">
        <w:rPr>
          <w:lang w:val="cs-CZ"/>
        </w:rPr>
        <w:t xml:space="preserve">Validační asistent ENGEL se neomezuje pouze na jednotlivé projekty. Slouží jako platforma pro validaci připravenou na budoucnost, minimalizující rizika, časově a nákladově efektivní. K dispozici jsou všichni potřební digitální asistenti a komplexní průvodce jejich použitím. To je doplněno rozsáhlým modulárním programem školení a podpory, který zajistí rychlou a bezpečnou implementaci. Na veletrhu K 2025 společnost ENGEL poprvé představí kompletní produktový balíček – milník na cestě k plně digitálně podporované validaci </w:t>
      </w:r>
      <w:r w:rsidR="00B825DB" w:rsidRPr="0038467A">
        <w:rPr>
          <w:lang w:val="cs-CZ"/>
        </w:rPr>
        <w:t xml:space="preserve">vstřikování </w:t>
      </w:r>
      <w:r w:rsidRPr="0038467A">
        <w:rPr>
          <w:lang w:val="cs-CZ"/>
        </w:rPr>
        <w:t xml:space="preserve">v oblasti </w:t>
      </w:r>
      <w:r w:rsidR="00B825DB">
        <w:rPr>
          <w:lang w:val="cs-CZ"/>
        </w:rPr>
        <w:t>medical</w:t>
      </w:r>
      <w:r w:rsidRPr="0038467A">
        <w:rPr>
          <w:lang w:val="cs-CZ"/>
        </w:rPr>
        <w:t>.</w:t>
      </w:r>
    </w:p>
    <w:p w14:paraId="6A905F72" w14:textId="77777777" w:rsidR="00463569" w:rsidRPr="0038467A" w:rsidRDefault="00463569" w:rsidP="00463569">
      <w:pPr>
        <w:spacing w:after="120"/>
        <w:rPr>
          <w:lang w:val="cs-CZ"/>
        </w:rPr>
      </w:pPr>
    </w:p>
    <w:p w14:paraId="3FAA7C12" w14:textId="77777777" w:rsidR="00463569" w:rsidRPr="0038467A" w:rsidRDefault="00563D49" w:rsidP="00463569">
      <w:pPr>
        <w:spacing w:after="120"/>
        <w:rPr>
          <w:b/>
          <w:bCs/>
          <w:color w:val="8AB73E"/>
          <w:szCs w:val="22"/>
          <w:u w:val="single"/>
          <w:lang w:val="cs-CZ"/>
        </w:rPr>
      </w:pPr>
      <w:hyperlink r:id="rId14" w:history="1">
        <w:r w:rsidR="00463569" w:rsidRPr="0038467A">
          <w:rPr>
            <w:rStyle w:val="Hyperlink"/>
            <w:b/>
            <w:bCs/>
            <w:color w:val="8AB73E"/>
            <w:szCs w:val="22"/>
            <w:lang w:val="cs-CZ"/>
          </w:rPr>
          <w:t>Navštivte nás na veletrhu K 2025 v Düsseldorfu, hala 15, stánek B42 &amp; C58</w:t>
        </w:r>
      </w:hyperlink>
    </w:p>
    <w:p w14:paraId="0A668859" w14:textId="77777777" w:rsidR="00463569" w:rsidRDefault="00463569" w:rsidP="00463569">
      <w:pPr>
        <w:spacing w:after="120"/>
        <w:rPr>
          <w:szCs w:val="22"/>
          <w:lang w:val="cs-CZ"/>
        </w:rPr>
      </w:pPr>
    </w:p>
    <w:p w14:paraId="3E654CCE" w14:textId="514108B8" w:rsidR="00563D49" w:rsidRDefault="00563D49" w:rsidP="00463569">
      <w:pPr>
        <w:spacing w:after="120"/>
        <w:rPr>
          <w:szCs w:val="22"/>
          <w:lang w:val="cs-CZ"/>
        </w:rPr>
      </w:pPr>
      <w:r w:rsidRPr="0038467A">
        <w:rPr>
          <w:szCs w:val="22"/>
          <w:lang w:val="cs-CZ"/>
        </w:rPr>
        <w:t>Obrázky</w:t>
      </w:r>
    </w:p>
    <w:p w14:paraId="20126ACE" w14:textId="77777777" w:rsidR="00563D49" w:rsidRPr="0038467A" w:rsidRDefault="00563D49" w:rsidP="00563D49">
      <w:pPr>
        <w:rPr>
          <w:i/>
          <w:iCs/>
          <w:sz w:val="20"/>
          <w:lang w:val="cs-CZ"/>
        </w:rPr>
      </w:pPr>
      <w:r w:rsidRPr="0038467A">
        <w:rPr>
          <w:i/>
          <w:iCs/>
          <w:sz w:val="20"/>
          <w:lang w:val="cs-CZ"/>
        </w:rPr>
        <w:t xml:space="preserve">Obrázek 1: </w:t>
      </w:r>
      <w:r w:rsidRPr="0038467A">
        <w:rPr>
          <w:b/>
          <w:bCs/>
          <w:i/>
          <w:iCs/>
          <w:sz w:val="20"/>
          <w:lang w:val="cs-CZ"/>
        </w:rPr>
        <w:t>Plně elektrická přesnost pro validované procesy MedTech:</w:t>
      </w:r>
      <w:r w:rsidRPr="0038467A">
        <w:rPr>
          <w:i/>
          <w:iCs/>
          <w:sz w:val="20"/>
          <w:lang w:val="cs-CZ"/>
        </w:rPr>
        <w:t xml:space="preserve"> ENGEL e-motion 280 combi M v provozu s validačním asistentem.</w:t>
      </w:r>
      <w:r w:rsidRPr="0038467A">
        <w:rPr>
          <w:i/>
          <w:iCs/>
          <w:sz w:val="20"/>
          <w:lang w:val="cs-CZ"/>
        </w:rPr>
        <w:br/>
        <w:t xml:space="preserve">Obrázek 2: </w:t>
      </w:r>
      <w:r w:rsidRPr="0038467A">
        <w:rPr>
          <w:b/>
          <w:bCs/>
          <w:i/>
          <w:iCs/>
          <w:sz w:val="20"/>
          <w:lang w:val="cs-CZ"/>
        </w:rPr>
        <w:t>Ověřená, transparentní, bezpečná:</w:t>
      </w:r>
      <w:r w:rsidRPr="0038467A">
        <w:rPr>
          <w:i/>
          <w:iCs/>
          <w:sz w:val="20"/>
          <w:lang w:val="cs-CZ"/>
        </w:rPr>
        <w:t xml:space="preserve"> Komplexní destička pro buněčné kultury se vyrábí na stroji ENGEL e-motion 280 combi M a splňuje všechny požadavky na reprodukovatelnost a sledovatelnost – díky validačnímu asistentovi.</w:t>
      </w:r>
    </w:p>
    <w:p w14:paraId="351EE64A" w14:textId="7D98120F" w:rsidR="00563D49" w:rsidRPr="0038467A" w:rsidRDefault="00563D49" w:rsidP="00563D49">
      <w:pPr>
        <w:rPr>
          <w:i/>
          <w:iCs/>
          <w:sz w:val="20"/>
          <w:lang w:val="cs-CZ"/>
        </w:rPr>
      </w:pPr>
    </w:p>
    <w:p w14:paraId="2FA702B0" w14:textId="77777777" w:rsidR="00563D49" w:rsidRPr="0038467A" w:rsidRDefault="00563D49" w:rsidP="00463569">
      <w:pPr>
        <w:spacing w:after="120"/>
        <w:rPr>
          <w:szCs w:val="22"/>
          <w:lang w:val="cs-CZ"/>
        </w:rPr>
      </w:pPr>
    </w:p>
    <w:p w14:paraId="2564496F" w14:textId="77777777" w:rsidR="00463569" w:rsidRPr="0038467A" w:rsidRDefault="00463569" w:rsidP="00463569">
      <w:pPr>
        <w:tabs>
          <w:tab w:val="left" w:pos="8140"/>
        </w:tabs>
        <w:spacing w:after="120"/>
        <w:rPr>
          <w:szCs w:val="22"/>
          <w:lang w:val="cs-CZ"/>
        </w:rPr>
      </w:pPr>
      <w:r w:rsidRPr="0038467A">
        <w:rPr>
          <w:szCs w:val="22"/>
          <w:lang w:val="cs-CZ"/>
        </w:rPr>
        <w:t>Obrázky: ENGEL</w:t>
      </w:r>
      <w:r w:rsidRPr="0038467A">
        <w:rPr>
          <w:szCs w:val="22"/>
          <w:lang w:val="cs-CZ"/>
        </w:rPr>
        <w:tab/>
      </w:r>
    </w:p>
    <w:p w14:paraId="1361F21B" w14:textId="77777777" w:rsidR="00463569" w:rsidRPr="0038467A" w:rsidRDefault="00463569" w:rsidP="00463569">
      <w:pPr>
        <w:spacing w:after="120"/>
        <w:rPr>
          <w:szCs w:val="22"/>
          <w:lang w:val="cs-CZ"/>
        </w:rPr>
      </w:pPr>
    </w:p>
    <w:p w14:paraId="20DE664E" w14:textId="77777777" w:rsidR="00463569" w:rsidRPr="0038467A" w:rsidRDefault="00463569" w:rsidP="00463569">
      <w:pPr>
        <w:spacing w:after="120"/>
        <w:rPr>
          <w:b/>
          <w:bCs/>
          <w:iCs/>
          <w:sz w:val="20"/>
          <w:lang w:val="cs-CZ"/>
        </w:rPr>
      </w:pPr>
      <w:r w:rsidRPr="0038467A">
        <w:rPr>
          <w:b/>
          <w:bCs/>
          <w:iCs/>
          <w:sz w:val="20"/>
          <w:lang w:val="cs-CZ"/>
        </w:rPr>
        <w:t xml:space="preserve">ENGEL AUSTRIA GmbH </w:t>
      </w:r>
    </w:p>
    <w:p w14:paraId="0F077650" w14:textId="77777777" w:rsidR="00463569" w:rsidRPr="0038467A" w:rsidRDefault="00463569" w:rsidP="00463569">
      <w:pPr>
        <w:spacing w:after="120"/>
        <w:rPr>
          <w:iCs/>
          <w:sz w:val="20"/>
          <w:lang w:val="cs-CZ"/>
        </w:rPr>
      </w:pPr>
      <w:r w:rsidRPr="0038467A">
        <w:rPr>
          <w:iCs/>
          <w:sz w:val="20"/>
          <w:lang w:val="cs-CZ"/>
        </w:rPr>
        <w:t xml:space="preserve">Společnost ENGEL je jedním z předních světových výrobců strojů na zpracování plastů. Skupina ENGEL dnes nabízí celou řadu technologických modulů pro zpracování plastů jako jediný dodavatel: vstřikovací stroje na termoplasty a elastomery spolu s automatizací, ale také jednotlivé komponenty, které jsou na trhu konkurenceschopné a úspěšné. S deseti výrobními závody v Evropě, Severní Americe a Asii (Čína a Korea) a dceřinými společnostmi a zastoupeními ve více než 85 zemích nabízí společnost ENGEL svým zákazníkům po celém světě optimální podporu, kterou potřebují, aby mohli konkurovat a uspět s novými technologiemi a špičkovými výrobními systémy. </w:t>
      </w:r>
    </w:p>
    <w:p w14:paraId="2C52827A" w14:textId="77777777" w:rsidR="00463569" w:rsidRPr="0038467A" w:rsidRDefault="00463569" w:rsidP="00463569">
      <w:pPr>
        <w:spacing w:after="120"/>
        <w:rPr>
          <w:b/>
          <w:bCs/>
          <w:iCs/>
          <w:sz w:val="20"/>
          <w:lang w:val="cs-CZ"/>
        </w:rPr>
      </w:pPr>
    </w:p>
    <w:p w14:paraId="74644AA0" w14:textId="77777777" w:rsidR="00463569" w:rsidRPr="0038467A" w:rsidRDefault="00463569" w:rsidP="00463569">
      <w:pPr>
        <w:spacing w:after="120"/>
        <w:rPr>
          <w:iCs/>
          <w:sz w:val="20"/>
          <w:lang w:val="cs-CZ"/>
        </w:rPr>
      </w:pPr>
      <w:r w:rsidRPr="0038467A">
        <w:rPr>
          <w:b/>
          <w:bCs/>
          <w:iCs/>
          <w:sz w:val="20"/>
          <w:lang w:val="cs-CZ"/>
        </w:rPr>
        <w:t xml:space="preserve">Kontakt pro novináře: </w:t>
      </w:r>
      <w:r w:rsidRPr="0038467A">
        <w:rPr>
          <w:b/>
          <w:bCs/>
          <w:iCs/>
          <w:sz w:val="20"/>
          <w:lang w:val="cs-CZ"/>
        </w:rPr>
        <w:br/>
      </w:r>
      <w:r w:rsidRPr="0038467A">
        <w:rPr>
          <w:iCs/>
          <w:sz w:val="20"/>
          <w:lang w:val="cs-CZ"/>
        </w:rPr>
        <w:t xml:space="preserve">Tobias Neumann, tiskový mluvčí, ENGEL AUSTRIA GmbHLudwig-Engel-Straße 1, A-4311 Schwertberg, Rakousko Tel.: +43 (0)50 6207 3807 e-mail: </w:t>
      </w:r>
      <w:bookmarkStart w:id="0" w:name="_Hlk130909927"/>
      <w:r w:rsidRPr="0038467A">
        <w:fldChar w:fldCharType="begin"/>
      </w:r>
      <w:r w:rsidRPr="0038467A">
        <w:rPr>
          <w:lang w:val="cs-CZ"/>
        </w:rPr>
        <w:instrText>HYPERLINK "mailto:tobias.neumann@engel.at"</w:instrText>
      </w:r>
      <w:r w:rsidRPr="0038467A">
        <w:fldChar w:fldCharType="separate"/>
      </w:r>
      <w:r w:rsidRPr="0038467A">
        <w:rPr>
          <w:rStyle w:val="Hyperlink"/>
          <w:iCs/>
          <w:color w:val="000000"/>
          <w:sz w:val="20"/>
          <w:lang w:val="cs-CZ"/>
        </w:rPr>
        <w:t>tobias.neumann@engel.at</w:t>
      </w:r>
      <w:r w:rsidRPr="0038467A">
        <w:rPr>
          <w:rStyle w:val="Hyperlink"/>
          <w:iCs/>
          <w:color w:val="000000"/>
          <w:sz w:val="20"/>
          <w:lang w:val="cs-CZ"/>
        </w:rPr>
        <w:fldChar w:fldCharType="end"/>
      </w:r>
      <w:r w:rsidRPr="0038467A">
        <w:rPr>
          <w:iCs/>
          <w:sz w:val="20"/>
          <w:lang w:val="cs-CZ"/>
        </w:rPr>
        <w:t xml:space="preserve"> </w:t>
      </w:r>
    </w:p>
    <w:p w14:paraId="468FC0D4" w14:textId="77777777" w:rsidR="00463569" w:rsidRPr="0038467A" w:rsidRDefault="00463569" w:rsidP="00463569">
      <w:pPr>
        <w:tabs>
          <w:tab w:val="left" w:pos="1210"/>
        </w:tabs>
        <w:spacing w:after="120"/>
        <w:rPr>
          <w:b/>
          <w:bCs/>
          <w:iCs/>
          <w:sz w:val="20"/>
          <w:lang w:val="cs-CZ"/>
        </w:rPr>
      </w:pPr>
    </w:p>
    <w:bookmarkEnd w:id="0"/>
    <w:p w14:paraId="13E563A7" w14:textId="77777777" w:rsidR="00463569" w:rsidRPr="0038467A" w:rsidRDefault="00463569" w:rsidP="00463569">
      <w:pPr>
        <w:spacing w:after="120"/>
        <w:rPr>
          <w:sz w:val="20"/>
          <w:lang w:val="cs-CZ"/>
        </w:rPr>
      </w:pPr>
      <w:r w:rsidRPr="0038467A">
        <w:rPr>
          <w:sz w:val="20"/>
          <w:u w:val="single"/>
          <w:lang w:val="cs-CZ"/>
        </w:rPr>
        <w:t xml:space="preserve">Právní upozornění: </w:t>
      </w:r>
      <w:r w:rsidRPr="0038467A">
        <w:rPr>
          <w:sz w:val="20"/>
          <w:u w:val="single"/>
          <w:lang w:val="cs-CZ"/>
        </w:rPr>
        <w:br/>
      </w:r>
      <w:r w:rsidRPr="0038467A">
        <w:rPr>
          <w:sz w:val="20"/>
          <w:lang w:val="cs-CZ"/>
        </w:rPr>
        <w:t xml:space="preserve">Běžné názvy, obchodní názvy, názvy produktů a podobné názvy uvedené v této tiskové zprávě jsou chráněny </w:t>
      </w:r>
      <w:r w:rsidRPr="0038467A">
        <w:rPr>
          <w:sz w:val="20"/>
          <w:lang w:val="cs-CZ"/>
        </w:rPr>
        <w:lastRenderedPageBreak/>
        <w:t>autorským právem. Mohou také obsahovat ochranné známky a být jako takové chráněny, aniž by byly výslovně zvýrazněny.</w:t>
      </w:r>
    </w:p>
    <w:p w14:paraId="622CC0F4" w14:textId="77777777" w:rsidR="00463569" w:rsidRPr="0038467A" w:rsidRDefault="00463569" w:rsidP="00463569">
      <w:pPr>
        <w:tabs>
          <w:tab w:val="left" w:pos="6550"/>
        </w:tabs>
        <w:spacing w:after="120"/>
        <w:rPr>
          <w:sz w:val="20"/>
          <w:lang w:val="cs-CZ"/>
        </w:rPr>
      </w:pPr>
      <w:r w:rsidRPr="0038467A">
        <w:rPr>
          <w:sz w:val="20"/>
          <w:lang w:val="cs-CZ"/>
        </w:rPr>
        <w:t xml:space="preserve"> </w:t>
      </w:r>
      <w:r w:rsidRPr="0038467A">
        <w:rPr>
          <w:sz w:val="20"/>
          <w:lang w:val="cs-CZ"/>
        </w:rPr>
        <w:tab/>
      </w:r>
    </w:p>
    <w:p w14:paraId="69F32ED3" w14:textId="77777777" w:rsidR="00463569" w:rsidRPr="0038467A" w:rsidRDefault="00563D49" w:rsidP="00463569">
      <w:pPr>
        <w:spacing w:after="120"/>
        <w:rPr>
          <w:color w:val="8AB73E"/>
          <w:szCs w:val="22"/>
          <w:lang w:val="cs-CZ"/>
        </w:rPr>
      </w:pPr>
      <w:hyperlink r:id="rId15" w:history="1">
        <w:r w:rsidR="00463569" w:rsidRPr="0038467A">
          <w:rPr>
            <w:rStyle w:val="Hyperlink"/>
            <w:color w:val="8AB73E"/>
            <w:lang w:val="cs-CZ"/>
          </w:rPr>
          <w:t>www.engelglobal.com</w:t>
        </w:r>
      </w:hyperlink>
    </w:p>
    <w:sectPr w:rsidR="00463569" w:rsidRPr="0038467A" w:rsidSect="00563D49">
      <w:headerReference w:type="default" r:id="rId16"/>
      <w:footerReference w:type="default" r:id="rId17"/>
      <w:pgSz w:w="11906" w:h="16838"/>
      <w:pgMar w:top="2269" w:right="707" w:bottom="1276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BB53" w14:textId="77777777" w:rsidR="0024444A" w:rsidRDefault="0024444A">
      <w:r>
        <w:separator/>
      </w:r>
    </w:p>
  </w:endnote>
  <w:endnote w:type="continuationSeparator" w:id="0">
    <w:p w14:paraId="4ABCCD16" w14:textId="77777777" w:rsidR="0024444A" w:rsidRDefault="0024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24AE" w14:textId="77777777" w:rsidR="0024444A" w:rsidRDefault="0024444A">
      <w:r>
        <w:separator/>
      </w:r>
    </w:p>
  </w:footnote>
  <w:footnote w:type="continuationSeparator" w:id="0">
    <w:p w14:paraId="2F1FBBAA" w14:textId="77777777" w:rsidR="0024444A" w:rsidRDefault="0024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5C2B7BAD" w14:textId="77777777" w:rsidR="00E16AAD" w:rsidRDefault="00E16AAD" w:rsidP="00E16AAD">
    <w:pPr>
      <w:spacing w:before="20"/>
      <w:ind w:left="20"/>
      <w:jc w:val="right"/>
      <w:rPr>
        <w:rFonts w:ascii="Arial Black" w:hAnsi="Arial Black"/>
        <w:sz w:val="30"/>
      </w:rPr>
    </w:pPr>
    <w:proofErr w:type="spellStart"/>
    <w:r>
      <w:rPr>
        <w:color w:val="1A161B"/>
        <w:sz w:val="30"/>
      </w:rPr>
      <w:t>tisk</w:t>
    </w:r>
    <w:proofErr w:type="spellEnd"/>
    <w:r>
      <w:rPr>
        <w:color w:val="1A161B"/>
        <w:sz w:val="30"/>
      </w:rPr>
      <w:t>|</w:t>
    </w:r>
    <w:r>
      <w:rPr>
        <w:rFonts w:ascii="Times New Roman" w:hAnsi="Times New Roman"/>
        <w:color w:val="1A161B"/>
        <w:spacing w:val="13"/>
        <w:sz w:val="30"/>
      </w:rPr>
      <w:t xml:space="preserve"> </w:t>
    </w:r>
    <w:proofErr w:type="spellStart"/>
    <w:r>
      <w:rPr>
        <w:rFonts w:ascii="Arial Black" w:hAnsi="Arial Black"/>
        <w:color w:val="94C039"/>
        <w:sz w:val="30"/>
      </w:rPr>
      <w:t>tiskov</w:t>
    </w:r>
    <w:r w:rsidRPr="00C0659F">
      <w:rPr>
        <w:b/>
        <w:bCs/>
        <w:color w:val="94C039"/>
        <w:sz w:val="30"/>
      </w:rPr>
      <w:t>á</w:t>
    </w:r>
    <w:proofErr w:type="spellEnd"/>
    <w:r>
      <w:rPr>
        <w:rFonts w:ascii="Times New Roman" w:hAnsi="Times New Roman"/>
        <w:color w:val="94C039"/>
        <w:spacing w:val="12"/>
        <w:sz w:val="30"/>
      </w:rPr>
      <w:t xml:space="preserve"> </w:t>
    </w:r>
    <w:proofErr w:type="spellStart"/>
    <w:r>
      <w:rPr>
        <w:rFonts w:ascii="Arial Black" w:hAnsi="Arial Black"/>
        <w:color w:val="94C039"/>
        <w:spacing w:val="-2"/>
        <w:sz w:val="30"/>
      </w:rPr>
      <w:t>zpr</w:t>
    </w:r>
    <w:r>
      <w:rPr>
        <w:color w:val="94C039"/>
        <w:spacing w:val="-2"/>
        <w:sz w:val="30"/>
      </w:rPr>
      <w:t>á</w:t>
    </w:r>
    <w:r>
      <w:rPr>
        <w:rFonts w:ascii="Arial Black" w:hAnsi="Arial Black"/>
        <w:color w:val="94C039"/>
        <w:spacing w:val="-2"/>
        <w:sz w:val="30"/>
      </w:rPr>
      <w:t>va</w:t>
    </w:r>
    <w:proofErr w:type="spellEnd"/>
  </w:p>
  <w:p w14:paraId="2AE0E7A3" w14:textId="4AF961D8" w:rsidR="00330AAD" w:rsidRDefault="00330AAD" w:rsidP="00E16AA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5395"/>
    <w:rsid w:val="00025A78"/>
    <w:rsid w:val="000262B1"/>
    <w:rsid w:val="000367DB"/>
    <w:rsid w:val="000435EF"/>
    <w:rsid w:val="000467D4"/>
    <w:rsid w:val="00055345"/>
    <w:rsid w:val="00061FC8"/>
    <w:rsid w:val="00064998"/>
    <w:rsid w:val="00064BEF"/>
    <w:rsid w:val="000748B0"/>
    <w:rsid w:val="000823E0"/>
    <w:rsid w:val="0008365F"/>
    <w:rsid w:val="00090455"/>
    <w:rsid w:val="00091D0C"/>
    <w:rsid w:val="00092329"/>
    <w:rsid w:val="00093FB9"/>
    <w:rsid w:val="000A2855"/>
    <w:rsid w:val="000A409F"/>
    <w:rsid w:val="000A54A9"/>
    <w:rsid w:val="000B1FEE"/>
    <w:rsid w:val="000B4A72"/>
    <w:rsid w:val="000B514D"/>
    <w:rsid w:val="000D52B9"/>
    <w:rsid w:val="000D64E1"/>
    <w:rsid w:val="000D67D0"/>
    <w:rsid w:val="000E454F"/>
    <w:rsid w:val="000E6E1D"/>
    <w:rsid w:val="000F3478"/>
    <w:rsid w:val="000F3615"/>
    <w:rsid w:val="000F609A"/>
    <w:rsid w:val="000F6E88"/>
    <w:rsid w:val="000F73E4"/>
    <w:rsid w:val="00103203"/>
    <w:rsid w:val="00111A5F"/>
    <w:rsid w:val="00115FD5"/>
    <w:rsid w:val="001326EE"/>
    <w:rsid w:val="00134125"/>
    <w:rsid w:val="0013655D"/>
    <w:rsid w:val="00141247"/>
    <w:rsid w:val="00150748"/>
    <w:rsid w:val="001538E4"/>
    <w:rsid w:val="00154D92"/>
    <w:rsid w:val="001646C4"/>
    <w:rsid w:val="00173426"/>
    <w:rsid w:val="001757ED"/>
    <w:rsid w:val="00176B68"/>
    <w:rsid w:val="001805E0"/>
    <w:rsid w:val="00187841"/>
    <w:rsid w:val="00192CCE"/>
    <w:rsid w:val="001947D6"/>
    <w:rsid w:val="001A0ED9"/>
    <w:rsid w:val="001A429D"/>
    <w:rsid w:val="001A6570"/>
    <w:rsid w:val="001A687D"/>
    <w:rsid w:val="001C2E04"/>
    <w:rsid w:val="001C5604"/>
    <w:rsid w:val="001C5B8A"/>
    <w:rsid w:val="001C77ED"/>
    <w:rsid w:val="001D0402"/>
    <w:rsid w:val="001D1F4E"/>
    <w:rsid w:val="001E1F1C"/>
    <w:rsid w:val="001E25E6"/>
    <w:rsid w:val="001E4B0D"/>
    <w:rsid w:val="001E7B67"/>
    <w:rsid w:val="001F22E3"/>
    <w:rsid w:val="001F42FD"/>
    <w:rsid w:val="00200A0F"/>
    <w:rsid w:val="00205738"/>
    <w:rsid w:val="00206056"/>
    <w:rsid w:val="002228C0"/>
    <w:rsid w:val="00223F7A"/>
    <w:rsid w:val="00227B5E"/>
    <w:rsid w:val="002326FE"/>
    <w:rsid w:val="0023362F"/>
    <w:rsid w:val="00241B64"/>
    <w:rsid w:val="0024444A"/>
    <w:rsid w:val="00245D0B"/>
    <w:rsid w:val="00251CD1"/>
    <w:rsid w:val="00266B45"/>
    <w:rsid w:val="00267298"/>
    <w:rsid w:val="00274F2C"/>
    <w:rsid w:val="00275321"/>
    <w:rsid w:val="00275F4C"/>
    <w:rsid w:val="00282F55"/>
    <w:rsid w:val="002834A6"/>
    <w:rsid w:val="002843DC"/>
    <w:rsid w:val="00285E24"/>
    <w:rsid w:val="00291D8A"/>
    <w:rsid w:val="002920FE"/>
    <w:rsid w:val="00296D79"/>
    <w:rsid w:val="002A03A5"/>
    <w:rsid w:val="002A3967"/>
    <w:rsid w:val="002B1C7A"/>
    <w:rsid w:val="002B5771"/>
    <w:rsid w:val="002C2AB5"/>
    <w:rsid w:val="002C2B95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819"/>
    <w:rsid w:val="00353D48"/>
    <w:rsid w:val="003540D7"/>
    <w:rsid w:val="00354800"/>
    <w:rsid w:val="00355986"/>
    <w:rsid w:val="003566C9"/>
    <w:rsid w:val="00356A13"/>
    <w:rsid w:val="003707E7"/>
    <w:rsid w:val="00374742"/>
    <w:rsid w:val="00380443"/>
    <w:rsid w:val="0038467A"/>
    <w:rsid w:val="00386BD0"/>
    <w:rsid w:val="00386D9C"/>
    <w:rsid w:val="003905A4"/>
    <w:rsid w:val="00391598"/>
    <w:rsid w:val="00391CA5"/>
    <w:rsid w:val="003942A6"/>
    <w:rsid w:val="003A1C60"/>
    <w:rsid w:val="003B74B8"/>
    <w:rsid w:val="003C40A4"/>
    <w:rsid w:val="003C66D9"/>
    <w:rsid w:val="004003AB"/>
    <w:rsid w:val="00400A9A"/>
    <w:rsid w:val="00405096"/>
    <w:rsid w:val="004116E3"/>
    <w:rsid w:val="004166F3"/>
    <w:rsid w:val="0041671C"/>
    <w:rsid w:val="00425F90"/>
    <w:rsid w:val="00430A89"/>
    <w:rsid w:val="00431C85"/>
    <w:rsid w:val="00440866"/>
    <w:rsid w:val="00442618"/>
    <w:rsid w:val="00450D9F"/>
    <w:rsid w:val="00451224"/>
    <w:rsid w:val="00456A23"/>
    <w:rsid w:val="00462CAC"/>
    <w:rsid w:val="0046305D"/>
    <w:rsid w:val="00463569"/>
    <w:rsid w:val="00470E7D"/>
    <w:rsid w:val="00474E5A"/>
    <w:rsid w:val="00475D95"/>
    <w:rsid w:val="004921E6"/>
    <w:rsid w:val="00492F7E"/>
    <w:rsid w:val="00496BCB"/>
    <w:rsid w:val="004A7CB5"/>
    <w:rsid w:val="004B1AAA"/>
    <w:rsid w:val="004C3E12"/>
    <w:rsid w:val="004C7426"/>
    <w:rsid w:val="004D336F"/>
    <w:rsid w:val="004E32A3"/>
    <w:rsid w:val="004F1D5C"/>
    <w:rsid w:val="004F7238"/>
    <w:rsid w:val="004F7548"/>
    <w:rsid w:val="00506EEB"/>
    <w:rsid w:val="0051018E"/>
    <w:rsid w:val="005226F9"/>
    <w:rsid w:val="00534E1B"/>
    <w:rsid w:val="005418DC"/>
    <w:rsid w:val="00543572"/>
    <w:rsid w:val="005459B9"/>
    <w:rsid w:val="00563D49"/>
    <w:rsid w:val="00564FE8"/>
    <w:rsid w:val="00566BD6"/>
    <w:rsid w:val="005724E7"/>
    <w:rsid w:val="00573E63"/>
    <w:rsid w:val="00574E03"/>
    <w:rsid w:val="005765BE"/>
    <w:rsid w:val="00585B22"/>
    <w:rsid w:val="005979E2"/>
    <w:rsid w:val="005A7780"/>
    <w:rsid w:val="005A7FAC"/>
    <w:rsid w:val="005B0665"/>
    <w:rsid w:val="005B100F"/>
    <w:rsid w:val="005B581D"/>
    <w:rsid w:val="005B6800"/>
    <w:rsid w:val="005C2ECC"/>
    <w:rsid w:val="005C4D50"/>
    <w:rsid w:val="005C78DF"/>
    <w:rsid w:val="005E66DC"/>
    <w:rsid w:val="005E7DD6"/>
    <w:rsid w:val="005F00D0"/>
    <w:rsid w:val="005F1075"/>
    <w:rsid w:val="005F1E9C"/>
    <w:rsid w:val="005F3391"/>
    <w:rsid w:val="00601DB7"/>
    <w:rsid w:val="00620837"/>
    <w:rsid w:val="00625812"/>
    <w:rsid w:val="00631F9B"/>
    <w:rsid w:val="00636136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D5FA8"/>
    <w:rsid w:val="006E3145"/>
    <w:rsid w:val="006E59E4"/>
    <w:rsid w:val="006F7DAD"/>
    <w:rsid w:val="00700E85"/>
    <w:rsid w:val="00705E2A"/>
    <w:rsid w:val="00706D86"/>
    <w:rsid w:val="00716ACF"/>
    <w:rsid w:val="00720BB7"/>
    <w:rsid w:val="00721F3E"/>
    <w:rsid w:val="007302B6"/>
    <w:rsid w:val="00730FBF"/>
    <w:rsid w:val="00737B8C"/>
    <w:rsid w:val="00743470"/>
    <w:rsid w:val="00762756"/>
    <w:rsid w:val="00767302"/>
    <w:rsid w:val="0076781C"/>
    <w:rsid w:val="00772540"/>
    <w:rsid w:val="00775346"/>
    <w:rsid w:val="0077728B"/>
    <w:rsid w:val="00780C27"/>
    <w:rsid w:val="00781D03"/>
    <w:rsid w:val="007830F6"/>
    <w:rsid w:val="00785202"/>
    <w:rsid w:val="007A71E3"/>
    <w:rsid w:val="007B4D14"/>
    <w:rsid w:val="007B7E68"/>
    <w:rsid w:val="007C0E38"/>
    <w:rsid w:val="007C1729"/>
    <w:rsid w:val="007C387E"/>
    <w:rsid w:val="007D34A3"/>
    <w:rsid w:val="007E05FA"/>
    <w:rsid w:val="007E0A41"/>
    <w:rsid w:val="007E0C09"/>
    <w:rsid w:val="007E7327"/>
    <w:rsid w:val="007F3361"/>
    <w:rsid w:val="007F4949"/>
    <w:rsid w:val="0080068D"/>
    <w:rsid w:val="0080148D"/>
    <w:rsid w:val="00815994"/>
    <w:rsid w:val="00823730"/>
    <w:rsid w:val="00825B85"/>
    <w:rsid w:val="0083184D"/>
    <w:rsid w:val="00833610"/>
    <w:rsid w:val="008370A6"/>
    <w:rsid w:val="00840364"/>
    <w:rsid w:val="00841CFF"/>
    <w:rsid w:val="00846BC7"/>
    <w:rsid w:val="00867250"/>
    <w:rsid w:val="008676A7"/>
    <w:rsid w:val="00872BF4"/>
    <w:rsid w:val="00874FC0"/>
    <w:rsid w:val="0087542E"/>
    <w:rsid w:val="008915D8"/>
    <w:rsid w:val="0089160E"/>
    <w:rsid w:val="00894861"/>
    <w:rsid w:val="008A6B21"/>
    <w:rsid w:val="008B23C6"/>
    <w:rsid w:val="008B4A01"/>
    <w:rsid w:val="008C10C3"/>
    <w:rsid w:val="008C1C63"/>
    <w:rsid w:val="008D29E8"/>
    <w:rsid w:val="008D38E1"/>
    <w:rsid w:val="008E2336"/>
    <w:rsid w:val="008E3C49"/>
    <w:rsid w:val="008F3B7C"/>
    <w:rsid w:val="008F3EDA"/>
    <w:rsid w:val="00903B91"/>
    <w:rsid w:val="0090684B"/>
    <w:rsid w:val="0091017F"/>
    <w:rsid w:val="00910664"/>
    <w:rsid w:val="0091536B"/>
    <w:rsid w:val="00916E35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61849"/>
    <w:rsid w:val="00975CDF"/>
    <w:rsid w:val="00991153"/>
    <w:rsid w:val="009949A2"/>
    <w:rsid w:val="00997D60"/>
    <w:rsid w:val="009A0F1B"/>
    <w:rsid w:val="009B2B8F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82A"/>
    <w:rsid w:val="00A052CD"/>
    <w:rsid w:val="00A11EEE"/>
    <w:rsid w:val="00A14373"/>
    <w:rsid w:val="00A169EC"/>
    <w:rsid w:val="00A3397D"/>
    <w:rsid w:val="00A34A44"/>
    <w:rsid w:val="00A40938"/>
    <w:rsid w:val="00A41DCC"/>
    <w:rsid w:val="00A5459A"/>
    <w:rsid w:val="00A663E1"/>
    <w:rsid w:val="00A7179D"/>
    <w:rsid w:val="00A720F7"/>
    <w:rsid w:val="00A90DD1"/>
    <w:rsid w:val="00A9369B"/>
    <w:rsid w:val="00A9659F"/>
    <w:rsid w:val="00AB1D7B"/>
    <w:rsid w:val="00AC3F7C"/>
    <w:rsid w:val="00AE2FAB"/>
    <w:rsid w:val="00AE4701"/>
    <w:rsid w:val="00AF082E"/>
    <w:rsid w:val="00AF6714"/>
    <w:rsid w:val="00B04143"/>
    <w:rsid w:val="00B061E7"/>
    <w:rsid w:val="00B10EB6"/>
    <w:rsid w:val="00B110A7"/>
    <w:rsid w:val="00B116DF"/>
    <w:rsid w:val="00B11943"/>
    <w:rsid w:val="00B177DF"/>
    <w:rsid w:val="00B27579"/>
    <w:rsid w:val="00B2772E"/>
    <w:rsid w:val="00B27A4B"/>
    <w:rsid w:val="00B30517"/>
    <w:rsid w:val="00B36631"/>
    <w:rsid w:val="00B607CB"/>
    <w:rsid w:val="00B727EE"/>
    <w:rsid w:val="00B728AF"/>
    <w:rsid w:val="00B758FA"/>
    <w:rsid w:val="00B76DE3"/>
    <w:rsid w:val="00B77C24"/>
    <w:rsid w:val="00B813FE"/>
    <w:rsid w:val="00B825DB"/>
    <w:rsid w:val="00B8565A"/>
    <w:rsid w:val="00B8617E"/>
    <w:rsid w:val="00B86DAB"/>
    <w:rsid w:val="00BA1184"/>
    <w:rsid w:val="00BA13C6"/>
    <w:rsid w:val="00BB7A54"/>
    <w:rsid w:val="00BC6015"/>
    <w:rsid w:val="00BC6815"/>
    <w:rsid w:val="00BC6852"/>
    <w:rsid w:val="00BD57DC"/>
    <w:rsid w:val="00C023E3"/>
    <w:rsid w:val="00C02511"/>
    <w:rsid w:val="00C11A1D"/>
    <w:rsid w:val="00C12D2D"/>
    <w:rsid w:val="00C25A8C"/>
    <w:rsid w:val="00C2626D"/>
    <w:rsid w:val="00C3045A"/>
    <w:rsid w:val="00C331EA"/>
    <w:rsid w:val="00C4180B"/>
    <w:rsid w:val="00C454EB"/>
    <w:rsid w:val="00C476C8"/>
    <w:rsid w:val="00C52403"/>
    <w:rsid w:val="00C56C1D"/>
    <w:rsid w:val="00C607D1"/>
    <w:rsid w:val="00C636A6"/>
    <w:rsid w:val="00C75EA9"/>
    <w:rsid w:val="00C770A3"/>
    <w:rsid w:val="00C9367E"/>
    <w:rsid w:val="00C9728D"/>
    <w:rsid w:val="00CA3FCD"/>
    <w:rsid w:val="00CA5730"/>
    <w:rsid w:val="00CB3B4B"/>
    <w:rsid w:val="00CC4754"/>
    <w:rsid w:val="00CD2205"/>
    <w:rsid w:val="00CD4C7D"/>
    <w:rsid w:val="00CE18EA"/>
    <w:rsid w:val="00CE2D93"/>
    <w:rsid w:val="00CE3FC4"/>
    <w:rsid w:val="00CE5B30"/>
    <w:rsid w:val="00D00859"/>
    <w:rsid w:val="00D066D7"/>
    <w:rsid w:val="00D067EE"/>
    <w:rsid w:val="00D23A05"/>
    <w:rsid w:val="00D315B6"/>
    <w:rsid w:val="00D34FAA"/>
    <w:rsid w:val="00D372D9"/>
    <w:rsid w:val="00D42943"/>
    <w:rsid w:val="00D43C53"/>
    <w:rsid w:val="00D475E1"/>
    <w:rsid w:val="00D53C12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2961"/>
    <w:rsid w:val="00DA3169"/>
    <w:rsid w:val="00DB5B07"/>
    <w:rsid w:val="00DB73B9"/>
    <w:rsid w:val="00DC60C8"/>
    <w:rsid w:val="00DD2AD8"/>
    <w:rsid w:val="00DD7516"/>
    <w:rsid w:val="00DE7085"/>
    <w:rsid w:val="00DE7CCC"/>
    <w:rsid w:val="00DF2179"/>
    <w:rsid w:val="00DF4F83"/>
    <w:rsid w:val="00E13D4B"/>
    <w:rsid w:val="00E14E73"/>
    <w:rsid w:val="00E16AAD"/>
    <w:rsid w:val="00E22B18"/>
    <w:rsid w:val="00E3261C"/>
    <w:rsid w:val="00E36457"/>
    <w:rsid w:val="00E40E45"/>
    <w:rsid w:val="00E43489"/>
    <w:rsid w:val="00E4511B"/>
    <w:rsid w:val="00E46B4D"/>
    <w:rsid w:val="00E50862"/>
    <w:rsid w:val="00E60FA8"/>
    <w:rsid w:val="00E64005"/>
    <w:rsid w:val="00E712CA"/>
    <w:rsid w:val="00E77B42"/>
    <w:rsid w:val="00E824C6"/>
    <w:rsid w:val="00E84CCF"/>
    <w:rsid w:val="00E9191A"/>
    <w:rsid w:val="00E927C0"/>
    <w:rsid w:val="00E9382F"/>
    <w:rsid w:val="00EA2A42"/>
    <w:rsid w:val="00EA3AC7"/>
    <w:rsid w:val="00EA72A8"/>
    <w:rsid w:val="00EB11B8"/>
    <w:rsid w:val="00EB4A94"/>
    <w:rsid w:val="00EC2BC5"/>
    <w:rsid w:val="00EC583D"/>
    <w:rsid w:val="00ED0C8F"/>
    <w:rsid w:val="00ED6192"/>
    <w:rsid w:val="00ED6A83"/>
    <w:rsid w:val="00EE1A82"/>
    <w:rsid w:val="00EE2F36"/>
    <w:rsid w:val="00EF1692"/>
    <w:rsid w:val="00EF3EEB"/>
    <w:rsid w:val="00F06B72"/>
    <w:rsid w:val="00F1496F"/>
    <w:rsid w:val="00F156FA"/>
    <w:rsid w:val="00F1605A"/>
    <w:rsid w:val="00F32F95"/>
    <w:rsid w:val="00F33879"/>
    <w:rsid w:val="00F35C3F"/>
    <w:rsid w:val="00F36F4C"/>
    <w:rsid w:val="00F407F6"/>
    <w:rsid w:val="00F436C7"/>
    <w:rsid w:val="00F45225"/>
    <w:rsid w:val="00F53674"/>
    <w:rsid w:val="00F6379C"/>
    <w:rsid w:val="00F80B09"/>
    <w:rsid w:val="00F9686B"/>
    <w:rsid w:val="00FA1036"/>
    <w:rsid w:val="00FA2E6A"/>
    <w:rsid w:val="00FA547E"/>
    <w:rsid w:val="00FB029F"/>
    <w:rsid w:val="00FD3251"/>
    <w:rsid w:val="00FE1208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  <w:style w:type="character" w:styleId="Platzhaltertext">
    <w:name w:val="Placeholder Text"/>
    <w:basedOn w:val="Absatz-Standardschriftart"/>
    <w:uiPriority w:val="99"/>
    <w:unhideWhenUsed/>
    <w:rsid w:val="00A936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cs/cz/digitalni-reseni/vstrikovacich-forem/vypocet-uzaviraci-sily" TargetMode="External"/><Relationship Id="rId13" Type="http://schemas.openxmlformats.org/officeDocument/2006/relationships/hyperlink" Target="https://www.engelglobal.com/cs/cz/produkty/vstrikovaci-stroje/plne-elektricky-vstrikovaci-stro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engelglobal.com/cs/cz/digitalni-reseni/digitalizace-vstrikovani/monitorovani-procesu-vstrikovani-plast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elglobal.com/cs/cz/digitalni-reseni/digitalizace-vstrikovani/teplota-for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elglobal.com" TargetMode="External"/><Relationship Id="rId10" Type="http://schemas.openxmlformats.org/officeDocument/2006/relationships/hyperlink" Target="https://www.engelglobal.com/cs/cz/digitalni-reseni/digitalizace-vstrikovani/optimalizace-viskozity-plast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ngelglobal.com/cs/cz/digitalni-reseni/vstrikovacich-forem/vstrikovani-plastu" TargetMode="External"/><Relationship Id="rId14" Type="http://schemas.openxmlformats.org/officeDocument/2006/relationships/hyperlink" Target="https://www.engelglobal.com/en/fairs-events/K2025" TargetMode="Externa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3E5F4-B243-4B0E-AF35-AC7015A1FB19}"/>
</file>

<file path=customXml/itemProps3.xml><?xml version="1.0" encoding="utf-8"?>
<ds:datastoreItem xmlns:ds="http://schemas.openxmlformats.org/officeDocument/2006/customXml" ds:itemID="{FEAF5035-ECC7-4B75-9F20-4B7CA45F5E21}"/>
</file>

<file path=customXml/itemProps4.xml><?xml version="1.0" encoding="utf-8"?>
<ds:datastoreItem xmlns:ds="http://schemas.openxmlformats.org/officeDocument/2006/customXml" ds:itemID="{88DF2747-C796-4149-9375-4F4F1A44D8D8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989</Words>
  <Characters>7199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8172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2025-09-09T12:59:00Z</cp:lastPrinted>
  <dcterms:created xsi:type="dcterms:W3CDTF">2025-09-09T13:00:00Z</dcterms:created>
  <dcterms:modified xsi:type="dcterms:W3CDTF">2025-09-09T13:00:00Z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