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FFF3" w14:textId="33E3437C" w:rsidR="00A53E79" w:rsidRDefault="00E2682B" w:rsidP="00B12805">
      <w:pPr>
        <w:spacing w:before="100" w:after="120"/>
        <w:jc w:val="right"/>
      </w:pPr>
      <w:r>
        <w:rPr>
          <w:b/>
        </w:rPr>
        <w:t>Komentář</w:t>
      </w:r>
      <w:r w:rsidR="00886ACF">
        <w:rPr>
          <w:b/>
        </w:rPr>
        <w:t xml:space="preserve">, Praha </w:t>
      </w:r>
      <w:r w:rsidR="00B12805">
        <w:rPr>
          <w:b/>
        </w:rPr>
        <w:t>1</w:t>
      </w:r>
      <w:r w:rsidR="00DA5A7A">
        <w:rPr>
          <w:b/>
        </w:rPr>
        <w:t>2</w:t>
      </w:r>
      <w:r w:rsidR="00B12805">
        <w:rPr>
          <w:b/>
        </w:rPr>
        <w:t>.</w:t>
      </w:r>
      <w:r w:rsidR="00CA2219">
        <w:rPr>
          <w:b/>
        </w:rPr>
        <w:t xml:space="preserve"> </w:t>
      </w:r>
      <w:r w:rsidR="00DA5A7A">
        <w:rPr>
          <w:b/>
        </w:rPr>
        <w:t>6</w:t>
      </w:r>
      <w:r w:rsidR="00B12805">
        <w:rPr>
          <w:b/>
        </w:rPr>
        <w:t>. 2026</w:t>
      </w:r>
    </w:p>
    <w:p w14:paraId="6CE2484A" w14:textId="77777777" w:rsidR="00B12805" w:rsidRDefault="00B12805" w:rsidP="18BDFCB6">
      <w:pPr>
        <w:spacing w:before="100" w:after="120"/>
        <w:jc w:val="left"/>
        <w:rPr>
          <w:b/>
          <w:bCs/>
          <w:sz w:val="32"/>
          <w:szCs w:val="32"/>
        </w:rPr>
      </w:pPr>
    </w:p>
    <w:p w14:paraId="43C224C0" w14:textId="0958A109" w:rsidR="002C4533" w:rsidRPr="002C4533" w:rsidRDefault="29CABDF0" w:rsidP="18BDFCB6">
      <w:pPr>
        <w:spacing w:before="100" w:after="120"/>
        <w:jc w:val="left"/>
        <w:rPr>
          <w:b/>
          <w:bCs/>
          <w:sz w:val="32"/>
          <w:szCs w:val="32"/>
        </w:rPr>
      </w:pPr>
      <w:r w:rsidRPr="18BDFCB6">
        <w:rPr>
          <w:b/>
          <w:bCs/>
          <w:sz w:val="32"/>
          <w:szCs w:val="32"/>
        </w:rPr>
        <w:t>Letní sleva na energie letos nemusí přijít. Smlouvu řešte</w:t>
      </w:r>
      <w:r w:rsidR="00B12805">
        <w:rPr>
          <w:b/>
          <w:bCs/>
          <w:sz w:val="32"/>
          <w:szCs w:val="32"/>
        </w:rPr>
        <w:t xml:space="preserve"> t</w:t>
      </w:r>
      <w:r w:rsidRPr="18BDFCB6">
        <w:rPr>
          <w:b/>
          <w:bCs/>
          <w:sz w:val="32"/>
          <w:szCs w:val="32"/>
        </w:rPr>
        <w:t>eď, ne až v zimě</w:t>
      </w:r>
    </w:p>
    <w:p w14:paraId="23009EF0" w14:textId="5D54BCE5" w:rsidR="3EBA34E6" w:rsidRPr="00CA2219" w:rsidRDefault="3EBA34E6" w:rsidP="18BDFCB6">
      <w:pPr>
        <w:spacing w:after="120" w:line="276" w:lineRule="auto"/>
        <w:rPr>
          <w:rFonts w:ascii="Aptos" w:eastAsia="Aptos" w:hAnsi="Aptos" w:cs="Aptos"/>
          <w:b/>
          <w:bCs/>
          <w:sz w:val="22"/>
        </w:rPr>
      </w:pPr>
      <w:r w:rsidRPr="00CA2219">
        <w:rPr>
          <w:b/>
          <w:bCs/>
          <w:sz w:val="20"/>
          <w:szCs w:val="20"/>
        </w:rPr>
        <w:t xml:space="preserve">Komentář: Miren Memiševič, </w:t>
      </w:r>
      <w:r w:rsidR="72DFD5D6" w:rsidRPr="00CA2219">
        <w:rPr>
          <w:rFonts w:ascii="Aptos" w:eastAsia="Aptos" w:hAnsi="Aptos" w:cs="Aptos"/>
          <w:b/>
          <w:bCs/>
          <w:sz w:val="22"/>
        </w:rPr>
        <w:t>vedoucí oddělení energií a telekomunikace, Skupina Klik.cz</w:t>
      </w:r>
    </w:p>
    <w:p w14:paraId="10365C44" w14:textId="77777777" w:rsidR="006B73B5" w:rsidRDefault="006B73B5" w:rsidP="005D1CD3">
      <w:pPr>
        <w:spacing w:before="100" w:after="120"/>
        <w:rPr>
          <w:sz w:val="20"/>
          <w:szCs w:val="20"/>
        </w:rPr>
      </w:pPr>
    </w:p>
    <w:p w14:paraId="55D267DD" w14:textId="30643AF3" w:rsidR="00715481" w:rsidRPr="00455538" w:rsidRDefault="29CABDF0" w:rsidP="005D1CD3">
      <w:pPr>
        <w:spacing w:before="100" w:after="120"/>
        <w:rPr>
          <w:sz w:val="20"/>
          <w:szCs w:val="20"/>
        </w:rPr>
      </w:pPr>
      <w:r w:rsidRPr="18BDFCB6">
        <w:rPr>
          <w:sz w:val="20"/>
          <w:szCs w:val="20"/>
        </w:rPr>
        <w:t>Kdo čeká, že v létě klesnou ceny energií stejně jako v minulých letech, může letos čekat marně. Trh drží pod tlakem drahý plyn, napětí kolem Hormuzského průlivu i nové americké údery proti Íránu. Výsledkem je situace, ve které pro letní zlevnění chybí prostor.</w:t>
      </w:r>
    </w:p>
    <w:p w14:paraId="40464A48" w14:textId="0EC66FA6" w:rsidR="005B7E17" w:rsidRPr="005B7E17" w:rsidRDefault="7613AD4F" w:rsidP="005B7E17">
      <w:pPr>
        <w:spacing w:before="100" w:after="120"/>
        <w:rPr>
          <w:sz w:val="20"/>
          <w:szCs w:val="20"/>
        </w:rPr>
      </w:pPr>
      <w:r w:rsidRPr="18BDFCB6">
        <w:rPr>
          <w:sz w:val="20"/>
          <w:szCs w:val="20"/>
        </w:rPr>
        <w:t xml:space="preserve">Cena plynu na evropské burze TTF se aktuálně drží kolem 50 eur za MWh, meziročně téměř o 40 </w:t>
      </w:r>
      <w:r w:rsidR="7A5F678D" w:rsidRPr="18BDFCB6">
        <w:rPr>
          <w:sz w:val="20"/>
          <w:szCs w:val="20"/>
        </w:rPr>
        <w:t>%</w:t>
      </w:r>
      <w:r w:rsidRPr="18BDFCB6">
        <w:rPr>
          <w:sz w:val="20"/>
          <w:szCs w:val="20"/>
        </w:rPr>
        <w:t xml:space="preserve"> výš. Elektřina</w:t>
      </w:r>
      <w:r w:rsidR="0F722A2B" w:rsidRPr="18BDFCB6">
        <w:rPr>
          <w:sz w:val="20"/>
          <w:szCs w:val="20"/>
        </w:rPr>
        <w:t xml:space="preserve"> se</w:t>
      </w:r>
      <w:r w:rsidRPr="18BDFCB6">
        <w:rPr>
          <w:sz w:val="20"/>
          <w:szCs w:val="20"/>
        </w:rPr>
        <w:t xml:space="preserve"> pro rok 2026 obchoduje mezi 85 a 95 eury za MWh. Nejde </w:t>
      </w:r>
      <w:r w:rsidR="3DFE410A" w:rsidRPr="18BDFCB6">
        <w:rPr>
          <w:sz w:val="20"/>
          <w:szCs w:val="20"/>
        </w:rPr>
        <w:t xml:space="preserve">sice </w:t>
      </w:r>
      <w:r w:rsidRPr="18BDFCB6">
        <w:rPr>
          <w:sz w:val="20"/>
          <w:szCs w:val="20"/>
        </w:rPr>
        <w:t>o návrat krizového roku 2022, kdy plyn překračoval 300 eur za MWh.</w:t>
      </w:r>
      <w:r w:rsidR="6F9257CE" w:rsidRPr="18BDFCB6">
        <w:rPr>
          <w:sz w:val="20"/>
          <w:szCs w:val="20"/>
        </w:rPr>
        <w:t xml:space="preserve">, </w:t>
      </w:r>
      <w:r w:rsidR="403083DB" w:rsidRPr="18BDFCB6">
        <w:rPr>
          <w:sz w:val="20"/>
          <w:szCs w:val="20"/>
        </w:rPr>
        <w:t>p</w:t>
      </w:r>
      <w:r w:rsidRPr="18BDFCB6">
        <w:rPr>
          <w:sz w:val="20"/>
          <w:szCs w:val="20"/>
        </w:rPr>
        <w:t xml:space="preserve">ro domácnosti je ale podstatné, že výrazný pokles cen zatím </w:t>
      </w:r>
      <w:r w:rsidR="46745F67" w:rsidRPr="18BDFCB6">
        <w:rPr>
          <w:sz w:val="20"/>
          <w:szCs w:val="20"/>
        </w:rPr>
        <w:t>nelze očekávat</w:t>
      </w:r>
      <w:r w:rsidRPr="18BDFCB6">
        <w:rPr>
          <w:sz w:val="20"/>
          <w:szCs w:val="20"/>
        </w:rPr>
        <w:t>.</w:t>
      </w:r>
    </w:p>
    <w:p w14:paraId="639C7C41" w14:textId="37B6319F" w:rsidR="005B7E17" w:rsidRPr="005B7E17" w:rsidRDefault="7613AD4F" w:rsidP="005B7E17">
      <w:pPr>
        <w:spacing w:before="100" w:after="120"/>
        <w:rPr>
          <w:sz w:val="20"/>
          <w:szCs w:val="20"/>
        </w:rPr>
      </w:pPr>
      <w:r w:rsidRPr="18BDFCB6">
        <w:rPr>
          <w:sz w:val="20"/>
          <w:szCs w:val="20"/>
        </w:rPr>
        <w:t xml:space="preserve">Ceny drží nahoře hlavně plyn. Přes Hormuzský průliv proudí přibližně pětina světového obchodu s LNG a napětí v regionu zdražuje dodávky i pro Evropu. Situaci zhoršilo také poškození části katarského areálu Ras Laffan, které podle QatarEnergy vyřadilo zhruba 17 </w:t>
      </w:r>
      <w:r w:rsidR="10692C8D" w:rsidRPr="18BDFCB6">
        <w:rPr>
          <w:sz w:val="20"/>
          <w:szCs w:val="20"/>
        </w:rPr>
        <w:t xml:space="preserve">% </w:t>
      </w:r>
      <w:r w:rsidRPr="18BDFCB6">
        <w:rPr>
          <w:sz w:val="20"/>
          <w:szCs w:val="20"/>
        </w:rPr>
        <w:t>exportních kapacit. Výpadek se přitom nevyřeší v řádu týdnů, ale spíše let.</w:t>
      </w:r>
    </w:p>
    <w:p w14:paraId="0557AA20" w14:textId="639A8247" w:rsidR="005B7E17" w:rsidRPr="005B7E17" w:rsidRDefault="7613AD4F" w:rsidP="005B7E17">
      <w:pPr>
        <w:spacing w:before="100" w:after="120"/>
        <w:rPr>
          <w:sz w:val="20"/>
          <w:szCs w:val="20"/>
        </w:rPr>
      </w:pPr>
      <w:r w:rsidRPr="18BDFCB6">
        <w:rPr>
          <w:sz w:val="20"/>
          <w:szCs w:val="20"/>
        </w:rPr>
        <w:t>Léto domácnostem běžně pomáhá nižší spotřebou a vyšší výrobou ze solárních elektráren, letos to ale nemusí stačit. Když nesvítí a nefouká, musí výrobu doplňovat jiné zdroje, často plynové elektrárny. Drahý plyn tak může držet cenu elektřiny nahoře i v době, kdy lidé čekají sezonní zlevnění.</w:t>
      </w:r>
    </w:p>
    <w:p w14:paraId="0F263F4E" w14:textId="77777777" w:rsidR="005B7E17" w:rsidRPr="005B7E17" w:rsidRDefault="005B7E17" w:rsidP="005B7E17">
      <w:pPr>
        <w:spacing w:before="100" w:after="120"/>
        <w:rPr>
          <w:sz w:val="20"/>
          <w:szCs w:val="20"/>
        </w:rPr>
      </w:pPr>
      <w:r w:rsidRPr="005B7E17">
        <w:rPr>
          <w:b/>
          <w:bCs/>
          <w:sz w:val="20"/>
          <w:szCs w:val="20"/>
        </w:rPr>
        <w:t>Co to znamená pro domácnosti</w:t>
      </w:r>
    </w:p>
    <w:p w14:paraId="49575739" w14:textId="77777777" w:rsidR="005B7E17" w:rsidRPr="005B7E17" w:rsidRDefault="005B7E17" w:rsidP="005B7E17">
      <w:pPr>
        <w:spacing w:before="100" w:after="120"/>
        <w:rPr>
          <w:sz w:val="20"/>
          <w:szCs w:val="20"/>
        </w:rPr>
      </w:pPr>
      <w:r w:rsidRPr="005B7E17">
        <w:rPr>
          <w:sz w:val="20"/>
          <w:szCs w:val="20"/>
        </w:rPr>
        <w:t>Nejvýhodnější tarify dostupné přes srovnávače dnes začínají u silové elektřiny od 2 350 Kč za MWh bez DPH, u plynu od 880 Kč za MWh bez DPH. Standardní ceníky dodavatelů bývají zpravidla vyšší. U modelové domácnosti se spotřebou 7,5 MWh plynu a 3 MWh elektřiny ročně může rozdíl mezi nefixovaným tarifem a dvouletou fixací činit přes 4 600 Kč ročně, tedy více než 9 000 Kč za dva roky.</w:t>
      </w:r>
    </w:p>
    <w:p w14:paraId="36B9EEEA" w14:textId="3CE89309" w:rsidR="005B7E17" w:rsidRPr="005B7E17" w:rsidRDefault="7613AD4F" w:rsidP="18BDFCB6">
      <w:pPr>
        <w:spacing w:before="100" w:after="120"/>
        <w:rPr>
          <w:sz w:val="20"/>
          <w:szCs w:val="20"/>
        </w:rPr>
      </w:pPr>
      <w:r w:rsidRPr="18BDFCB6">
        <w:rPr>
          <w:sz w:val="20"/>
          <w:szCs w:val="20"/>
        </w:rPr>
        <w:t xml:space="preserve">Fixace nechrání celý účet. Vztahuje se </w:t>
      </w:r>
      <w:r w:rsidR="5CFCC229" w:rsidRPr="18BDFCB6">
        <w:rPr>
          <w:sz w:val="20"/>
          <w:szCs w:val="20"/>
        </w:rPr>
        <w:t>ale</w:t>
      </w:r>
      <w:r w:rsidRPr="18BDFCB6">
        <w:rPr>
          <w:sz w:val="20"/>
          <w:szCs w:val="20"/>
        </w:rPr>
        <w:t xml:space="preserve"> na obchodní část ceny, tedy tu </w:t>
      </w:r>
      <w:r w:rsidR="3AA7EA23" w:rsidRPr="18BDFCB6">
        <w:rPr>
          <w:sz w:val="20"/>
          <w:szCs w:val="20"/>
        </w:rPr>
        <w:t xml:space="preserve">neregulovanou, </w:t>
      </w:r>
      <w:r w:rsidRPr="18BDFCB6">
        <w:rPr>
          <w:sz w:val="20"/>
          <w:szCs w:val="20"/>
        </w:rPr>
        <w:t>kterou nabízí dodavatel</w:t>
      </w:r>
      <w:r w:rsidR="7A96F03A" w:rsidRPr="18BDFCB6">
        <w:rPr>
          <w:sz w:val="20"/>
          <w:szCs w:val="20"/>
        </w:rPr>
        <w:t xml:space="preserve"> a </w:t>
      </w:r>
      <w:r w:rsidR="7A96F03A" w:rsidRPr="18BDFCB6">
        <w:rPr>
          <w:rFonts w:ascii="Arial" w:eastAsia="Arial" w:hAnsi="Arial" w:cs="Arial"/>
          <w:sz w:val="22"/>
        </w:rPr>
        <w:t>ta tvoří větší část faktury</w:t>
      </w:r>
      <w:r w:rsidRPr="18BDFCB6">
        <w:rPr>
          <w:sz w:val="20"/>
          <w:szCs w:val="20"/>
        </w:rPr>
        <w:t>. Regulované poplatky, například za distribuci, se mohou měnit dál. Při porovnávání nabídek proto nestačí sledovat cenu jedné megawatthodiny. Důležitá je celková roční platba, stálý měsíční poplatek i podmínky ukončení smlouvy.</w:t>
      </w:r>
    </w:p>
    <w:p w14:paraId="160F4C3F" w14:textId="3D9AC51B" w:rsidR="005B7E17" w:rsidRPr="005B7E17" w:rsidRDefault="7613AD4F" w:rsidP="005B7E17">
      <w:pPr>
        <w:spacing w:before="100" w:after="120"/>
        <w:rPr>
          <w:sz w:val="20"/>
          <w:szCs w:val="20"/>
        </w:rPr>
      </w:pPr>
      <w:r w:rsidRPr="18BDFCB6">
        <w:rPr>
          <w:sz w:val="20"/>
          <w:szCs w:val="20"/>
        </w:rPr>
        <w:t xml:space="preserve">První krok je jednoduchý: najít současnou smlouvu, zkontrolovat datum konce fixace a ověřit, zda se po skončení automaticky neprodlouží. Novou smlouvu </w:t>
      </w:r>
      <w:r w:rsidRPr="00460BEA">
        <w:rPr>
          <w:b/>
          <w:bCs/>
          <w:sz w:val="20"/>
          <w:szCs w:val="20"/>
        </w:rPr>
        <w:t>lze uzavřít až s ročním předstihem před koncem té stávající</w:t>
      </w:r>
      <w:r w:rsidRPr="18BDFCB6">
        <w:rPr>
          <w:sz w:val="20"/>
          <w:szCs w:val="20"/>
        </w:rPr>
        <w:t xml:space="preserve">. Pokud domácnost </w:t>
      </w:r>
      <w:r w:rsidR="06A30E56" w:rsidRPr="18BDFCB6">
        <w:rPr>
          <w:sz w:val="20"/>
          <w:szCs w:val="20"/>
        </w:rPr>
        <w:t>najde</w:t>
      </w:r>
      <w:r w:rsidRPr="18BDFCB6">
        <w:rPr>
          <w:sz w:val="20"/>
          <w:szCs w:val="20"/>
        </w:rPr>
        <w:t xml:space="preserve"> výhodnější nabídku, nemusí čekat na poslední měsíc a může si cenu zajistit dopředu.</w:t>
      </w:r>
    </w:p>
    <w:p w14:paraId="63ECBA11" w14:textId="4FF83698" w:rsidR="005B7E17" w:rsidRPr="005B7E17" w:rsidRDefault="7613AD4F" w:rsidP="005B7E17">
      <w:pPr>
        <w:spacing w:before="100" w:after="120"/>
        <w:rPr>
          <w:sz w:val="20"/>
          <w:szCs w:val="20"/>
        </w:rPr>
      </w:pPr>
      <w:r w:rsidRPr="18BDFCB6">
        <w:rPr>
          <w:sz w:val="20"/>
          <w:szCs w:val="20"/>
        </w:rPr>
        <w:lastRenderedPageBreak/>
        <w:t>To je důležité hlavně letos, kdy se výrazný pokles cen nečeká. U smluv na dobu neurčitou domácnost</w:t>
      </w:r>
      <w:r w:rsidR="3773A49C" w:rsidRPr="18BDFCB6">
        <w:rPr>
          <w:sz w:val="20"/>
          <w:szCs w:val="20"/>
        </w:rPr>
        <w:t>i</w:t>
      </w:r>
      <w:r w:rsidRPr="18BDFCB6">
        <w:rPr>
          <w:sz w:val="20"/>
          <w:szCs w:val="20"/>
        </w:rPr>
        <w:t xml:space="preserve"> </w:t>
      </w:r>
      <w:r w:rsidR="3311C561" w:rsidRPr="18BDFCB6">
        <w:rPr>
          <w:sz w:val="20"/>
          <w:szCs w:val="20"/>
        </w:rPr>
        <w:t>většinou</w:t>
      </w:r>
      <w:r w:rsidRPr="18BDFCB6">
        <w:rPr>
          <w:sz w:val="20"/>
          <w:szCs w:val="20"/>
        </w:rPr>
        <w:t xml:space="preserve"> platí vyšší cenou.</w:t>
      </w:r>
    </w:p>
    <w:p w14:paraId="0BAB0C53" w14:textId="18912F00" w:rsidR="005B7E17" w:rsidRPr="005B7E17" w:rsidRDefault="7613AD4F" w:rsidP="005B7E17">
      <w:pPr>
        <w:spacing w:before="100" w:after="120"/>
        <w:rPr>
          <w:sz w:val="20"/>
          <w:szCs w:val="20"/>
        </w:rPr>
      </w:pPr>
      <w:r w:rsidRPr="18BDFCB6">
        <w:rPr>
          <w:sz w:val="20"/>
          <w:szCs w:val="20"/>
        </w:rPr>
        <w:t xml:space="preserve">Trh je dnes stabilnější než v době pádu Bohemia Energy. Dodavatelé musí pro fixované zákazníky prokazovat, že mají nakoupeno minimálně 70 </w:t>
      </w:r>
      <w:r w:rsidR="6375DA80" w:rsidRPr="18BDFCB6">
        <w:rPr>
          <w:sz w:val="20"/>
          <w:szCs w:val="20"/>
        </w:rPr>
        <w:t xml:space="preserve">% </w:t>
      </w:r>
      <w:r w:rsidRPr="18BDFCB6">
        <w:rPr>
          <w:sz w:val="20"/>
          <w:szCs w:val="20"/>
        </w:rPr>
        <w:t>energií dopředu, a regulátorovi to dokládají dvakrát ročně. Zákazníci si mohou ověřit také index zajištění svého dodavatele.</w:t>
      </w:r>
    </w:p>
    <w:p w14:paraId="3C048014" w14:textId="1CB6168A" w:rsidR="005B7E17" w:rsidRPr="005B7E17" w:rsidRDefault="7613AD4F" w:rsidP="005B7E17">
      <w:pPr>
        <w:spacing w:before="100" w:after="120"/>
        <w:rPr>
          <w:sz w:val="20"/>
          <w:szCs w:val="20"/>
        </w:rPr>
      </w:pPr>
      <w:r w:rsidRPr="18BDFCB6">
        <w:rPr>
          <w:sz w:val="20"/>
          <w:szCs w:val="20"/>
        </w:rPr>
        <w:t xml:space="preserve">Riziko ale nezmizelo, jen se přesunulo. Dříve Češi řešili závislost na jednom dodavateli nebo jedné zemi. Dnes jejich účty ovlivňují LNG terminály v Kataru, zásobníky plynu v Evropě a geopolitika tisíce kilometrů daleko. </w:t>
      </w:r>
      <w:r w:rsidR="414FE8BD" w:rsidRPr="18BDFCB6">
        <w:rPr>
          <w:sz w:val="20"/>
          <w:szCs w:val="20"/>
        </w:rPr>
        <w:t>To vše ovlivňuje cenu za energie, kterou vidí zákazníci na svých</w:t>
      </w:r>
      <w:r w:rsidR="71DC772E" w:rsidRPr="18BDFCB6">
        <w:rPr>
          <w:sz w:val="20"/>
          <w:szCs w:val="20"/>
        </w:rPr>
        <w:t xml:space="preserve"> fakturách. </w:t>
      </w:r>
    </w:p>
    <w:p w14:paraId="79E325D8" w14:textId="77777777" w:rsidR="00F724B6" w:rsidRDefault="00F724B6" w:rsidP="00F724B6">
      <w:pPr>
        <w:pStyle w:val="Zkladntext"/>
        <w:spacing w:before="240" w:line="276" w:lineRule="auto"/>
        <w:jc w:val="left"/>
        <w:rPr>
          <w:b/>
          <w:bCs/>
        </w:rPr>
      </w:pPr>
      <w:r>
        <w:rPr>
          <w:noProof/>
          <w:lang w:eastAsia="cs-CZ"/>
        </w:rPr>
        <mc:AlternateContent>
          <mc:Choice Requires="wps">
            <w:drawing>
              <wp:anchor distT="0" distB="0" distL="0" distR="0" simplePos="0" relativeHeight="251659264" behindDoc="1" locked="0" layoutInCell="1" allowOverlap="1" wp14:anchorId="79664F3B" wp14:editId="64FA81B8">
                <wp:simplePos x="0" y="0"/>
                <wp:positionH relativeFrom="page">
                  <wp:posOffset>698381</wp:posOffset>
                </wp:positionH>
                <wp:positionV relativeFrom="paragraph">
                  <wp:posOffset>242522</wp:posOffset>
                </wp:positionV>
                <wp:extent cx="1960880" cy="1270"/>
                <wp:effectExtent l="10160" t="12065" r="10160" b="5715"/>
                <wp:wrapTopAndBottom/>
                <wp:docPr id="577979920"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0880" cy="1270"/>
                        </a:xfrm>
                        <a:custGeom>
                          <a:avLst/>
                          <a:gdLst>
                            <a:gd name="T0" fmla="*/ 0 w 1960880"/>
                            <a:gd name="T1" fmla="*/ 0 h 1270"/>
                            <a:gd name="T2" fmla="*/ 1960452 w 1960880"/>
                            <a:gd name="T3" fmla="*/ 0 h 1270"/>
                          </a:gdLst>
                          <a:ahLst/>
                          <a:cxnLst>
                            <a:cxn ang="0">
                              <a:pos x="T0" y="T1"/>
                            </a:cxn>
                            <a:cxn ang="0">
                              <a:pos x="T2" y="T3"/>
                            </a:cxn>
                          </a:cxnLst>
                          <a:rect l="0" t="0" r="r" b="b"/>
                          <a:pathLst>
                            <a:path w="1960880" h="1270">
                              <a:moveTo>
                                <a:pt x="0" y="0"/>
                              </a:moveTo>
                              <a:lnTo>
                                <a:pt x="1960452"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B5EF8F">
              <v:shape id="Graphic 18" style="position:absolute;margin-left:55pt;margin-top:19.1pt;width:154.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0880,1270" o:spid="_x0000_s1026" filled="f" strokeweight=".22817mm" path="m,l196045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" w14:anchorId="082BC4D3">
                <v:path arrowok="t" o:connecttype="custom" o:connectlocs="0,0;1960452,0" o:connectangles="0,0"/>
                <w10:wrap type="topAndBottom" anchorx="page"/>
              </v:shape>
            </w:pict>
          </mc:Fallback>
        </mc:AlternateContent>
      </w:r>
      <w:r>
        <w:t xml:space="preserve">Kontakt pro média: </w:t>
      </w:r>
    </w:p>
    <w:p w14:paraId="1A2FD033" w14:textId="77777777" w:rsidR="00F724B6" w:rsidRPr="00A011E4" w:rsidRDefault="00F724B6" w:rsidP="00F724B6">
      <w:pPr>
        <w:pStyle w:val="Zkladntext"/>
        <w:spacing w:line="276" w:lineRule="auto"/>
        <w:jc w:val="left"/>
      </w:pPr>
      <w:r>
        <w:rPr>
          <w:b/>
          <w:bCs/>
        </w:rPr>
        <w:t>Vladimíra Kolaříková</w:t>
      </w:r>
      <w:r>
        <w:rPr>
          <w:b/>
          <w:bCs/>
        </w:rPr>
        <w:br/>
      </w:r>
      <w:r w:rsidRPr="00A011E4">
        <w:t xml:space="preserve">PR </w:t>
      </w:r>
      <w:r>
        <w:t>M</w:t>
      </w:r>
      <w:r w:rsidRPr="00A011E4">
        <w:t>anager</w:t>
      </w:r>
      <w:r>
        <w:t>,</w:t>
      </w:r>
      <w:r w:rsidRPr="00A011E4">
        <w:t xml:space="preserve"> Skupina Klik.cz</w:t>
      </w:r>
      <w:r>
        <w:br/>
        <w:t>tel.:</w:t>
      </w:r>
      <w:r>
        <w:rPr>
          <w:spacing w:val="-5"/>
        </w:rPr>
        <w:t xml:space="preserve"> </w:t>
      </w:r>
      <w:r>
        <w:t>+420</w:t>
      </w:r>
      <w:r>
        <w:rPr>
          <w:spacing w:val="-4"/>
        </w:rPr>
        <w:t xml:space="preserve"> </w:t>
      </w:r>
      <w:r>
        <w:t>602</w:t>
      </w:r>
      <w:r>
        <w:rPr>
          <w:spacing w:val="-1"/>
        </w:rPr>
        <w:t xml:space="preserve"> </w:t>
      </w:r>
      <w:r>
        <w:t>408</w:t>
      </w:r>
      <w:r>
        <w:rPr>
          <w:spacing w:val="-6"/>
        </w:rPr>
        <w:t> </w:t>
      </w:r>
      <w:r>
        <w:rPr>
          <w:spacing w:val="-5"/>
        </w:rPr>
        <w:t>539</w:t>
      </w:r>
      <w:r>
        <w:br/>
        <w:t>e-mail:</w:t>
      </w:r>
      <w:r>
        <w:rPr>
          <w:spacing w:val="-6"/>
        </w:rPr>
        <w:t xml:space="preserve"> </w:t>
      </w:r>
      <w:hyperlink r:id="rId7">
        <w:r>
          <w:rPr>
            <w:spacing w:val="-2"/>
            <w:u w:val="single"/>
          </w:rPr>
          <w:t>vladimira.kolarikova@klik.cz</w:t>
        </w:r>
      </w:hyperlink>
    </w:p>
    <w:p w14:paraId="3752EA67" w14:textId="77777777" w:rsidR="00F724B6" w:rsidRDefault="00F724B6" w:rsidP="00F724B6">
      <w:pPr>
        <w:pStyle w:val="Zkladntext"/>
        <w:spacing w:line="276" w:lineRule="auto"/>
        <w:rPr>
          <w:b/>
          <w:bCs/>
        </w:rPr>
      </w:pPr>
    </w:p>
    <w:p w14:paraId="02F73BE7" w14:textId="77777777" w:rsidR="00F724B6" w:rsidRPr="00970E6D" w:rsidRDefault="00F724B6" w:rsidP="00F724B6">
      <w:pPr>
        <w:pStyle w:val="Zkladntext"/>
        <w:spacing w:line="276" w:lineRule="auto"/>
        <w:rPr>
          <w:b/>
          <w:bCs/>
          <w:szCs w:val="18"/>
        </w:rPr>
      </w:pPr>
      <w:r w:rsidRPr="00970E6D">
        <w:rPr>
          <w:b/>
          <w:bCs/>
          <w:szCs w:val="18"/>
        </w:rPr>
        <w:t>Skupina Klik.cz</w:t>
      </w:r>
    </w:p>
    <w:p w14:paraId="61C1AF29" w14:textId="77777777" w:rsidR="00F724B6" w:rsidRPr="00970E6D" w:rsidRDefault="00F724B6" w:rsidP="00F724B6">
      <w:pPr>
        <w:pStyle w:val="Zkladntext"/>
        <w:spacing w:before="120" w:line="276" w:lineRule="auto"/>
        <w:rPr>
          <w:szCs w:val="18"/>
        </w:rPr>
      </w:pPr>
      <w:r w:rsidRPr="00970E6D">
        <w:rPr>
          <w:szCs w:val="18"/>
        </w:rPr>
        <w:t>Sdružujeme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 energií. To vše z</w:t>
      </w:r>
      <w:r>
        <w:rPr>
          <w:szCs w:val="18"/>
        </w:rPr>
        <w:t> </w:t>
      </w:r>
      <w:r w:rsidRPr="00970E6D">
        <w:rPr>
          <w:szCs w:val="18"/>
        </w:rPr>
        <w:t>pohodlí jejich domovů.</w:t>
      </w:r>
    </w:p>
    <w:p w14:paraId="5E69921C" w14:textId="77777777" w:rsidR="00F724B6" w:rsidRPr="00970E6D" w:rsidRDefault="00F724B6" w:rsidP="00F724B6">
      <w:pPr>
        <w:pStyle w:val="Zkladntext"/>
        <w:spacing w:before="120" w:line="264" w:lineRule="auto"/>
        <w:rPr>
          <w:szCs w:val="18"/>
        </w:rPr>
      </w:pPr>
      <w:r w:rsidRPr="00970E6D">
        <w:rPr>
          <w:szCs w:val="18"/>
        </w:rPr>
        <w:t>Naše srovnávače vystupují jako samostatní zprostředkovatelé dle zákona o distribuci pojištění. Řídíme se zákonem o energetice a</w:t>
      </w:r>
      <w:r>
        <w:rPr>
          <w:szCs w:val="18"/>
        </w:rPr>
        <w:t> </w:t>
      </w:r>
      <w:r w:rsidRPr="00970E6D">
        <w:rPr>
          <w:szCs w:val="18"/>
        </w:rPr>
        <w:t>předpisy Energetického regulačního úřadu. Plníme roli objektivního a</w:t>
      </w:r>
      <w:r>
        <w:rPr>
          <w:szCs w:val="18"/>
        </w:rPr>
        <w:t> </w:t>
      </w:r>
      <w:r w:rsidRPr="00970E6D">
        <w:rPr>
          <w:szCs w:val="18"/>
        </w:rPr>
        <w:t>transparentního prostředníka, který je motivován k</w:t>
      </w:r>
      <w:r>
        <w:rPr>
          <w:szCs w:val="18"/>
        </w:rPr>
        <w:t> </w:t>
      </w:r>
      <w:r w:rsidRPr="00970E6D">
        <w:rPr>
          <w:szCs w:val="18"/>
        </w:rPr>
        <w:t>propagaci nejvhodnějšího produktu pro klienta bez ohledu na konečný výběr značky pojišťovny.</w:t>
      </w:r>
    </w:p>
    <w:p w14:paraId="13172154" w14:textId="77777777" w:rsidR="00F724B6" w:rsidRPr="00667EE5" w:rsidRDefault="00F724B6" w:rsidP="00F724B6">
      <w:pPr>
        <w:pStyle w:val="Zkladntext"/>
        <w:spacing w:before="120" w:line="264" w:lineRule="auto"/>
      </w:pPr>
      <w:r w:rsidRPr="00970E6D">
        <w:rPr>
          <w:szCs w:val="18"/>
        </w:rPr>
        <w:t>Součástí Skupiny Klik.cz jsou tyto klíčové srovnávače: Klik.cz, Srovnejto.cz, ePojisteni.cz, Tarifomat a</w:t>
      </w:r>
      <w:r>
        <w:rPr>
          <w:szCs w:val="18"/>
        </w:rPr>
        <w:t> </w:t>
      </w:r>
      <w:r w:rsidRPr="00970E6D">
        <w:rPr>
          <w:szCs w:val="18"/>
        </w:rPr>
        <w:t>Porovnej24.cz. Jsme součástí mezinárodní skupiny Netrisk Group, která kromě Česka provozuje srovnávače v</w:t>
      </w:r>
      <w:r>
        <w:rPr>
          <w:szCs w:val="18"/>
        </w:rPr>
        <w:t> </w:t>
      </w:r>
      <w:r w:rsidRPr="00970E6D">
        <w:rPr>
          <w:szCs w:val="18"/>
        </w:rPr>
        <w:t>dalších pěti evropských zemích</w:t>
      </w:r>
      <w:r>
        <w:rPr>
          <w:szCs w:val="18"/>
        </w:rPr>
        <w:t>:</w:t>
      </w:r>
      <w:r w:rsidRPr="00970E6D">
        <w:rPr>
          <w:szCs w:val="18"/>
        </w:rPr>
        <w:t xml:space="preserve"> na Slovensku, v</w:t>
      </w:r>
      <w:r>
        <w:rPr>
          <w:szCs w:val="18"/>
        </w:rPr>
        <w:t> </w:t>
      </w:r>
      <w:r w:rsidRPr="00970E6D">
        <w:rPr>
          <w:szCs w:val="18"/>
        </w:rPr>
        <w:t>Rakousku, Maďarsku, Polsku a Litvě.</w:t>
      </w:r>
      <w:r>
        <w:tab/>
      </w:r>
    </w:p>
    <w:p w14:paraId="7642082A" w14:textId="2577A434" w:rsidR="00A53E79" w:rsidRDefault="00A53E79">
      <w:pPr>
        <w:pStyle w:val="Zkladntext"/>
        <w:spacing w:before="120" w:line="276" w:lineRule="auto"/>
      </w:pPr>
    </w:p>
    <w:sectPr w:rsidR="00A53E79" w:rsidSect="005E69BE">
      <w:headerReference w:type="default" r:id="rId8"/>
      <w:footerReference w:type="default" r:id="rId9"/>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2E3F0" w14:textId="77777777" w:rsidR="00090B33" w:rsidRDefault="00090B33" w:rsidP="005E69BE">
      <w:pPr>
        <w:spacing w:line="240" w:lineRule="auto"/>
      </w:pPr>
      <w:r>
        <w:separator/>
      </w:r>
    </w:p>
  </w:endnote>
  <w:endnote w:type="continuationSeparator" w:id="0">
    <w:p w14:paraId="23D6CC2A" w14:textId="77777777" w:rsidR="00090B33" w:rsidRDefault="00090B33" w:rsidP="005E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Poppins Bold">
    <w:altName w:val="Poppins"/>
    <w:charset w:val="00"/>
    <w:family w:val="roman"/>
    <w:pitch w:val="default"/>
  </w:font>
  <w:font w:name="Calibri Light">
    <w:panose1 w:val="020F0302020204030204"/>
    <w:charset w:val="EE"/>
    <w:family w:val="swiss"/>
    <w:pitch w:val="variable"/>
    <w:sig w:usb0="E4002EFF" w:usb1="C200247B" w:usb2="00000009" w:usb3="00000000" w:csb0="000001FF" w:csb1="00000000"/>
  </w:font>
  <w:font w:name="Fedra Sans Alt Std Light">
    <w:altName w:val="Calibri"/>
    <w:charset w:val="00"/>
    <w:family w:val="modern"/>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charset w:val="00"/>
    <w:family w:val="modern"/>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98C9" w14:textId="77777777" w:rsidR="009F16E3" w:rsidRPr="009F16E3" w:rsidRDefault="005C02ED" w:rsidP="009F16E3">
    <w:pPr>
      <w:pStyle w:val="Zpat"/>
      <w:jc w:val="center"/>
      <w:rPr>
        <w:sz w:val="16"/>
        <w:szCs w:val="20"/>
      </w:rPr>
    </w:pPr>
    <w:r w:rsidRPr="005C02ED">
      <w:rPr>
        <w:noProof/>
      </w:rPr>
      <w:drawing>
        <wp:anchor distT="0" distB="0" distL="114300" distR="114300" simplePos="0" relativeHeight="251664384"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2872043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009F16E3" w:rsidRPr="009F16E3">
      <w:rPr>
        <w:sz w:val="16"/>
        <w:szCs w:val="20"/>
      </w:rPr>
      <w:t>Rohanské nábřeží 678/29, 186 00 Praha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294B" w14:textId="77777777" w:rsidR="00090B33" w:rsidRDefault="00090B33" w:rsidP="005E69BE">
      <w:pPr>
        <w:spacing w:line="240" w:lineRule="auto"/>
      </w:pPr>
      <w:r>
        <w:separator/>
      </w:r>
    </w:p>
  </w:footnote>
  <w:footnote w:type="continuationSeparator" w:id="0">
    <w:p w14:paraId="0BDD21E8" w14:textId="77777777" w:rsidR="00090B33" w:rsidRDefault="00090B33" w:rsidP="005E6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EndPr/>
    <w:sdtContent>
      <w:p w14:paraId="63AE884D" w14:textId="77777777" w:rsidR="002C02E4" w:rsidRPr="005C02ED" w:rsidRDefault="00C61BB3">
        <w:pPr>
          <w:pStyle w:val="Zhlav"/>
          <w:jc w:val="right"/>
          <w:rPr>
            <w:szCs w:val="18"/>
          </w:rPr>
        </w:pPr>
        <w:r w:rsidRPr="005C02ED">
          <w:rPr>
            <w:noProof/>
            <w:szCs w:val="18"/>
          </w:rPr>
          <w:drawing>
            <wp:anchor distT="0" distB="0" distL="114300" distR="114300" simplePos="0" relativeHeight="25166336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45326295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39AFEA29" w14:textId="77777777"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CB6E7DC" w14:textId="77777777" w:rsidR="005E69BE" w:rsidRPr="005C02ED" w:rsidRDefault="005E69BE">
    <w:pPr>
      <w:pStyle w:val="Zhlav"/>
      <w:rPr>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C13"/>
    <w:multiLevelType w:val="multilevel"/>
    <w:tmpl w:val="032CFAA6"/>
    <w:lvl w:ilvl="0">
      <w:start w:val="1"/>
      <w:numFmt w:val="decimal"/>
      <w:pStyle w:val="Odrka1"/>
      <w:lvlText w:val="%1."/>
      <w:lvlJc w:val="left"/>
      <w:pPr>
        <w:ind w:left="360" w:hanging="360"/>
      </w:pPr>
      <w:rPr>
        <w:rFonts w:hint="default"/>
        <w:b/>
        <w:bCs/>
        <w:caps w:val="0"/>
        <w:strike w:val="0"/>
        <w:dstrike w:val="0"/>
        <w:color w:val="E5087D"/>
        <w:sz w:val="20"/>
        <w:szCs w:val="20"/>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3"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2"/>
  </w:num>
  <w:num w:numId="2" w16cid:durableId="229508072">
    <w:abstractNumId w:val="0"/>
  </w:num>
  <w:num w:numId="3" w16cid:durableId="1338994047">
    <w:abstractNumId w:val="3"/>
  </w:num>
  <w:num w:numId="4" w16cid:durableId="1826235833">
    <w:abstractNumId w:val="1"/>
  </w:num>
  <w:num w:numId="5" w16cid:durableId="41675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05889"/>
    <w:rsid w:val="00012325"/>
    <w:rsid w:val="0001378D"/>
    <w:rsid w:val="00014FE6"/>
    <w:rsid w:val="00024B7C"/>
    <w:rsid w:val="000909F8"/>
    <w:rsid w:val="00090B33"/>
    <w:rsid w:val="000B5210"/>
    <w:rsid w:val="000C1144"/>
    <w:rsid w:val="000D638B"/>
    <w:rsid w:val="000F2FAD"/>
    <w:rsid w:val="000F312C"/>
    <w:rsid w:val="000F3CBF"/>
    <w:rsid w:val="000F566A"/>
    <w:rsid w:val="00124D95"/>
    <w:rsid w:val="00136C71"/>
    <w:rsid w:val="00141E8C"/>
    <w:rsid w:val="00153EA4"/>
    <w:rsid w:val="00154C0B"/>
    <w:rsid w:val="00183791"/>
    <w:rsid w:val="00184EC9"/>
    <w:rsid w:val="001D325B"/>
    <w:rsid w:val="001D498C"/>
    <w:rsid w:val="001D63B2"/>
    <w:rsid w:val="001E53B3"/>
    <w:rsid w:val="001F379C"/>
    <w:rsid w:val="001F3C9D"/>
    <w:rsid w:val="001F6F3D"/>
    <w:rsid w:val="00221B15"/>
    <w:rsid w:val="00224A47"/>
    <w:rsid w:val="002263AE"/>
    <w:rsid w:val="00233258"/>
    <w:rsid w:val="0023452C"/>
    <w:rsid w:val="00237E61"/>
    <w:rsid w:val="00243B93"/>
    <w:rsid w:val="00254AD9"/>
    <w:rsid w:val="0025681B"/>
    <w:rsid w:val="00260386"/>
    <w:rsid w:val="002616EA"/>
    <w:rsid w:val="00264EFD"/>
    <w:rsid w:val="00266E8A"/>
    <w:rsid w:val="002746E9"/>
    <w:rsid w:val="00277A2B"/>
    <w:rsid w:val="0029306C"/>
    <w:rsid w:val="002B48FB"/>
    <w:rsid w:val="002C02E4"/>
    <w:rsid w:val="002C0B40"/>
    <w:rsid w:val="002C39AB"/>
    <w:rsid w:val="002C4533"/>
    <w:rsid w:val="002D0EF0"/>
    <w:rsid w:val="002D4DF8"/>
    <w:rsid w:val="002D75C4"/>
    <w:rsid w:val="002F07ED"/>
    <w:rsid w:val="002F1D20"/>
    <w:rsid w:val="00352F3E"/>
    <w:rsid w:val="003642DB"/>
    <w:rsid w:val="0037378C"/>
    <w:rsid w:val="0037528B"/>
    <w:rsid w:val="00384513"/>
    <w:rsid w:val="00397EA4"/>
    <w:rsid w:val="003A6678"/>
    <w:rsid w:val="003B2065"/>
    <w:rsid w:val="003B3DBC"/>
    <w:rsid w:val="003B50D5"/>
    <w:rsid w:val="003C5CA3"/>
    <w:rsid w:val="003D0CFC"/>
    <w:rsid w:val="003D3361"/>
    <w:rsid w:val="003D4504"/>
    <w:rsid w:val="003D6B52"/>
    <w:rsid w:val="003F092A"/>
    <w:rsid w:val="004354CE"/>
    <w:rsid w:val="004500AC"/>
    <w:rsid w:val="00453087"/>
    <w:rsid w:val="00455538"/>
    <w:rsid w:val="00460BEA"/>
    <w:rsid w:val="004649A8"/>
    <w:rsid w:val="00476614"/>
    <w:rsid w:val="00480A3E"/>
    <w:rsid w:val="004A025C"/>
    <w:rsid w:val="004A5D93"/>
    <w:rsid w:val="004B602B"/>
    <w:rsid w:val="004B6AB1"/>
    <w:rsid w:val="004C201A"/>
    <w:rsid w:val="004D1F7F"/>
    <w:rsid w:val="004E38AD"/>
    <w:rsid w:val="004E63FA"/>
    <w:rsid w:val="00521F96"/>
    <w:rsid w:val="005426F0"/>
    <w:rsid w:val="0055296C"/>
    <w:rsid w:val="00554509"/>
    <w:rsid w:val="00563969"/>
    <w:rsid w:val="00564F72"/>
    <w:rsid w:val="00577C4F"/>
    <w:rsid w:val="0058172B"/>
    <w:rsid w:val="00584CB1"/>
    <w:rsid w:val="005851A3"/>
    <w:rsid w:val="00586BDF"/>
    <w:rsid w:val="005A2E02"/>
    <w:rsid w:val="005B7E17"/>
    <w:rsid w:val="005C02ED"/>
    <w:rsid w:val="005D1CD3"/>
    <w:rsid w:val="005E69BE"/>
    <w:rsid w:val="005F2A31"/>
    <w:rsid w:val="005F6445"/>
    <w:rsid w:val="006075DC"/>
    <w:rsid w:val="0061046D"/>
    <w:rsid w:val="00615CD9"/>
    <w:rsid w:val="00615FB3"/>
    <w:rsid w:val="006225E4"/>
    <w:rsid w:val="00623D4C"/>
    <w:rsid w:val="00641C4C"/>
    <w:rsid w:val="00650A81"/>
    <w:rsid w:val="00662AE2"/>
    <w:rsid w:val="00667BA0"/>
    <w:rsid w:val="00667EE5"/>
    <w:rsid w:val="006714D6"/>
    <w:rsid w:val="00673F61"/>
    <w:rsid w:val="00686EC2"/>
    <w:rsid w:val="00691111"/>
    <w:rsid w:val="00692AC6"/>
    <w:rsid w:val="006976B0"/>
    <w:rsid w:val="006B22F0"/>
    <w:rsid w:val="006B73B5"/>
    <w:rsid w:val="006D6EC5"/>
    <w:rsid w:val="006F7955"/>
    <w:rsid w:val="00706951"/>
    <w:rsid w:val="00706A8A"/>
    <w:rsid w:val="00707DDA"/>
    <w:rsid w:val="0071371F"/>
    <w:rsid w:val="00715481"/>
    <w:rsid w:val="00727CC8"/>
    <w:rsid w:val="00735552"/>
    <w:rsid w:val="007763FC"/>
    <w:rsid w:val="007827A5"/>
    <w:rsid w:val="0079134B"/>
    <w:rsid w:val="007A168F"/>
    <w:rsid w:val="007B4565"/>
    <w:rsid w:val="007E10D7"/>
    <w:rsid w:val="007E5663"/>
    <w:rsid w:val="0080431D"/>
    <w:rsid w:val="00804941"/>
    <w:rsid w:val="0080699E"/>
    <w:rsid w:val="00817FBE"/>
    <w:rsid w:val="00836E9F"/>
    <w:rsid w:val="00844D51"/>
    <w:rsid w:val="00862E1A"/>
    <w:rsid w:val="00870AF4"/>
    <w:rsid w:val="00877505"/>
    <w:rsid w:val="008825CB"/>
    <w:rsid w:val="00886ACF"/>
    <w:rsid w:val="00890436"/>
    <w:rsid w:val="00895EB1"/>
    <w:rsid w:val="008A3532"/>
    <w:rsid w:val="008D0865"/>
    <w:rsid w:val="00914398"/>
    <w:rsid w:val="009665AD"/>
    <w:rsid w:val="00971B8F"/>
    <w:rsid w:val="00974974"/>
    <w:rsid w:val="00985BC7"/>
    <w:rsid w:val="00987ACC"/>
    <w:rsid w:val="0099599E"/>
    <w:rsid w:val="009A5269"/>
    <w:rsid w:val="009D7975"/>
    <w:rsid w:val="009D79FE"/>
    <w:rsid w:val="009D7BD2"/>
    <w:rsid w:val="009E2C41"/>
    <w:rsid w:val="009F16E3"/>
    <w:rsid w:val="009F6EE2"/>
    <w:rsid w:val="00A07DF6"/>
    <w:rsid w:val="00A12BB3"/>
    <w:rsid w:val="00A23506"/>
    <w:rsid w:val="00A444B9"/>
    <w:rsid w:val="00A53BE6"/>
    <w:rsid w:val="00A53E79"/>
    <w:rsid w:val="00A63241"/>
    <w:rsid w:val="00A66334"/>
    <w:rsid w:val="00A6791F"/>
    <w:rsid w:val="00A72B6E"/>
    <w:rsid w:val="00A72CD5"/>
    <w:rsid w:val="00AC4F16"/>
    <w:rsid w:val="00AD162F"/>
    <w:rsid w:val="00AE120D"/>
    <w:rsid w:val="00AE5323"/>
    <w:rsid w:val="00AF7387"/>
    <w:rsid w:val="00B00BED"/>
    <w:rsid w:val="00B063DD"/>
    <w:rsid w:val="00B12805"/>
    <w:rsid w:val="00B21FE1"/>
    <w:rsid w:val="00B431BF"/>
    <w:rsid w:val="00B75F88"/>
    <w:rsid w:val="00B80DA2"/>
    <w:rsid w:val="00B8353B"/>
    <w:rsid w:val="00BA12AA"/>
    <w:rsid w:val="00BA260C"/>
    <w:rsid w:val="00BC6523"/>
    <w:rsid w:val="00BC66FA"/>
    <w:rsid w:val="00BC7B01"/>
    <w:rsid w:val="00BD4306"/>
    <w:rsid w:val="00BE1607"/>
    <w:rsid w:val="00BE5BBB"/>
    <w:rsid w:val="00BF51D2"/>
    <w:rsid w:val="00C2483C"/>
    <w:rsid w:val="00C2676B"/>
    <w:rsid w:val="00C27D3E"/>
    <w:rsid w:val="00C30F1C"/>
    <w:rsid w:val="00C33A41"/>
    <w:rsid w:val="00C429F9"/>
    <w:rsid w:val="00C43721"/>
    <w:rsid w:val="00C4690F"/>
    <w:rsid w:val="00C47767"/>
    <w:rsid w:val="00C52A49"/>
    <w:rsid w:val="00C600A6"/>
    <w:rsid w:val="00C61BB3"/>
    <w:rsid w:val="00CA2219"/>
    <w:rsid w:val="00CA68FE"/>
    <w:rsid w:val="00CB39D8"/>
    <w:rsid w:val="00CC1FDF"/>
    <w:rsid w:val="00CD375E"/>
    <w:rsid w:val="00CE50B6"/>
    <w:rsid w:val="00CF475A"/>
    <w:rsid w:val="00D00F18"/>
    <w:rsid w:val="00D01A60"/>
    <w:rsid w:val="00D05DE1"/>
    <w:rsid w:val="00D10236"/>
    <w:rsid w:val="00D123A7"/>
    <w:rsid w:val="00D35E03"/>
    <w:rsid w:val="00D43CE8"/>
    <w:rsid w:val="00D57F02"/>
    <w:rsid w:val="00D63B2A"/>
    <w:rsid w:val="00D81F44"/>
    <w:rsid w:val="00D87995"/>
    <w:rsid w:val="00D912B5"/>
    <w:rsid w:val="00D94210"/>
    <w:rsid w:val="00DA5A7A"/>
    <w:rsid w:val="00DB6325"/>
    <w:rsid w:val="00DD244B"/>
    <w:rsid w:val="00DE75D0"/>
    <w:rsid w:val="00E0582C"/>
    <w:rsid w:val="00E060E6"/>
    <w:rsid w:val="00E2682B"/>
    <w:rsid w:val="00E30557"/>
    <w:rsid w:val="00E54129"/>
    <w:rsid w:val="00E6213C"/>
    <w:rsid w:val="00E64602"/>
    <w:rsid w:val="00E876C9"/>
    <w:rsid w:val="00EA0801"/>
    <w:rsid w:val="00EA5FED"/>
    <w:rsid w:val="00EA7D0D"/>
    <w:rsid w:val="00EB4773"/>
    <w:rsid w:val="00EC29AA"/>
    <w:rsid w:val="00EC7498"/>
    <w:rsid w:val="00EF3907"/>
    <w:rsid w:val="00F05BD1"/>
    <w:rsid w:val="00F10FA8"/>
    <w:rsid w:val="00F1232F"/>
    <w:rsid w:val="00F30238"/>
    <w:rsid w:val="00F36F3C"/>
    <w:rsid w:val="00F37CA4"/>
    <w:rsid w:val="00F40DDD"/>
    <w:rsid w:val="00F416B3"/>
    <w:rsid w:val="00F44614"/>
    <w:rsid w:val="00F6009F"/>
    <w:rsid w:val="00F6515F"/>
    <w:rsid w:val="00F724B6"/>
    <w:rsid w:val="00F7548A"/>
    <w:rsid w:val="00F755DA"/>
    <w:rsid w:val="00F75B96"/>
    <w:rsid w:val="00F773DE"/>
    <w:rsid w:val="00F818B3"/>
    <w:rsid w:val="00F94AF7"/>
    <w:rsid w:val="00F97540"/>
    <w:rsid w:val="00F9758D"/>
    <w:rsid w:val="00FA18A5"/>
    <w:rsid w:val="00FB1628"/>
    <w:rsid w:val="00FC0035"/>
    <w:rsid w:val="00FD5810"/>
    <w:rsid w:val="00FE24D7"/>
    <w:rsid w:val="02FED67D"/>
    <w:rsid w:val="034EB7AB"/>
    <w:rsid w:val="05673FF7"/>
    <w:rsid w:val="069343BB"/>
    <w:rsid w:val="06A30E56"/>
    <w:rsid w:val="0F722A2B"/>
    <w:rsid w:val="10692C8D"/>
    <w:rsid w:val="158B11BF"/>
    <w:rsid w:val="18BDFCB6"/>
    <w:rsid w:val="29CABDF0"/>
    <w:rsid w:val="2E668CDD"/>
    <w:rsid w:val="3311C561"/>
    <w:rsid w:val="34C5BAB9"/>
    <w:rsid w:val="359B3BEA"/>
    <w:rsid w:val="3773A49C"/>
    <w:rsid w:val="3AA7EA23"/>
    <w:rsid w:val="3DFE410A"/>
    <w:rsid w:val="3EBA34E6"/>
    <w:rsid w:val="403083DB"/>
    <w:rsid w:val="409AFABD"/>
    <w:rsid w:val="414FE8BD"/>
    <w:rsid w:val="46745F67"/>
    <w:rsid w:val="51F039FF"/>
    <w:rsid w:val="529005E4"/>
    <w:rsid w:val="5CFCC229"/>
    <w:rsid w:val="60F594B8"/>
    <w:rsid w:val="6375DA80"/>
    <w:rsid w:val="6822031A"/>
    <w:rsid w:val="6F9257CE"/>
    <w:rsid w:val="71DC772E"/>
    <w:rsid w:val="72DFD5D6"/>
    <w:rsid w:val="7613AD4F"/>
    <w:rsid w:val="797915B7"/>
    <w:rsid w:val="7A5F678D"/>
    <w:rsid w:val="7A96F03A"/>
    <w:rsid w:val="7EE273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9F7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4354CE"/>
    <w:pPr>
      <w:widowControl w:val="0"/>
      <w:numPr>
        <w:numId w:val="2"/>
      </w:numPr>
      <w:tabs>
        <w:tab w:val="left" w:pos="284"/>
      </w:tabs>
      <w:autoSpaceDE w:val="0"/>
      <w:autoSpaceDN w:val="0"/>
      <w:spacing w:line="300" w:lineRule="exact"/>
    </w:pPr>
    <w:rPr>
      <w:rFonts w:ascii="Poppins" w:hAnsi="Poppins" w:cs="Calibri Light"/>
      <w:b/>
      <w:bCs/>
      <w:kern w:val="0"/>
      <w:sz w:val="18"/>
    </w:rPr>
  </w:style>
  <w:style w:type="character" w:customStyle="1" w:styleId="Odrka1Char">
    <w:name w:val="Odrážka 1 Char"/>
    <w:basedOn w:val="Standardnpsmoodstavce"/>
    <w:link w:val="Odrka1"/>
    <w:rsid w:val="004354CE"/>
    <w:rPr>
      <w:rFonts w:ascii="Poppins" w:hAnsi="Poppins" w:cs="Calibri Light"/>
      <w:b/>
      <w:bCs/>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unhideWhenUsed/>
    <w:rsid w:val="00CD375E"/>
    <w:pPr>
      <w:spacing w:after="120"/>
    </w:pPr>
  </w:style>
  <w:style w:type="character" w:customStyle="1" w:styleId="ZkladntextChar">
    <w:name w:val="Základní text Char"/>
    <w:basedOn w:val="Standardnpsmoodstavce"/>
    <w:link w:val="Zkladntext"/>
    <w:uiPriority w:val="99"/>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paragraph" w:styleId="Revize">
    <w:name w:val="Revision"/>
    <w:hidden/>
    <w:uiPriority w:val="99"/>
    <w:semiHidden/>
    <w:rsid w:val="001F3C9D"/>
    <w:rPr>
      <w:rFonts w:ascii="Poppins" w:hAnsi="Poppins"/>
      <w:color w:val="3F3F3F"/>
      <w:kern w:val="0"/>
      <w:sz w:val="18"/>
    </w:rPr>
  </w:style>
  <w:style w:type="character" w:styleId="Odkaznakoment">
    <w:name w:val="annotation reference"/>
    <w:basedOn w:val="Standardnpsmoodstavce"/>
    <w:uiPriority w:val="99"/>
    <w:semiHidden/>
    <w:unhideWhenUsed/>
    <w:rsid w:val="00BC7B01"/>
    <w:rPr>
      <w:sz w:val="16"/>
      <w:szCs w:val="16"/>
    </w:rPr>
  </w:style>
  <w:style w:type="paragraph" w:styleId="Textkomente">
    <w:name w:val="annotation text"/>
    <w:basedOn w:val="Normln"/>
    <w:link w:val="TextkomenteChar"/>
    <w:uiPriority w:val="99"/>
    <w:unhideWhenUsed/>
    <w:rsid w:val="00BC7B01"/>
    <w:pPr>
      <w:spacing w:line="240" w:lineRule="auto"/>
    </w:pPr>
    <w:rPr>
      <w:sz w:val="20"/>
      <w:szCs w:val="20"/>
    </w:rPr>
  </w:style>
  <w:style w:type="character" w:customStyle="1" w:styleId="TextkomenteChar">
    <w:name w:val="Text komentáře Char"/>
    <w:basedOn w:val="Standardnpsmoodstavce"/>
    <w:link w:val="Textkomente"/>
    <w:uiPriority w:val="99"/>
    <w:rsid w:val="00BC7B01"/>
    <w:rPr>
      <w:rFonts w:ascii="Poppins" w:hAnsi="Poppins"/>
      <w:color w:val="3F3F3F"/>
      <w:kern w:val="0"/>
      <w:sz w:val="20"/>
      <w:szCs w:val="20"/>
    </w:rPr>
  </w:style>
  <w:style w:type="paragraph" w:styleId="Pedmtkomente">
    <w:name w:val="annotation subject"/>
    <w:basedOn w:val="Textkomente"/>
    <w:next w:val="Textkomente"/>
    <w:link w:val="PedmtkomenteChar"/>
    <w:uiPriority w:val="99"/>
    <w:semiHidden/>
    <w:unhideWhenUsed/>
    <w:rsid w:val="00BC7B01"/>
    <w:rPr>
      <w:b/>
      <w:bCs/>
    </w:rPr>
  </w:style>
  <w:style w:type="character" w:customStyle="1" w:styleId="PedmtkomenteChar">
    <w:name w:val="Předmět komentáře Char"/>
    <w:basedOn w:val="TextkomenteChar"/>
    <w:link w:val="Pedmtkomente"/>
    <w:uiPriority w:val="99"/>
    <w:semiHidden/>
    <w:rsid w:val="00BC7B01"/>
    <w:rPr>
      <w:rFonts w:ascii="Poppins" w:hAnsi="Poppins"/>
      <w:b/>
      <w:bCs/>
      <w:color w:val="3F3F3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29849">
      <w:bodyDiv w:val="1"/>
      <w:marLeft w:val="0"/>
      <w:marRight w:val="0"/>
      <w:marTop w:val="0"/>
      <w:marBottom w:val="0"/>
      <w:divBdr>
        <w:top w:val="none" w:sz="0" w:space="0" w:color="auto"/>
        <w:left w:val="none" w:sz="0" w:space="0" w:color="auto"/>
        <w:bottom w:val="none" w:sz="0" w:space="0" w:color="auto"/>
        <w:right w:val="none" w:sz="0" w:space="0" w:color="auto"/>
      </w:divBdr>
    </w:div>
    <w:div w:id="20039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ladimira.kolarikova@kli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3882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2026-07-23T12:41:00Z</dcterms:created>
  <dcterms:modified xsi:type="dcterms:W3CDTF">2026-07-23T12:44:00Z</dcterms:modified>
</cp:coreProperties>
</file>