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F9376" w14:textId="63A6E3AE" w:rsidR="00615FB3" w:rsidRPr="004A5D93" w:rsidRDefault="004A5D93" w:rsidP="00BC6523">
      <w:pPr>
        <w:spacing w:before="100" w:beforeAutospacing="1" w:after="120"/>
        <w:ind w:left="7788"/>
        <w:rPr>
          <w:b/>
          <w:bCs/>
        </w:rPr>
      </w:pPr>
      <w:r>
        <w:rPr>
          <w:b/>
          <w:bCs/>
        </w:rPr>
        <w:t xml:space="preserve">          </w:t>
      </w:r>
      <w:r w:rsidR="00615FB3" w:rsidRPr="004A5D93">
        <w:rPr>
          <w:b/>
          <w:bCs/>
        </w:rPr>
        <w:t>Tisková zpráva</w:t>
      </w:r>
    </w:p>
    <w:p w14:paraId="1F2F37DD" w14:textId="7F7FA2A6" w:rsidR="00615FB3" w:rsidRDefault="00D00F18" w:rsidP="002D75C4">
      <w:pPr>
        <w:spacing w:before="100" w:beforeAutospacing="1" w:after="120"/>
        <w:jc w:val="left"/>
        <w:rPr>
          <w:b/>
          <w:bCs/>
          <w:sz w:val="32"/>
          <w:szCs w:val="32"/>
        </w:rPr>
      </w:pPr>
      <w:r w:rsidRPr="00D00F18">
        <w:rPr>
          <w:b/>
          <w:bCs/>
          <w:sz w:val="32"/>
          <w:szCs w:val="32"/>
        </w:rPr>
        <w:t>Motorkáři riskují: Jen 6 % má havarijní pojištění</w:t>
      </w:r>
    </w:p>
    <w:p w14:paraId="7E6AD677" w14:textId="11751CC3" w:rsidR="00C2676B" w:rsidRPr="00A444B9" w:rsidRDefault="00C2676B" w:rsidP="00C2676B">
      <w:pPr>
        <w:tabs>
          <w:tab w:val="left" w:pos="8440"/>
        </w:tabs>
        <w:spacing w:before="100" w:beforeAutospacing="1" w:after="120"/>
        <w:rPr>
          <w:b/>
          <w:bCs/>
          <w:sz w:val="20"/>
          <w:szCs w:val="20"/>
        </w:rPr>
      </w:pPr>
      <w:r w:rsidRPr="00C2676B">
        <w:rPr>
          <w:sz w:val="20"/>
          <w:szCs w:val="20"/>
        </w:rPr>
        <w:t xml:space="preserve">Praha, </w:t>
      </w:r>
      <w:r w:rsidR="0037528B">
        <w:rPr>
          <w:sz w:val="20"/>
          <w:szCs w:val="20"/>
        </w:rPr>
        <w:t>9</w:t>
      </w:r>
      <w:r w:rsidRPr="00C2676B">
        <w:rPr>
          <w:sz w:val="20"/>
          <w:szCs w:val="20"/>
        </w:rPr>
        <w:t xml:space="preserve">. dubna </w:t>
      </w:r>
      <w:r w:rsidR="005F2A31" w:rsidRPr="00C2676B">
        <w:rPr>
          <w:sz w:val="20"/>
          <w:szCs w:val="20"/>
        </w:rPr>
        <w:t>202</w:t>
      </w:r>
      <w:r w:rsidR="005F2A31">
        <w:rPr>
          <w:sz w:val="20"/>
          <w:szCs w:val="20"/>
        </w:rPr>
        <w:t>6</w:t>
      </w:r>
      <w:r w:rsidR="00036A65">
        <w:rPr>
          <w:sz w:val="20"/>
          <w:szCs w:val="20"/>
        </w:rPr>
        <w:t xml:space="preserve"> </w:t>
      </w:r>
      <w:r w:rsidR="005F2A31">
        <w:rPr>
          <w:sz w:val="20"/>
          <w:szCs w:val="20"/>
        </w:rPr>
        <w:t>–</w:t>
      </w:r>
      <w:r w:rsidR="004D1F7F">
        <w:rPr>
          <w:sz w:val="20"/>
          <w:szCs w:val="20"/>
        </w:rPr>
        <w:t xml:space="preserve"> </w:t>
      </w:r>
      <w:r w:rsidR="00D00F18">
        <w:rPr>
          <w:b/>
          <w:bCs/>
          <w:sz w:val="20"/>
          <w:szCs w:val="20"/>
        </w:rPr>
        <w:t>Pouze</w:t>
      </w:r>
      <w:r w:rsidR="00727CC8" w:rsidRPr="00727CC8">
        <w:rPr>
          <w:b/>
          <w:bCs/>
          <w:sz w:val="20"/>
          <w:szCs w:val="20"/>
        </w:rPr>
        <w:t xml:space="preserve"> 6,1 % motorkářů v Česku má </w:t>
      </w:r>
      <w:r w:rsidR="00D00F18">
        <w:rPr>
          <w:b/>
          <w:bCs/>
          <w:sz w:val="20"/>
          <w:szCs w:val="20"/>
        </w:rPr>
        <w:t xml:space="preserve">sjednané </w:t>
      </w:r>
      <w:r w:rsidR="00727CC8" w:rsidRPr="00727CC8">
        <w:rPr>
          <w:b/>
          <w:bCs/>
          <w:sz w:val="20"/>
          <w:szCs w:val="20"/>
        </w:rPr>
        <w:t>havarijní pojištění, ačkoliv jeho význam roste. Po čtyřech letech poklesu se zájem o něj začíná zvyšovat, většina jezdců ale stále spoléhá pouze na povinné ručení. To v roce 2025 mírně zlevnilo (na průměrných 835 Kč), zatímco havarijní pojištění stojí kolem 7 500 Kč ročně. Nejvíce pojištěných motorkářů je ve Středočeském kraji, nejméně v Karlovarském. Při nehodě tak většina jezdců nemá kryté vlastní škody, vyplývá z analýzy Skupiny Klik.cz.</w:t>
      </w:r>
    </w:p>
    <w:p w14:paraId="77213BB3" w14:textId="42C6B46F" w:rsidR="005F2A31" w:rsidRPr="005F2A31" w:rsidRDefault="005F2A31" w:rsidP="005F2A31">
      <w:pPr>
        <w:tabs>
          <w:tab w:val="left" w:pos="8440"/>
        </w:tabs>
        <w:spacing w:before="100" w:beforeAutospacing="1" w:after="120"/>
        <w:rPr>
          <w:sz w:val="20"/>
          <w:szCs w:val="20"/>
        </w:rPr>
      </w:pPr>
      <w:r w:rsidRPr="005F2A31">
        <w:rPr>
          <w:sz w:val="20"/>
          <w:szCs w:val="20"/>
        </w:rPr>
        <w:t>Jaro je pro motorkáře začátek sezony, ale současně obdobím, kdy se nejvíce ukazuje podceňování rizik. „</w:t>
      </w:r>
      <w:r w:rsidRPr="005F2A31">
        <w:rPr>
          <w:i/>
          <w:iCs/>
          <w:sz w:val="20"/>
          <w:szCs w:val="20"/>
        </w:rPr>
        <w:t xml:space="preserve">Většina motorkářů spoléhá pouze na povinné ručení, které pokrývá </w:t>
      </w:r>
      <w:r w:rsidR="002D75C4">
        <w:rPr>
          <w:i/>
          <w:iCs/>
          <w:sz w:val="20"/>
          <w:szCs w:val="20"/>
        </w:rPr>
        <w:t xml:space="preserve">jen </w:t>
      </w:r>
      <w:r w:rsidRPr="005F2A31">
        <w:rPr>
          <w:i/>
          <w:iCs/>
          <w:sz w:val="20"/>
          <w:szCs w:val="20"/>
        </w:rPr>
        <w:t>škody způsobené ostatním účastníkům nehody</w:t>
      </w:r>
      <w:r w:rsidRPr="005F2A31">
        <w:rPr>
          <w:sz w:val="20"/>
          <w:szCs w:val="20"/>
        </w:rPr>
        <w:t xml:space="preserve">,“ </w:t>
      </w:r>
      <w:r w:rsidRPr="005F2A31">
        <w:rPr>
          <w:b/>
          <w:bCs/>
          <w:sz w:val="20"/>
          <w:szCs w:val="20"/>
        </w:rPr>
        <w:t>upozorňuje</w:t>
      </w:r>
      <w:r w:rsidRPr="005F2A31">
        <w:rPr>
          <w:sz w:val="20"/>
          <w:szCs w:val="20"/>
        </w:rPr>
        <w:t xml:space="preserve"> </w:t>
      </w:r>
      <w:r w:rsidR="007E5663" w:rsidRPr="007E5663">
        <w:rPr>
          <w:b/>
          <w:bCs/>
          <w:sz w:val="20"/>
          <w:szCs w:val="20"/>
        </w:rPr>
        <w:t>Karel </w:t>
      </w:r>
      <w:proofErr w:type="spellStart"/>
      <w:r w:rsidR="007E5663" w:rsidRPr="007E5663">
        <w:rPr>
          <w:b/>
          <w:bCs/>
          <w:sz w:val="20"/>
          <w:szCs w:val="20"/>
        </w:rPr>
        <w:t>Šultes</w:t>
      </w:r>
      <w:proofErr w:type="spellEnd"/>
      <w:r w:rsidR="007E5663" w:rsidRPr="007E5663">
        <w:rPr>
          <w:b/>
          <w:bCs/>
          <w:sz w:val="20"/>
          <w:szCs w:val="20"/>
        </w:rPr>
        <w:t>, ředitel produktu a datové analýzy, Skupina Klik.cz.</w:t>
      </w:r>
      <w:r w:rsidR="007E5663" w:rsidRPr="007E5663">
        <w:rPr>
          <w:sz w:val="20"/>
          <w:szCs w:val="20"/>
        </w:rPr>
        <w:t> </w:t>
      </w:r>
    </w:p>
    <w:p w14:paraId="50FC2E86" w14:textId="3FF9355F" w:rsidR="005F2A31" w:rsidRPr="005F2A31" w:rsidRDefault="005F2A31" w:rsidP="005F2A31">
      <w:pPr>
        <w:tabs>
          <w:tab w:val="left" w:pos="8440"/>
        </w:tabs>
        <w:spacing w:before="100" w:beforeAutospacing="1" w:after="120"/>
        <w:rPr>
          <w:sz w:val="20"/>
          <w:szCs w:val="20"/>
        </w:rPr>
      </w:pPr>
      <w:r w:rsidRPr="005F2A31">
        <w:rPr>
          <w:sz w:val="20"/>
          <w:szCs w:val="20"/>
        </w:rPr>
        <w:t>Havarijní pojištění, které řeší škody na vlastním stroji, mělo v roce 2025 uzavřeno jen 6,1 % motorkářů sjednávajících pojištění. Přestože jde o meziroční nárůst po čtyřech letech poklesu, dlouhodobý trend zůstává negativní – ještě v roce 2021 mělo havarijní pojištění více než 9 % jezdců. Motorkáři tak zůstávají finančně velmi zranitelní, protože bez havarijní pojistky mohou při nehodě doplácet tisíce i statisíce korun.</w:t>
      </w:r>
      <w:r>
        <w:rPr>
          <w:sz w:val="20"/>
          <w:szCs w:val="20"/>
        </w:rPr>
        <w:t xml:space="preserve"> </w:t>
      </w:r>
      <w:r w:rsidRPr="005F2A31">
        <w:rPr>
          <w:sz w:val="20"/>
          <w:szCs w:val="20"/>
        </w:rPr>
        <w:t>Odborníci Skupiny Klik.cz upozorňují, že s rostoucími náklady na opravy, ceny práce i náhradních dílů je tento přístup čím dál riskantnější, přestože zájem o</w:t>
      </w:r>
      <w:r w:rsidR="002D75C4">
        <w:rPr>
          <w:sz w:val="20"/>
          <w:szCs w:val="20"/>
        </w:rPr>
        <w:t> </w:t>
      </w:r>
      <w:r w:rsidRPr="005F2A31">
        <w:rPr>
          <w:sz w:val="20"/>
          <w:szCs w:val="20"/>
        </w:rPr>
        <w:t>havarijní pojištění začíná opět mírně růst.</w:t>
      </w:r>
    </w:p>
    <w:p w14:paraId="1BAA7E29" w14:textId="7DB012CF" w:rsidR="004B602B" w:rsidRDefault="004B602B" w:rsidP="005F2A31">
      <w:pPr>
        <w:tabs>
          <w:tab w:val="left" w:pos="8440"/>
        </w:tabs>
        <w:spacing w:before="100" w:beforeAutospacing="1" w:after="120"/>
        <w:rPr>
          <w:b/>
          <w:bCs/>
          <w:sz w:val="20"/>
          <w:szCs w:val="20"/>
        </w:rPr>
      </w:pPr>
      <w:r w:rsidRPr="004B602B">
        <w:rPr>
          <w:b/>
          <w:bCs/>
          <w:sz w:val="20"/>
          <w:szCs w:val="20"/>
        </w:rPr>
        <w:t>S výkonem roste</w:t>
      </w:r>
      <w:r>
        <w:rPr>
          <w:b/>
          <w:bCs/>
          <w:sz w:val="20"/>
          <w:szCs w:val="20"/>
        </w:rPr>
        <w:t xml:space="preserve"> i</w:t>
      </w:r>
      <w:r w:rsidRPr="004B602B">
        <w:rPr>
          <w:b/>
          <w:bCs/>
          <w:sz w:val="20"/>
          <w:szCs w:val="20"/>
        </w:rPr>
        <w:t xml:space="preserve"> zájem o havarijní pojištění</w:t>
      </w:r>
    </w:p>
    <w:p w14:paraId="5391E570" w14:textId="66CE9CD0" w:rsidR="002C0B40" w:rsidRDefault="00AD162F" w:rsidP="005F2A31">
      <w:pPr>
        <w:tabs>
          <w:tab w:val="left" w:pos="8440"/>
        </w:tabs>
        <w:spacing w:before="100" w:beforeAutospacing="1" w:after="120"/>
        <w:rPr>
          <w:sz w:val="20"/>
          <w:szCs w:val="20"/>
        </w:rPr>
      </w:pPr>
      <w:r w:rsidRPr="00A66334">
        <w:rPr>
          <w:noProof/>
          <w:sz w:val="20"/>
          <w:szCs w:val="20"/>
        </w:rPr>
        <w:drawing>
          <wp:anchor distT="0" distB="0" distL="114300" distR="114300" simplePos="0" relativeHeight="251660288" behindDoc="1" locked="0" layoutInCell="1" allowOverlap="1" wp14:anchorId="5EFDC1BD" wp14:editId="615E6D2E">
            <wp:simplePos x="0" y="0"/>
            <wp:positionH relativeFrom="margin">
              <wp:posOffset>945497</wp:posOffset>
            </wp:positionH>
            <wp:positionV relativeFrom="paragraph">
              <wp:posOffset>853780</wp:posOffset>
            </wp:positionV>
            <wp:extent cx="3503295" cy="2225040"/>
            <wp:effectExtent l="0" t="0" r="1905" b="3810"/>
            <wp:wrapTopAndBottom/>
            <wp:docPr id="21017196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1961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03295" cy="2225040"/>
                    </a:xfrm>
                    <a:prstGeom prst="rect">
                      <a:avLst/>
                    </a:prstGeom>
                  </pic:spPr>
                </pic:pic>
              </a:graphicData>
            </a:graphic>
            <wp14:sizeRelH relativeFrom="margin">
              <wp14:pctWidth>0</wp14:pctWidth>
            </wp14:sizeRelH>
            <wp14:sizeRelV relativeFrom="margin">
              <wp14:pctHeight>0</wp14:pctHeight>
            </wp14:sizeRelV>
          </wp:anchor>
        </w:drawing>
      </w:r>
      <w:r w:rsidR="002C0B40" w:rsidRPr="002C0B40">
        <w:rPr>
          <w:sz w:val="20"/>
          <w:szCs w:val="20"/>
        </w:rPr>
        <w:t>Převážná část pojištěných motocyklů spadá do střední kategorie. Nejvíce jich má objem 251–750 ccm, typicky jde o cestovní a silniční stroje. Výkonově ale převažují slabší motorky do 25 kW (zhruba polovina portfolia), u kterých je havarijní pojištění zároveň nejméně rozšířené.</w:t>
      </w:r>
    </w:p>
    <w:p w14:paraId="6F7852F3" w14:textId="07EC619F" w:rsidR="005F2A31" w:rsidRDefault="005F2A31" w:rsidP="005F2A31">
      <w:pPr>
        <w:tabs>
          <w:tab w:val="left" w:pos="8440"/>
        </w:tabs>
        <w:spacing w:before="100" w:beforeAutospacing="1" w:after="120"/>
        <w:rPr>
          <w:sz w:val="20"/>
          <w:szCs w:val="20"/>
        </w:rPr>
      </w:pPr>
      <w:r w:rsidRPr="005F2A31">
        <w:rPr>
          <w:sz w:val="20"/>
          <w:szCs w:val="20"/>
        </w:rPr>
        <w:lastRenderedPageBreak/>
        <w:t>S</w:t>
      </w:r>
      <w:r w:rsidR="002C0B40">
        <w:rPr>
          <w:sz w:val="20"/>
          <w:szCs w:val="20"/>
        </w:rPr>
        <w:t> vyšším</w:t>
      </w:r>
      <w:r w:rsidRPr="005F2A31">
        <w:rPr>
          <w:sz w:val="20"/>
          <w:szCs w:val="20"/>
        </w:rPr>
        <w:t xml:space="preserve"> výkonem roste i </w:t>
      </w:r>
      <w:r w:rsidR="00554509">
        <w:rPr>
          <w:sz w:val="20"/>
          <w:szCs w:val="20"/>
        </w:rPr>
        <w:t>cena</w:t>
      </w:r>
      <w:r w:rsidR="008D0865">
        <w:rPr>
          <w:sz w:val="20"/>
          <w:szCs w:val="20"/>
        </w:rPr>
        <w:t xml:space="preserve"> motorky a </w:t>
      </w:r>
      <w:r w:rsidRPr="005F2A31">
        <w:rPr>
          <w:sz w:val="20"/>
          <w:szCs w:val="20"/>
        </w:rPr>
        <w:t xml:space="preserve">ochota jezdců chránit svůj stroj. U motorek nad 100 kW má </w:t>
      </w:r>
      <w:r w:rsidR="00F9758D">
        <w:rPr>
          <w:sz w:val="20"/>
          <w:szCs w:val="20"/>
        </w:rPr>
        <w:t xml:space="preserve">sjednané </w:t>
      </w:r>
      <w:r w:rsidRPr="005F2A31">
        <w:rPr>
          <w:sz w:val="20"/>
          <w:szCs w:val="20"/>
        </w:rPr>
        <w:t>havarijní pojištění 11,3 %</w:t>
      </w:r>
      <w:r w:rsidR="00F9758D">
        <w:rPr>
          <w:sz w:val="20"/>
          <w:szCs w:val="20"/>
        </w:rPr>
        <w:t xml:space="preserve"> majitelů</w:t>
      </w:r>
      <w:r w:rsidRPr="005F2A31">
        <w:rPr>
          <w:sz w:val="20"/>
          <w:szCs w:val="20"/>
        </w:rPr>
        <w:t>, zatímco u strojů do 25 kW jen 5 %.</w:t>
      </w:r>
    </w:p>
    <w:p w14:paraId="3DEE7201" w14:textId="184789FB" w:rsidR="00D10236" w:rsidRPr="005F2A31" w:rsidRDefault="00D10236" w:rsidP="005F2A31">
      <w:pPr>
        <w:tabs>
          <w:tab w:val="left" w:pos="8440"/>
        </w:tabs>
        <w:spacing w:before="100" w:beforeAutospacing="1" w:after="120"/>
        <w:rPr>
          <w:b/>
          <w:bCs/>
          <w:sz w:val="20"/>
          <w:szCs w:val="20"/>
        </w:rPr>
      </w:pPr>
      <w:r>
        <w:rPr>
          <w:b/>
          <w:bCs/>
          <w:sz w:val="20"/>
          <w:szCs w:val="20"/>
        </w:rPr>
        <w:t>Cena povinného ručení v roce 2025 klesala, nejdražší je v Praze</w:t>
      </w:r>
    </w:p>
    <w:p w14:paraId="084E1577" w14:textId="338287C9" w:rsidR="00EC7498" w:rsidRDefault="009A5269" w:rsidP="00F1232F">
      <w:pPr>
        <w:tabs>
          <w:tab w:val="left" w:pos="8440"/>
        </w:tabs>
        <w:spacing w:before="100" w:beforeAutospacing="1" w:after="120"/>
        <w:rPr>
          <w:sz w:val="20"/>
          <w:szCs w:val="20"/>
        </w:rPr>
      </w:pPr>
      <w:r w:rsidRPr="009A5269">
        <w:rPr>
          <w:sz w:val="20"/>
          <w:szCs w:val="20"/>
        </w:rPr>
        <w:t>Průměrná cena povinného ručení v roce 2025 mírně klesla na 835 Kč ročně, nejdražší pak bylo v</w:t>
      </w:r>
      <w:r w:rsidR="00012325">
        <w:rPr>
          <w:sz w:val="20"/>
          <w:szCs w:val="20"/>
        </w:rPr>
        <w:t> </w:t>
      </w:r>
      <w:r w:rsidRPr="009A5269">
        <w:rPr>
          <w:sz w:val="20"/>
          <w:szCs w:val="20"/>
        </w:rPr>
        <w:t>Praze, kde činilo průměrně 1 026 Kč. Nejlevnější povinné ručení mají naopak motorkáři v krajích s</w:t>
      </w:r>
      <w:r w:rsidR="00F1232F">
        <w:rPr>
          <w:sz w:val="20"/>
          <w:szCs w:val="20"/>
        </w:rPr>
        <w:t> </w:t>
      </w:r>
      <w:r w:rsidRPr="009A5269">
        <w:rPr>
          <w:sz w:val="20"/>
          <w:szCs w:val="20"/>
        </w:rPr>
        <w:t xml:space="preserve">nižší hustotou dopravy, typicky na Vysočině nebo v Jihočeském kraji. </w:t>
      </w:r>
    </w:p>
    <w:p w14:paraId="172E2353" w14:textId="59BF8AA7" w:rsidR="009E2C41" w:rsidRDefault="00EC7498" w:rsidP="00F1232F">
      <w:pPr>
        <w:tabs>
          <w:tab w:val="left" w:pos="8440"/>
        </w:tabs>
        <w:spacing w:before="100" w:beforeAutospacing="1" w:after="120"/>
        <w:rPr>
          <w:sz w:val="20"/>
          <w:szCs w:val="20"/>
        </w:rPr>
      </w:pPr>
      <w:r>
        <w:rPr>
          <w:sz w:val="20"/>
          <w:szCs w:val="20"/>
        </w:rPr>
        <w:t>„</w:t>
      </w:r>
      <w:r w:rsidR="001E53B3" w:rsidRPr="002D75C4">
        <w:rPr>
          <w:i/>
          <w:iCs/>
          <w:sz w:val="20"/>
          <w:szCs w:val="20"/>
        </w:rPr>
        <w:t>Za poklesem stojí především změny v cenotvorbě pojišťoven, které více zohledňují například roční nájezd a individuální rizikovost řidiče</w:t>
      </w:r>
      <w:r w:rsidR="009E2C41">
        <w:rPr>
          <w:i/>
          <w:iCs/>
          <w:sz w:val="20"/>
          <w:szCs w:val="20"/>
        </w:rPr>
        <w:t xml:space="preserve">,“ </w:t>
      </w:r>
      <w:r w:rsidR="009E2C41" w:rsidRPr="00E876C9">
        <w:rPr>
          <w:b/>
          <w:bCs/>
          <w:sz w:val="20"/>
          <w:szCs w:val="20"/>
        </w:rPr>
        <w:t xml:space="preserve">dodává </w:t>
      </w:r>
      <w:proofErr w:type="spellStart"/>
      <w:r w:rsidR="009E2C41" w:rsidRPr="00E876C9">
        <w:rPr>
          <w:b/>
          <w:bCs/>
          <w:sz w:val="20"/>
          <w:szCs w:val="20"/>
        </w:rPr>
        <w:t>Šultes</w:t>
      </w:r>
      <w:proofErr w:type="spellEnd"/>
      <w:r w:rsidR="009A5269" w:rsidRPr="009A5269">
        <w:rPr>
          <w:sz w:val="20"/>
          <w:szCs w:val="20"/>
        </w:rPr>
        <w:t xml:space="preserve">. </w:t>
      </w:r>
    </w:p>
    <w:p w14:paraId="4E0A401C" w14:textId="6BE0C6B1" w:rsidR="009A5269" w:rsidRDefault="009A5269" w:rsidP="00F1232F">
      <w:pPr>
        <w:tabs>
          <w:tab w:val="left" w:pos="8440"/>
        </w:tabs>
        <w:spacing w:before="100" w:beforeAutospacing="1" w:after="120"/>
        <w:rPr>
          <w:sz w:val="20"/>
          <w:szCs w:val="20"/>
        </w:rPr>
      </w:pPr>
      <w:r w:rsidRPr="009A5269">
        <w:rPr>
          <w:sz w:val="20"/>
          <w:szCs w:val="20"/>
        </w:rPr>
        <w:t>Naopak havarijní pojištění mírně zdražuje – průměrně vychází na zhruba 7 500 Kč ročně, v Praze téměř 7 900 Kč. Nejvíce pojištěných motorkářů je tradičně ve Středočeském kraji, nejméně v</w:t>
      </w:r>
      <w:r w:rsidR="00F1232F">
        <w:rPr>
          <w:sz w:val="20"/>
          <w:szCs w:val="20"/>
        </w:rPr>
        <w:t> </w:t>
      </w:r>
      <w:r w:rsidRPr="009A5269">
        <w:rPr>
          <w:sz w:val="20"/>
          <w:szCs w:val="20"/>
        </w:rPr>
        <w:t>Karlovarském. Výrazné rozdíly jsou ale i v podílu havarijního pojištění – zatímco v Praze má havarijní pojištění přes 14 % jezdců, v některých regionech je to jen kolem 4 %. Vyšší podíl v hlavním městě souvisí s vyšší hodnotou motocyklů, větším rizikem odcizení i vyšší kupní silou.</w:t>
      </w:r>
    </w:p>
    <w:p w14:paraId="1D5FCF0E" w14:textId="611904CE" w:rsidR="00985BC7" w:rsidRDefault="002C39AB" w:rsidP="00F1232F">
      <w:pPr>
        <w:tabs>
          <w:tab w:val="left" w:pos="8440"/>
        </w:tabs>
        <w:spacing w:before="100" w:beforeAutospacing="1" w:after="120"/>
        <w:rPr>
          <w:b/>
          <w:bCs/>
          <w:sz w:val="20"/>
          <w:szCs w:val="20"/>
        </w:rPr>
      </w:pPr>
      <w:r w:rsidRPr="002D75C4">
        <w:rPr>
          <w:b/>
          <w:bCs/>
          <w:sz w:val="20"/>
          <w:szCs w:val="20"/>
        </w:rPr>
        <w:t xml:space="preserve">Jak lze </w:t>
      </w:r>
      <w:r w:rsidR="0079134B">
        <w:rPr>
          <w:b/>
          <w:bCs/>
          <w:sz w:val="20"/>
          <w:szCs w:val="20"/>
        </w:rPr>
        <w:t>na</w:t>
      </w:r>
      <w:r w:rsidR="0025681B">
        <w:rPr>
          <w:b/>
          <w:bCs/>
          <w:sz w:val="20"/>
          <w:szCs w:val="20"/>
        </w:rPr>
        <w:t xml:space="preserve"> pojištění</w:t>
      </w:r>
      <w:r w:rsidR="0079134B">
        <w:rPr>
          <w:b/>
          <w:bCs/>
          <w:sz w:val="20"/>
          <w:szCs w:val="20"/>
        </w:rPr>
        <w:t xml:space="preserve"> ušetřit</w:t>
      </w:r>
      <w:r w:rsidR="00985BC7" w:rsidRPr="002D75C4">
        <w:rPr>
          <w:b/>
          <w:bCs/>
          <w:sz w:val="20"/>
          <w:szCs w:val="20"/>
        </w:rPr>
        <w:t xml:space="preserve"> </w:t>
      </w:r>
    </w:p>
    <w:p w14:paraId="3ABA57FB" w14:textId="255A4E93" w:rsidR="00662AE2" w:rsidRDefault="00662AE2" w:rsidP="00F1232F">
      <w:pPr>
        <w:spacing w:before="240" w:after="240"/>
        <w:rPr>
          <w:sz w:val="20"/>
          <w:szCs w:val="20"/>
        </w:rPr>
      </w:pPr>
      <w:r w:rsidRPr="00662AE2">
        <w:rPr>
          <w:sz w:val="20"/>
          <w:szCs w:val="20"/>
        </w:rPr>
        <w:t xml:space="preserve">Cena havarijního pojištění dlouhodobě roste, a proto je přirozené hledat způsoby, jak tento náklad co nejvíce optimalizovat. Jednou z efektivních cest je sjednání pojištění pouze pro vybraná rizika, která skutečně odpovídají potřebám konkrétního motorkáře. Další úspory lze dosáhnout také nastavením </w:t>
      </w:r>
      <w:r w:rsidR="00F10FA8">
        <w:rPr>
          <w:sz w:val="20"/>
          <w:szCs w:val="20"/>
        </w:rPr>
        <w:t xml:space="preserve">vyšší </w:t>
      </w:r>
      <w:r w:rsidRPr="00662AE2">
        <w:rPr>
          <w:sz w:val="20"/>
          <w:szCs w:val="20"/>
        </w:rPr>
        <w:t xml:space="preserve">spoluúčasti – </w:t>
      </w:r>
      <w:r w:rsidR="00F10FA8">
        <w:rPr>
          <w:sz w:val="20"/>
          <w:szCs w:val="20"/>
        </w:rPr>
        <w:t>ta</w:t>
      </w:r>
      <w:r w:rsidRPr="00662AE2">
        <w:rPr>
          <w:sz w:val="20"/>
          <w:szCs w:val="20"/>
        </w:rPr>
        <w:t xml:space="preserve"> sice znamená větší podíl na případné škodě, zároveň však přináší </w:t>
      </w:r>
      <w:r w:rsidR="00F10FA8">
        <w:rPr>
          <w:sz w:val="20"/>
          <w:szCs w:val="20"/>
        </w:rPr>
        <w:t>levnější</w:t>
      </w:r>
      <w:r w:rsidRPr="00662AE2">
        <w:rPr>
          <w:sz w:val="20"/>
          <w:szCs w:val="20"/>
        </w:rPr>
        <w:t xml:space="preserve"> pojistné.</w:t>
      </w:r>
    </w:p>
    <w:p w14:paraId="735ECC28" w14:textId="77777777" w:rsidR="005F2A31" w:rsidRPr="005F2A31" w:rsidRDefault="005F2A31" w:rsidP="005F2A31">
      <w:pPr>
        <w:pBdr>
          <w:top w:val="single" w:sz="4" w:space="1" w:color="auto"/>
          <w:left w:val="single" w:sz="4" w:space="4" w:color="auto"/>
          <w:bottom w:val="single" w:sz="4" w:space="1" w:color="auto"/>
          <w:right w:val="single" w:sz="4" w:space="4" w:color="auto"/>
        </w:pBdr>
        <w:tabs>
          <w:tab w:val="left" w:pos="8440"/>
        </w:tabs>
        <w:spacing w:before="100" w:beforeAutospacing="1" w:after="120"/>
        <w:rPr>
          <w:sz w:val="20"/>
          <w:szCs w:val="20"/>
        </w:rPr>
      </w:pPr>
      <w:r w:rsidRPr="005F2A31">
        <w:rPr>
          <w:b/>
          <w:bCs/>
          <w:sz w:val="20"/>
          <w:szCs w:val="20"/>
        </w:rPr>
        <w:t>Tip odborníka:</w:t>
      </w:r>
      <w:r w:rsidRPr="005F2A31">
        <w:rPr>
          <w:sz w:val="20"/>
          <w:szCs w:val="20"/>
        </w:rPr>
        <w:t xml:space="preserve"> Havarijní pojištění si stále sjednává jen malá část motorkářů, přestože jeho význam roste. I když jeho cena v posledních letech mírně stoupá, v porovnání s hodnotou motocyklu jde o relativně dostupnou ochranu. Skupina Klik.cz proto doporučuje nejen kontrolu nastavení stávajících smluv, ale i zvážení širšího krytí – zejména u výkonnějších nebo novějších strojů.</w:t>
      </w:r>
    </w:p>
    <w:p w14:paraId="38193908" w14:textId="70025B71" w:rsidR="00476614" w:rsidRDefault="003F092A" w:rsidP="00476614">
      <w:pPr>
        <w:pStyle w:val="Zkladntext"/>
        <w:spacing w:before="240" w:line="276" w:lineRule="auto"/>
        <w:jc w:val="left"/>
        <w:rPr>
          <w:b/>
          <w:bCs/>
        </w:rPr>
      </w:pPr>
      <w:r>
        <w:rPr>
          <w:noProof/>
          <w:lang w:eastAsia="cs-CZ"/>
        </w:rPr>
        <mc:AlternateContent>
          <mc:Choice Requires="wps">
            <w:drawing>
              <wp:anchor distT="0" distB="0" distL="0" distR="0" simplePos="0" relativeHeight="251659264" behindDoc="1" locked="0" layoutInCell="1" allowOverlap="1" wp14:anchorId="5CFC9241" wp14:editId="06388FE5">
                <wp:simplePos x="0" y="0"/>
                <wp:positionH relativeFrom="page">
                  <wp:posOffset>698381</wp:posOffset>
                </wp:positionH>
                <wp:positionV relativeFrom="paragraph">
                  <wp:posOffset>242522</wp:posOffset>
                </wp:positionV>
                <wp:extent cx="1960880" cy="1270"/>
                <wp:effectExtent l="10160" t="12065" r="10160" b="5715"/>
                <wp:wrapTopAndBottom/>
                <wp:docPr id="577979920"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0880" cy="1270"/>
                        </a:xfrm>
                        <a:custGeom>
                          <a:avLst/>
                          <a:gdLst>
                            <a:gd name="T0" fmla="*/ 0 w 1960880"/>
                            <a:gd name="T1" fmla="*/ 0 h 1270"/>
                            <a:gd name="T2" fmla="*/ 1960452 w 1960880"/>
                            <a:gd name="T3" fmla="*/ 0 h 1270"/>
                          </a:gdLst>
                          <a:ahLst/>
                          <a:cxnLst>
                            <a:cxn ang="0">
                              <a:pos x="T0" y="T1"/>
                            </a:cxn>
                            <a:cxn ang="0">
                              <a:pos x="T2" y="T3"/>
                            </a:cxn>
                          </a:cxnLst>
                          <a:rect l="0" t="0" r="r" b="b"/>
                          <a:pathLst>
                            <a:path w="1960880" h="1270">
                              <a:moveTo>
                                <a:pt x="0" y="0"/>
                              </a:moveTo>
                              <a:lnTo>
                                <a:pt x="1960452" y="0"/>
                              </a:lnTo>
                            </a:path>
                          </a:pathLst>
                        </a:custGeom>
                        <a:noFill/>
                        <a:ln w="8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65550" id="Graphic 18" o:spid="_x0000_s1026" style="position:absolute;margin-left:55pt;margin-top:19.1pt;width:154.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60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" path="m,l1960452,e" filled="f" strokeweight=".22817mm">
                <v:path arrowok="t" o:connecttype="custom" o:connectlocs="0,0;1960452,0" o:connectangles="0,0"/>
                <w10:wrap type="topAndBottom" anchorx="page"/>
              </v:shape>
            </w:pict>
          </mc:Fallback>
        </mc:AlternateContent>
      </w:r>
      <w:r w:rsidR="00476614">
        <w:t xml:space="preserve">Kontakt pro média: </w:t>
      </w:r>
    </w:p>
    <w:p w14:paraId="3AADBF0C" w14:textId="77777777" w:rsidR="00476614" w:rsidRPr="00A011E4" w:rsidRDefault="00476614" w:rsidP="00476614">
      <w:pPr>
        <w:pStyle w:val="Zkladntext"/>
        <w:spacing w:line="276" w:lineRule="auto"/>
        <w:jc w:val="left"/>
      </w:pPr>
      <w:r>
        <w:rPr>
          <w:b/>
          <w:bCs/>
        </w:rPr>
        <w:t>Vladimíra Kolaříková</w:t>
      </w:r>
      <w:r>
        <w:rPr>
          <w:b/>
          <w:bCs/>
        </w:rPr>
        <w:br/>
      </w:r>
      <w:r w:rsidRPr="00A011E4">
        <w:t xml:space="preserve">PR </w:t>
      </w:r>
      <w:r>
        <w:t>M</w:t>
      </w:r>
      <w:r w:rsidRPr="00A011E4">
        <w:t>anager</w:t>
      </w:r>
      <w:r>
        <w:t>,</w:t>
      </w:r>
      <w:r w:rsidRPr="00A011E4">
        <w:t xml:space="preserve"> Skupina Klik.cz</w:t>
      </w:r>
      <w:r>
        <w:br/>
        <w:t>tel.:</w:t>
      </w:r>
      <w:r>
        <w:rPr>
          <w:spacing w:val="-5"/>
        </w:rPr>
        <w:t xml:space="preserve"> </w:t>
      </w:r>
      <w:r>
        <w:t>+420</w:t>
      </w:r>
      <w:r>
        <w:rPr>
          <w:spacing w:val="-4"/>
        </w:rPr>
        <w:t xml:space="preserve"> </w:t>
      </w:r>
      <w:r>
        <w:t>602</w:t>
      </w:r>
      <w:r>
        <w:rPr>
          <w:spacing w:val="-1"/>
        </w:rPr>
        <w:t xml:space="preserve"> </w:t>
      </w:r>
      <w:r>
        <w:t>408</w:t>
      </w:r>
      <w:r>
        <w:rPr>
          <w:spacing w:val="-6"/>
        </w:rPr>
        <w:t> </w:t>
      </w:r>
      <w:r>
        <w:rPr>
          <w:spacing w:val="-5"/>
        </w:rPr>
        <w:t>539</w:t>
      </w:r>
      <w:r>
        <w:br/>
        <w:t>e-mail:</w:t>
      </w:r>
      <w:r>
        <w:rPr>
          <w:spacing w:val="-6"/>
        </w:rPr>
        <w:t xml:space="preserve"> </w:t>
      </w:r>
      <w:hyperlink r:id="rId8">
        <w:r>
          <w:rPr>
            <w:spacing w:val="-2"/>
            <w:u w:val="single"/>
          </w:rPr>
          <w:t>vladimira.kolarikova@klik.cz</w:t>
        </w:r>
      </w:hyperlink>
    </w:p>
    <w:p w14:paraId="368712B7" w14:textId="77777777" w:rsidR="00476614" w:rsidRDefault="00476614" w:rsidP="00476614">
      <w:pPr>
        <w:pStyle w:val="Zkladntext"/>
        <w:spacing w:line="276" w:lineRule="auto"/>
        <w:rPr>
          <w:b/>
          <w:bCs/>
        </w:rPr>
      </w:pPr>
    </w:p>
    <w:p w14:paraId="5632C4F5" w14:textId="77777777" w:rsidR="00651934" w:rsidRDefault="00651934" w:rsidP="00476614">
      <w:pPr>
        <w:pStyle w:val="Zkladntext"/>
        <w:spacing w:line="276" w:lineRule="auto"/>
        <w:rPr>
          <w:b/>
          <w:bCs/>
          <w:szCs w:val="18"/>
        </w:rPr>
      </w:pPr>
    </w:p>
    <w:p w14:paraId="3DA5528E" w14:textId="77777777" w:rsidR="00651934" w:rsidRDefault="00651934" w:rsidP="00476614">
      <w:pPr>
        <w:pStyle w:val="Zkladntext"/>
        <w:spacing w:line="276" w:lineRule="auto"/>
        <w:rPr>
          <w:b/>
          <w:bCs/>
          <w:szCs w:val="18"/>
        </w:rPr>
      </w:pPr>
    </w:p>
    <w:p w14:paraId="4AF12E32" w14:textId="74BACF08" w:rsidR="00476614" w:rsidRPr="00970E6D" w:rsidRDefault="00476614" w:rsidP="00476614">
      <w:pPr>
        <w:pStyle w:val="Zkladntext"/>
        <w:spacing w:line="276" w:lineRule="auto"/>
        <w:rPr>
          <w:b/>
          <w:bCs/>
          <w:szCs w:val="18"/>
        </w:rPr>
      </w:pPr>
      <w:r w:rsidRPr="00970E6D">
        <w:rPr>
          <w:b/>
          <w:bCs/>
          <w:szCs w:val="18"/>
        </w:rPr>
        <w:lastRenderedPageBreak/>
        <w:t>Skupina Klik.cz</w:t>
      </w:r>
    </w:p>
    <w:p w14:paraId="21861E58" w14:textId="77777777" w:rsidR="00476614" w:rsidRPr="00970E6D" w:rsidRDefault="00476614" w:rsidP="00476614">
      <w:pPr>
        <w:pStyle w:val="Zkladntext"/>
        <w:spacing w:before="120" w:line="276" w:lineRule="auto"/>
        <w:rPr>
          <w:szCs w:val="18"/>
        </w:rPr>
      </w:pPr>
      <w:r w:rsidRPr="00970E6D">
        <w:rPr>
          <w:szCs w:val="18"/>
        </w:rPr>
        <w:t>Sdružujeme přední české internetové srovnávače, díky kterým nabízíme poradenství a sjednávání produktů tak, abychom co nejlépe pomohli šetřit rodinné finance. Exkluzivní partnerství se všemi klíčovými finančními institucemi na českém trhu nám umožňuje nabídnout zákazníkům to nejvýhodnější řešení při zřizování povinného ručení, havarijního pojištění, pojištění domácnosti a nemovitosti, cestovního pojištění, životního pojištění, ale i při volbě půjček, hypoték a energií. To vše z</w:t>
      </w:r>
      <w:r>
        <w:rPr>
          <w:szCs w:val="18"/>
        </w:rPr>
        <w:t> </w:t>
      </w:r>
      <w:r w:rsidRPr="00970E6D">
        <w:rPr>
          <w:szCs w:val="18"/>
        </w:rPr>
        <w:t>pohodlí jejich domovů.</w:t>
      </w:r>
    </w:p>
    <w:p w14:paraId="3146C8D9" w14:textId="5220BC20" w:rsidR="00476614" w:rsidRPr="00970E6D" w:rsidRDefault="00476614" w:rsidP="00476614">
      <w:pPr>
        <w:pStyle w:val="Zkladntext"/>
        <w:spacing w:before="120" w:line="264" w:lineRule="auto"/>
        <w:rPr>
          <w:szCs w:val="18"/>
        </w:rPr>
      </w:pPr>
      <w:r w:rsidRPr="00970E6D">
        <w:rPr>
          <w:szCs w:val="18"/>
        </w:rPr>
        <w:t>Naše srovnávače vystupují jako samostatní zprostředkovatelé dle zákona o distribuci pojištění. Řídíme se zákonem o energetice a</w:t>
      </w:r>
      <w:r>
        <w:rPr>
          <w:szCs w:val="18"/>
        </w:rPr>
        <w:t> </w:t>
      </w:r>
      <w:r w:rsidRPr="00970E6D">
        <w:rPr>
          <w:szCs w:val="18"/>
        </w:rPr>
        <w:t>předpisy Energetického regulačního úřadu. Plníme roli objektivního a</w:t>
      </w:r>
      <w:r>
        <w:rPr>
          <w:szCs w:val="18"/>
        </w:rPr>
        <w:t> </w:t>
      </w:r>
      <w:r w:rsidRPr="00970E6D">
        <w:rPr>
          <w:szCs w:val="18"/>
        </w:rPr>
        <w:t>transparentního prostředníka, který je motivován k</w:t>
      </w:r>
      <w:r>
        <w:rPr>
          <w:szCs w:val="18"/>
        </w:rPr>
        <w:t> </w:t>
      </w:r>
      <w:r w:rsidRPr="00970E6D">
        <w:rPr>
          <w:szCs w:val="18"/>
        </w:rPr>
        <w:t>propagaci nejvhodnějšího produktu pro klienta bez ohledu na konečný výběr značky pojišťovny.</w:t>
      </w:r>
    </w:p>
    <w:p w14:paraId="6D4310B3" w14:textId="3B91D3CE" w:rsidR="00667EE5" w:rsidRPr="00667EE5" w:rsidRDefault="00476614" w:rsidP="00C30F1C">
      <w:pPr>
        <w:pStyle w:val="Zkladntext"/>
        <w:spacing w:before="120" w:line="264" w:lineRule="auto"/>
      </w:pPr>
      <w:r w:rsidRPr="00970E6D">
        <w:rPr>
          <w:szCs w:val="18"/>
        </w:rPr>
        <w:t xml:space="preserve">Součástí Skupiny Klik.cz jsou tyto klíčové srovnávače: Klik.cz, Srovnejto.cz, ePojisteni.cz, </w:t>
      </w:r>
      <w:proofErr w:type="spellStart"/>
      <w:r w:rsidRPr="00970E6D">
        <w:rPr>
          <w:szCs w:val="18"/>
        </w:rPr>
        <w:t>Tarifomat</w:t>
      </w:r>
      <w:proofErr w:type="spellEnd"/>
      <w:r w:rsidRPr="00970E6D">
        <w:rPr>
          <w:szCs w:val="18"/>
        </w:rPr>
        <w:t xml:space="preserve"> a</w:t>
      </w:r>
      <w:r>
        <w:rPr>
          <w:szCs w:val="18"/>
        </w:rPr>
        <w:t> </w:t>
      </w:r>
      <w:r w:rsidRPr="00970E6D">
        <w:rPr>
          <w:szCs w:val="18"/>
        </w:rPr>
        <w:t xml:space="preserve">Porovnej24.cz. Jsme součástí mezinárodní skupiny </w:t>
      </w:r>
      <w:proofErr w:type="spellStart"/>
      <w:r w:rsidRPr="00970E6D">
        <w:rPr>
          <w:szCs w:val="18"/>
        </w:rPr>
        <w:t>Netrisk</w:t>
      </w:r>
      <w:proofErr w:type="spellEnd"/>
      <w:r w:rsidRPr="00970E6D">
        <w:rPr>
          <w:szCs w:val="18"/>
        </w:rPr>
        <w:t xml:space="preserve"> Group, která kromě Česka provozuje srovnávače v</w:t>
      </w:r>
      <w:r>
        <w:rPr>
          <w:szCs w:val="18"/>
        </w:rPr>
        <w:t> </w:t>
      </w:r>
      <w:r w:rsidRPr="00970E6D">
        <w:rPr>
          <w:szCs w:val="18"/>
        </w:rPr>
        <w:t>dalších pěti evropských zemích</w:t>
      </w:r>
      <w:r>
        <w:rPr>
          <w:szCs w:val="18"/>
        </w:rPr>
        <w:t>:</w:t>
      </w:r>
      <w:r w:rsidRPr="00970E6D">
        <w:rPr>
          <w:szCs w:val="18"/>
        </w:rPr>
        <w:t xml:space="preserve"> na Slovensku, v</w:t>
      </w:r>
      <w:r>
        <w:rPr>
          <w:szCs w:val="18"/>
        </w:rPr>
        <w:t> </w:t>
      </w:r>
      <w:r w:rsidRPr="00970E6D">
        <w:rPr>
          <w:szCs w:val="18"/>
        </w:rPr>
        <w:t>Rakousku, Maďarsku, Polsku a Litvě.</w:t>
      </w:r>
      <w:r w:rsidR="00667EE5">
        <w:tab/>
      </w:r>
    </w:p>
    <w:sectPr w:rsidR="00667EE5" w:rsidRPr="00667EE5" w:rsidSect="005E69BE">
      <w:headerReference w:type="default" r:id="rId9"/>
      <w:footerReference w:type="default" r:id="rId10"/>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6B3A1" w14:textId="77777777" w:rsidR="0085422E" w:rsidRDefault="0085422E" w:rsidP="005E69BE">
      <w:pPr>
        <w:spacing w:line="240" w:lineRule="auto"/>
      </w:pPr>
      <w:r>
        <w:separator/>
      </w:r>
    </w:p>
  </w:endnote>
  <w:endnote w:type="continuationSeparator" w:id="0">
    <w:p w14:paraId="269A98C7" w14:textId="77777777" w:rsidR="0085422E" w:rsidRDefault="0085422E" w:rsidP="005E69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oppins">
    <w:charset w:val="EE"/>
    <w:family w:val="auto"/>
    <w:pitch w:val="variable"/>
    <w:sig w:usb0="00008007" w:usb1="00000000" w:usb2="00000000" w:usb3="00000000" w:csb0="00000093" w:csb1="00000000"/>
  </w:font>
  <w:font w:name="Poppins Bold">
    <w:altName w:val="Poppins"/>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Fedra Sans Alt Std Light">
    <w:altName w:val="Calibri"/>
    <w:panose1 w:val="00000000000000000000"/>
    <w:charset w:val="00"/>
    <w:family w:val="modern"/>
    <w:notTrueType/>
    <w:pitch w:val="variable"/>
    <w:sig w:usb0="A000003F" w:usb1="5001E4FB" w:usb2="00000000" w:usb3="00000000" w:csb0="00000093" w:csb1="00000000"/>
  </w:font>
  <w:font w:name="Calibri">
    <w:panose1 w:val="020F0502020204030204"/>
    <w:charset w:val="EE"/>
    <w:family w:val="swiss"/>
    <w:pitch w:val="variable"/>
    <w:sig w:usb0="E4002EFF" w:usb1="C200247B" w:usb2="00000009" w:usb3="00000000" w:csb0="000001FF" w:csb1="00000000"/>
  </w:font>
  <w:font w:name="Fedra Sans Alt Std Medium">
    <w:altName w:val="Calibri"/>
    <w:panose1 w:val="00000000000000000000"/>
    <w:charset w:val="00"/>
    <w:family w:val="modern"/>
    <w:notTrueType/>
    <w:pitch w:val="variable"/>
    <w:sig w:usb0="E00002FF" w:usb1="5001E4FB" w:usb2="00000000" w:usb3="00000000" w:csb0="0000019F" w:csb1="00000000"/>
  </w:font>
  <w:font w:name="Quicksand">
    <w:altName w:val="Calibri"/>
    <w:charset w:val="EE"/>
    <w:family w:val="auto"/>
    <w:pitch w:val="variable"/>
    <w:sig w:usb0="2000000F" w:usb1="00000001" w:usb2="00000000" w:usb3="00000000" w:csb0="000001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4184" w14:textId="72FCEC31" w:rsidR="009F16E3" w:rsidRPr="009F16E3" w:rsidRDefault="005C02ED" w:rsidP="009F16E3">
    <w:pPr>
      <w:pStyle w:val="Zpat"/>
      <w:jc w:val="center"/>
      <w:rPr>
        <w:sz w:val="16"/>
        <w:szCs w:val="20"/>
      </w:rPr>
    </w:pPr>
    <w:r w:rsidRPr="005C02ED">
      <w:rPr>
        <w:noProof/>
      </w:rPr>
      <w:drawing>
        <wp:anchor distT="0" distB="0" distL="114300" distR="114300" simplePos="0" relativeHeight="251664384" behindDoc="0" locked="0" layoutInCell="1" allowOverlap="1" wp14:anchorId="6BFDF74E" wp14:editId="7813F33E">
          <wp:simplePos x="0" y="0"/>
          <wp:positionH relativeFrom="margin">
            <wp:posOffset>-19050</wp:posOffset>
          </wp:positionH>
          <wp:positionV relativeFrom="paragraph">
            <wp:posOffset>-204899</wp:posOffset>
          </wp:positionV>
          <wp:extent cx="6157722" cy="190445"/>
          <wp:effectExtent l="0" t="0" r="0" b="635"/>
          <wp:wrapNone/>
          <wp:docPr id="128720431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04318" name=""/>
                  <pic:cNvPicPr/>
                </pic:nvPicPr>
                <pic:blipFill>
                  <a:blip r:embed="rId1">
                    <a:extLst>
                      <a:ext uri="{96DAC541-7B7A-43D3-8B79-37D633B846F1}">
                        <asvg:svgBlip xmlns:asvg="http://schemas.microsoft.com/office/drawing/2016/SVG/main" r:embed="rId2"/>
                      </a:ext>
                    </a:extLst>
                  </a:blip>
                  <a:stretch>
                    <a:fillRect/>
                  </a:stretch>
                </pic:blipFill>
                <pic:spPr>
                  <a:xfrm>
                    <a:off x="0" y="0"/>
                    <a:ext cx="6157722" cy="190445"/>
                  </a:xfrm>
                  <a:prstGeom prst="rect">
                    <a:avLst/>
                  </a:prstGeom>
                </pic:spPr>
              </pic:pic>
            </a:graphicData>
          </a:graphic>
          <wp14:sizeRelH relativeFrom="margin">
            <wp14:pctWidth>0</wp14:pctWidth>
          </wp14:sizeRelH>
          <wp14:sizeRelV relativeFrom="margin">
            <wp14:pctHeight>0</wp14:pctHeight>
          </wp14:sizeRelV>
        </wp:anchor>
      </w:drawing>
    </w:r>
    <w:r w:rsidR="009F16E3" w:rsidRPr="009F16E3">
      <w:rPr>
        <w:sz w:val="16"/>
        <w:szCs w:val="20"/>
      </w:rPr>
      <w:t>Rohanské nábřeží 678/29, 186 00 Praha 8 - Karlín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DC984" w14:textId="77777777" w:rsidR="0085422E" w:rsidRDefault="0085422E" w:rsidP="005E69BE">
      <w:pPr>
        <w:spacing w:line="240" w:lineRule="auto"/>
      </w:pPr>
      <w:r>
        <w:separator/>
      </w:r>
    </w:p>
  </w:footnote>
  <w:footnote w:type="continuationSeparator" w:id="0">
    <w:p w14:paraId="7A0D8B5C" w14:textId="77777777" w:rsidR="0085422E" w:rsidRDefault="0085422E" w:rsidP="005E69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318336367"/>
      <w:docPartObj>
        <w:docPartGallery w:val="Page Numbers (Top of Page)"/>
        <w:docPartUnique/>
      </w:docPartObj>
    </w:sdtPr>
    <w:sdtContent>
      <w:p w14:paraId="7DF950EC" w14:textId="368D1022" w:rsidR="002C02E4" w:rsidRPr="005C02ED" w:rsidRDefault="00C61BB3">
        <w:pPr>
          <w:pStyle w:val="Zhlav"/>
          <w:jc w:val="right"/>
          <w:rPr>
            <w:szCs w:val="18"/>
          </w:rPr>
        </w:pPr>
        <w:r w:rsidRPr="005C02ED">
          <w:rPr>
            <w:noProof/>
            <w:szCs w:val="18"/>
          </w:rPr>
          <w:drawing>
            <wp:anchor distT="0" distB="0" distL="114300" distR="114300" simplePos="0" relativeHeight="251663360" behindDoc="0" locked="0" layoutInCell="1" allowOverlap="1" wp14:anchorId="6BA586DA" wp14:editId="24084EB8">
              <wp:simplePos x="0" y="0"/>
              <wp:positionH relativeFrom="column">
                <wp:posOffset>10700</wp:posOffset>
              </wp:positionH>
              <wp:positionV relativeFrom="paragraph">
                <wp:posOffset>194310</wp:posOffset>
              </wp:positionV>
              <wp:extent cx="1490205" cy="184150"/>
              <wp:effectExtent l="0" t="0" r="0" b="6350"/>
              <wp:wrapNone/>
              <wp:docPr id="45326295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295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90205" cy="184150"/>
                      </a:xfrm>
                      <a:prstGeom prst="rect">
                        <a:avLst/>
                      </a:prstGeom>
                    </pic:spPr>
                  </pic:pic>
                </a:graphicData>
              </a:graphic>
              <wp14:sizeRelH relativeFrom="margin">
                <wp14:pctWidth>0</wp14:pctWidth>
              </wp14:sizeRelH>
              <wp14:sizeRelV relativeFrom="margin">
                <wp14:pctHeight>0</wp14:pctHeight>
              </wp14:sizeRelV>
            </wp:anchor>
          </w:drawing>
        </w:r>
      </w:p>
      <w:p w14:paraId="509FE4CA" w14:textId="705CE368" w:rsidR="00862E1A" w:rsidRPr="005C02ED" w:rsidRDefault="00862E1A">
        <w:pPr>
          <w:pStyle w:val="Zhlav"/>
          <w:jc w:val="right"/>
          <w:rPr>
            <w:szCs w:val="18"/>
          </w:rPr>
        </w:pPr>
        <w:r w:rsidRPr="005C02ED">
          <w:rPr>
            <w:szCs w:val="18"/>
          </w:rPr>
          <w:fldChar w:fldCharType="begin"/>
        </w:r>
        <w:r w:rsidRPr="005C02ED">
          <w:rPr>
            <w:szCs w:val="18"/>
          </w:rPr>
          <w:instrText>PAGE</w:instrText>
        </w:r>
        <w:r w:rsidRPr="005C02ED">
          <w:rPr>
            <w:szCs w:val="18"/>
          </w:rPr>
          <w:fldChar w:fldCharType="separate"/>
        </w:r>
        <w:r w:rsidRPr="005C02ED">
          <w:rPr>
            <w:szCs w:val="18"/>
          </w:rPr>
          <w:t>2</w:t>
        </w:r>
        <w:r w:rsidRPr="005C02ED">
          <w:rPr>
            <w:szCs w:val="18"/>
          </w:rPr>
          <w:fldChar w:fldCharType="end"/>
        </w:r>
        <w:r w:rsidRPr="005C02ED">
          <w:rPr>
            <w:color w:val="E5087D"/>
            <w:szCs w:val="18"/>
          </w:rPr>
          <w:t>/</w:t>
        </w:r>
        <w:r w:rsidRPr="005C02ED">
          <w:rPr>
            <w:szCs w:val="18"/>
          </w:rPr>
          <w:fldChar w:fldCharType="begin"/>
        </w:r>
        <w:r w:rsidRPr="005C02ED">
          <w:rPr>
            <w:szCs w:val="18"/>
          </w:rPr>
          <w:instrText>NUMPAGES</w:instrText>
        </w:r>
        <w:r w:rsidRPr="005C02ED">
          <w:rPr>
            <w:szCs w:val="18"/>
          </w:rPr>
          <w:fldChar w:fldCharType="separate"/>
        </w:r>
        <w:r w:rsidRPr="005C02ED">
          <w:rPr>
            <w:szCs w:val="18"/>
          </w:rPr>
          <w:t>2</w:t>
        </w:r>
        <w:r w:rsidRPr="005C02ED">
          <w:rPr>
            <w:szCs w:val="18"/>
          </w:rPr>
          <w:fldChar w:fldCharType="end"/>
        </w:r>
      </w:p>
    </w:sdtContent>
  </w:sdt>
  <w:p w14:paraId="29DBBA6B" w14:textId="03CFDAEB" w:rsidR="005E69BE" w:rsidRPr="005C02ED" w:rsidRDefault="005E69BE">
    <w:pPr>
      <w:pStyle w:val="Zhlav"/>
      <w:rPr>
        <w:sz w:val="22"/>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11C13"/>
    <w:multiLevelType w:val="multilevel"/>
    <w:tmpl w:val="032CFAA6"/>
    <w:lvl w:ilvl="0">
      <w:start w:val="1"/>
      <w:numFmt w:val="decimal"/>
      <w:pStyle w:val="Odrka1"/>
      <w:lvlText w:val="%1."/>
      <w:lvlJc w:val="left"/>
      <w:pPr>
        <w:ind w:left="360" w:hanging="360"/>
      </w:pPr>
      <w:rPr>
        <w:rFonts w:hint="default"/>
        <w:b/>
        <w:bCs/>
        <w:caps w:val="0"/>
        <w:strike w:val="0"/>
        <w:dstrike w:val="0"/>
        <w:color w:val="E5087D"/>
        <w:sz w:val="20"/>
        <w:szCs w:val="20"/>
        <w:vertAlign w:val="baseli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F01D69"/>
    <w:multiLevelType w:val="multilevel"/>
    <w:tmpl w:val="152C7B84"/>
    <w:lvl w:ilvl="0">
      <w:start w:val="1"/>
      <w:numFmt w:val="decimal"/>
      <w:lvlText w:val="%1."/>
      <w:lvlJc w:val="left"/>
      <w:pPr>
        <w:tabs>
          <w:tab w:val="num" w:pos="720"/>
        </w:tabs>
        <w:ind w:left="720" w:hanging="720"/>
      </w:pPr>
    </w:lvl>
    <w:lvl w:ilvl="1">
      <w:start w:val="1"/>
      <w:numFmt w:val="decimal"/>
      <w:pStyle w:val="Odrk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D9F11D4"/>
    <w:multiLevelType w:val="hybridMultilevel"/>
    <w:tmpl w:val="6CEE69D4"/>
    <w:lvl w:ilvl="0" w:tplc="5A5874D6">
      <w:start w:val="1"/>
      <w:numFmt w:val="bullet"/>
      <w:lvlText w:val=""/>
      <w:lvlJc w:val="left"/>
      <w:pPr>
        <w:ind w:left="360" w:hanging="360"/>
      </w:pPr>
      <w:rPr>
        <w:rFonts w:ascii="Wingdings" w:hAnsi="Wingdings" w:hint="default"/>
        <w:color w:val="B8A875"/>
        <w:sz w:val="10"/>
      </w:rPr>
    </w:lvl>
    <w:lvl w:ilvl="1" w:tplc="FFFFFFFF" w:tentative="1">
      <w:start w:val="1"/>
      <w:numFmt w:val="bullet"/>
      <w:lvlText w:val="o"/>
      <w:lvlJc w:val="left"/>
      <w:pPr>
        <w:ind w:left="796" w:hanging="360"/>
      </w:pPr>
      <w:rPr>
        <w:rFonts w:ascii="Courier New" w:hAnsi="Courier New" w:cs="Courier New" w:hint="default"/>
      </w:rPr>
    </w:lvl>
    <w:lvl w:ilvl="2" w:tplc="FFFFFFFF" w:tentative="1">
      <w:start w:val="1"/>
      <w:numFmt w:val="bullet"/>
      <w:lvlText w:val=""/>
      <w:lvlJc w:val="left"/>
      <w:pPr>
        <w:ind w:left="1516" w:hanging="360"/>
      </w:pPr>
      <w:rPr>
        <w:rFonts w:ascii="Wingdings" w:hAnsi="Wingdings" w:hint="default"/>
      </w:rPr>
    </w:lvl>
    <w:lvl w:ilvl="3" w:tplc="FFFFFFFF" w:tentative="1">
      <w:start w:val="1"/>
      <w:numFmt w:val="bullet"/>
      <w:lvlText w:val=""/>
      <w:lvlJc w:val="left"/>
      <w:pPr>
        <w:ind w:left="2236" w:hanging="360"/>
      </w:pPr>
      <w:rPr>
        <w:rFonts w:ascii="Symbol" w:hAnsi="Symbol" w:hint="default"/>
      </w:rPr>
    </w:lvl>
    <w:lvl w:ilvl="4" w:tplc="FFFFFFFF" w:tentative="1">
      <w:start w:val="1"/>
      <w:numFmt w:val="bullet"/>
      <w:lvlText w:val="o"/>
      <w:lvlJc w:val="left"/>
      <w:pPr>
        <w:ind w:left="2956" w:hanging="360"/>
      </w:pPr>
      <w:rPr>
        <w:rFonts w:ascii="Courier New" w:hAnsi="Courier New" w:cs="Courier New" w:hint="default"/>
      </w:rPr>
    </w:lvl>
    <w:lvl w:ilvl="5" w:tplc="FFFFFFFF" w:tentative="1">
      <w:start w:val="1"/>
      <w:numFmt w:val="bullet"/>
      <w:lvlText w:val=""/>
      <w:lvlJc w:val="left"/>
      <w:pPr>
        <w:ind w:left="3676" w:hanging="360"/>
      </w:pPr>
      <w:rPr>
        <w:rFonts w:ascii="Wingdings" w:hAnsi="Wingdings" w:hint="default"/>
      </w:rPr>
    </w:lvl>
    <w:lvl w:ilvl="6" w:tplc="FFFFFFFF" w:tentative="1">
      <w:start w:val="1"/>
      <w:numFmt w:val="bullet"/>
      <w:lvlText w:val=""/>
      <w:lvlJc w:val="left"/>
      <w:pPr>
        <w:ind w:left="4396" w:hanging="360"/>
      </w:pPr>
      <w:rPr>
        <w:rFonts w:ascii="Symbol" w:hAnsi="Symbol" w:hint="default"/>
      </w:rPr>
    </w:lvl>
    <w:lvl w:ilvl="7" w:tplc="FFFFFFFF" w:tentative="1">
      <w:start w:val="1"/>
      <w:numFmt w:val="bullet"/>
      <w:lvlText w:val="o"/>
      <w:lvlJc w:val="left"/>
      <w:pPr>
        <w:ind w:left="5116" w:hanging="360"/>
      </w:pPr>
      <w:rPr>
        <w:rFonts w:ascii="Courier New" w:hAnsi="Courier New" w:cs="Courier New" w:hint="default"/>
      </w:rPr>
    </w:lvl>
    <w:lvl w:ilvl="8" w:tplc="FFFFFFFF" w:tentative="1">
      <w:start w:val="1"/>
      <w:numFmt w:val="bullet"/>
      <w:lvlText w:val=""/>
      <w:lvlJc w:val="left"/>
      <w:pPr>
        <w:ind w:left="5836" w:hanging="360"/>
      </w:pPr>
      <w:rPr>
        <w:rFonts w:ascii="Wingdings" w:hAnsi="Wingdings" w:hint="default"/>
      </w:rPr>
    </w:lvl>
  </w:abstractNum>
  <w:abstractNum w:abstractNumId="3" w15:restartNumberingAfterBreak="0">
    <w:nsid w:val="6B072B96"/>
    <w:multiLevelType w:val="multilevel"/>
    <w:tmpl w:val="820A2B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140664">
    <w:abstractNumId w:val="2"/>
  </w:num>
  <w:num w:numId="2" w16cid:durableId="229508072">
    <w:abstractNumId w:val="0"/>
  </w:num>
  <w:num w:numId="3" w16cid:durableId="1338994047">
    <w:abstractNumId w:val="3"/>
  </w:num>
  <w:num w:numId="4" w16cid:durableId="1826235833">
    <w:abstractNumId w:val="1"/>
  </w:num>
  <w:num w:numId="5" w16cid:durableId="416757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BE"/>
    <w:rsid w:val="00005889"/>
    <w:rsid w:val="00012325"/>
    <w:rsid w:val="0001378D"/>
    <w:rsid w:val="00014FE6"/>
    <w:rsid w:val="00024B7C"/>
    <w:rsid w:val="00036A65"/>
    <w:rsid w:val="000B5210"/>
    <w:rsid w:val="000D638B"/>
    <w:rsid w:val="000F312C"/>
    <w:rsid w:val="000F3CBF"/>
    <w:rsid w:val="000F566A"/>
    <w:rsid w:val="00124D95"/>
    <w:rsid w:val="00136C71"/>
    <w:rsid w:val="00141E8C"/>
    <w:rsid w:val="00153EA4"/>
    <w:rsid w:val="00154C0B"/>
    <w:rsid w:val="00183791"/>
    <w:rsid w:val="00184EC9"/>
    <w:rsid w:val="001D498C"/>
    <w:rsid w:val="001D63B2"/>
    <w:rsid w:val="001E53B3"/>
    <w:rsid w:val="001F379C"/>
    <w:rsid w:val="001F3C9D"/>
    <w:rsid w:val="00221B15"/>
    <w:rsid w:val="002263AE"/>
    <w:rsid w:val="0023452C"/>
    <w:rsid w:val="00237E61"/>
    <w:rsid w:val="00243B93"/>
    <w:rsid w:val="0025681B"/>
    <w:rsid w:val="002616EA"/>
    <w:rsid w:val="00264EFD"/>
    <w:rsid w:val="00266E8A"/>
    <w:rsid w:val="002746E9"/>
    <w:rsid w:val="00277A2B"/>
    <w:rsid w:val="0029306C"/>
    <w:rsid w:val="002B48FB"/>
    <w:rsid w:val="002C02E4"/>
    <w:rsid w:val="002C0B40"/>
    <w:rsid w:val="002C39AB"/>
    <w:rsid w:val="002D0EF0"/>
    <w:rsid w:val="002D4DF8"/>
    <w:rsid w:val="002D75C4"/>
    <w:rsid w:val="002F07ED"/>
    <w:rsid w:val="002F1D20"/>
    <w:rsid w:val="00352F3E"/>
    <w:rsid w:val="0037378C"/>
    <w:rsid w:val="0037528B"/>
    <w:rsid w:val="00384513"/>
    <w:rsid w:val="0039472E"/>
    <w:rsid w:val="00397EA4"/>
    <w:rsid w:val="003A6678"/>
    <w:rsid w:val="003B2065"/>
    <w:rsid w:val="003B3DBC"/>
    <w:rsid w:val="003B50D5"/>
    <w:rsid w:val="003C5CA3"/>
    <w:rsid w:val="003D0CFC"/>
    <w:rsid w:val="003D4504"/>
    <w:rsid w:val="003F092A"/>
    <w:rsid w:val="004354CE"/>
    <w:rsid w:val="004500AC"/>
    <w:rsid w:val="00453087"/>
    <w:rsid w:val="004649A8"/>
    <w:rsid w:val="00476614"/>
    <w:rsid w:val="00480A3E"/>
    <w:rsid w:val="004A025C"/>
    <w:rsid w:val="004A5D93"/>
    <w:rsid w:val="004B602B"/>
    <w:rsid w:val="004B6AB1"/>
    <w:rsid w:val="004C201A"/>
    <w:rsid w:val="004D1F7F"/>
    <w:rsid w:val="004E38AD"/>
    <w:rsid w:val="00521F96"/>
    <w:rsid w:val="005426F0"/>
    <w:rsid w:val="0054468D"/>
    <w:rsid w:val="0055296C"/>
    <w:rsid w:val="00554509"/>
    <w:rsid w:val="00563969"/>
    <w:rsid w:val="00564F72"/>
    <w:rsid w:val="00577C4F"/>
    <w:rsid w:val="0058172B"/>
    <w:rsid w:val="00584CB1"/>
    <w:rsid w:val="005851A3"/>
    <w:rsid w:val="00586BDF"/>
    <w:rsid w:val="005A2E02"/>
    <w:rsid w:val="005C02ED"/>
    <w:rsid w:val="005E69BE"/>
    <w:rsid w:val="005F2A31"/>
    <w:rsid w:val="005F6445"/>
    <w:rsid w:val="006075DC"/>
    <w:rsid w:val="0061046D"/>
    <w:rsid w:val="00615CD9"/>
    <w:rsid w:val="00615FB3"/>
    <w:rsid w:val="00623D4C"/>
    <w:rsid w:val="00641C4C"/>
    <w:rsid w:val="00651934"/>
    <w:rsid w:val="00662AE2"/>
    <w:rsid w:val="00667EE5"/>
    <w:rsid w:val="006714D6"/>
    <w:rsid w:val="00673F61"/>
    <w:rsid w:val="00686EC2"/>
    <w:rsid w:val="00691111"/>
    <w:rsid w:val="006976B0"/>
    <w:rsid w:val="006B22F0"/>
    <w:rsid w:val="006D6EC5"/>
    <w:rsid w:val="006F7955"/>
    <w:rsid w:val="00706951"/>
    <w:rsid w:val="00707DDA"/>
    <w:rsid w:val="0071371F"/>
    <w:rsid w:val="00727CC8"/>
    <w:rsid w:val="00735552"/>
    <w:rsid w:val="007763FC"/>
    <w:rsid w:val="007827A5"/>
    <w:rsid w:val="0079134B"/>
    <w:rsid w:val="007A168F"/>
    <w:rsid w:val="007B4565"/>
    <w:rsid w:val="007E10D7"/>
    <w:rsid w:val="007E5663"/>
    <w:rsid w:val="0080431D"/>
    <w:rsid w:val="0080699E"/>
    <w:rsid w:val="00817FBE"/>
    <w:rsid w:val="00836E9F"/>
    <w:rsid w:val="00844D51"/>
    <w:rsid w:val="0085422E"/>
    <w:rsid w:val="00862E1A"/>
    <w:rsid w:val="00870AF4"/>
    <w:rsid w:val="00877505"/>
    <w:rsid w:val="008825CB"/>
    <w:rsid w:val="00890436"/>
    <w:rsid w:val="00895EB1"/>
    <w:rsid w:val="008A3532"/>
    <w:rsid w:val="008D0865"/>
    <w:rsid w:val="00914398"/>
    <w:rsid w:val="009665AD"/>
    <w:rsid w:val="00971B8F"/>
    <w:rsid w:val="00974974"/>
    <w:rsid w:val="00985BC7"/>
    <w:rsid w:val="00987ACC"/>
    <w:rsid w:val="0099599E"/>
    <w:rsid w:val="009A5269"/>
    <w:rsid w:val="009D7975"/>
    <w:rsid w:val="009D79FE"/>
    <w:rsid w:val="009D7BD2"/>
    <w:rsid w:val="009E2C41"/>
    <w:rsid w:val="009F16E3"/>
    <w:rsid w:val="009F6EE2"/>
    <w:rsid w:val="00A07DF6"/>
    <w:rsid w:val="00A12BB3"/>
    <w:rsid w:val="00A23506"/>
    <w:rsid w:val="00A444B9"/>
    <w:rsid w:val="00A63241"/>
    <w:rsid w:val="00A66334"/>
    <w:rsid w:val="00A6791F"/>
    <w:rsid w:val="00A72B6E"/>
    <w:rsid w:val="00A72CD5"/>
    <w:rsid w:val="00AC4F16"/>
    <w:rsid w:val="00AD162F"/>
    <w:rsid w:val="00AE120D"/>
    <w:rsid w:val="00AE5323"/>
    <w:rsid w:val="00AF7387"/>
    <w:rsid w:val="00B00BED"/>
    <w:rsid w:val="00B063DD"/>
    <w:rsid w:val="00B21FE1"/>
    <w:rsid w:val="00B431BF"/>
    <w:rsid w:val="00B75F88"/>
    <w:rsid w:val="00B80DA2"/>
    <w:rsid w:val="00BA12AA"/>
    <w:rsid w:val="00BA260C"/>
    <w:rsid w:val="00BC6523"/>
    <w:rsid w:val="00BC66FA"/>
    <w:rsid w:val="00BC7B01"/>
    <w:rsid w:val="00BD4306"/>
    <w:rsid w:val="00BE5BBB"/>
    <w:rsid w:val="00BF51D2"/>
    <w:rsid w:val="00C2483C"/>
    <w:rsid w:val="00C2676B"/>
    <w:rsid w:val="00C27D3E"/>
    <w:rsid w:val="00C30F1C"/>
    <w:rsid w:val="00C33A41"/>
    <w:rsid w:val="00C429F9"/>
    <w:rsid w:val="00C4690F"/>
    <w:rsid w:val="00C52A49"/>
    <w:rsid w:val="00C600A6"/>
    <w:rsid w:val="00C61BB3"/>
    <w:rsid w:val="00CA68FE"/>
    <w:rsid w:val="00CB39D8"/>
    <w:rsid w:val="00CC1FDF"/>
    <w:rsid w:val="00CD375E"/>
    <w:rsid w:val="00CE50B6"/>
    <w:rsid w:val="00CF475A"/>
    <w:rsid w:val="00D00F18"/>
    <w:rsid w:val="00D01A60"/>
    <w:rsid w:val="00D05DE1"/>
    <w:rsid w:val="00D10236"/>
    <w:rsid w:val="00D123A7"/>
    <w:rsid w:val="00D43CE8"/>
    <w:rsid w:val="00D57F02"/>
    <w:rsid w:val="00D63B2A"/>
    <w:rsid w:val="00D81F44"/>
    <w:rsid w:val="00D87995"/>
    <w:rsid w:val="00D94210"/>
    <w:rsid w:val="00DB6325"/>
    <w:rsid w:val="00DD244B"/>
    <w:rsid w:val="00DE75D0"/>
    <w:rsid w:val="00E0582C"/>
    <w:rsid w:val="00E060E6"/>
    <w:rsid w:val="00E30557"/>
    <w:rsid w:val="00E54129"/>
    <w:rsid w:val="00E6213C"/>
    <w:rsid w:val="00E876C9"/>
    <w:rsid w:val="00EA0801"/>
    <w:rsid w:val="00EA5FED"/>
    <w:rsid w:val="00EA7D0D"/>
    <w:rsid w:val="00EB4773"/>
    <w:rsid w:val="00EC29AA"/>
    <w:rsid w:val="00EC7498"/>
    <w:rsid w:val="00EF3907"/>
    <w:rsid w:val="00F05BD1"/>
    <w:rsid w:val="00F10FA8"/>
    <w:rsid w:val="00F1232F"/>
    <w:rsid w:val="00F30238"/>
    <w:rsid w:val="00F36F3C"/>
    <w:rsid w:val="00F37CA4"/>
    <w:rsid w:val="00F40DDD"/>
    <w:rsid w:val="00F416B3"/>
    <w:rsid w:val="00F54233"/>
    <w:rsid w:val="00F6009F"/>
    <w:rsid w:val="00F6515F"/>
    <w:rsid w:val="00F7548A"/>
    <w:rsid w:val="00F755DA"/>
    <w:rsid w:val="00F75B96"/>
    <w:rsid w:val="00F773DE"/>
    <w:rsid w:val="00F818B3"/>
    <w:rsid w:val="00F94AF7"/>
    <w:rsid w:val="00F9758D"/>
    <w:rsid w:val="00FA18A5"/>
    <w:rsid w:val="00FB1628"/>
    <w:rsid w:val="00FC0035"/>
    <w:rsid w:val="00FD5810"/>
    <w:rsid w:val="00FE24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6DD4E"/>
  <w15:chartTrackingRefBased/>
  <w15:docId w15:val="{523C21AF-9942-4317-8B37-619FF83DE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7"/>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6E3"/>
    <w:pPr>
      <w:spacing w:line="320" w:lineRule="exact"/>
      <w:jc w:val="both"/>
    </w:pPr>
    <w:rPr>
      <w:rFonts w:ascii="Poppins" w:hAnsi="Poppins"/>
      <w:color w:val="3F3F3F"/>
      <w:kern w:val="0"/>
      <w:sz w:val="18"/>
    </w:rPr>
  </w:style>
  <w:style w:type="paragraph" w:styleId="Nadpis1">
    <w:name w:val="heading 1"/>
    <w:link w:val="Nadpis1Char"/>
    <w:uiPriority w:val="9"/>
    <w:qFormat/>
    <w:rsid w:val="009F16E3"/>
    <w:pPr>
      <w:keepNext/>
      <w:keepLines/>
      <w:spacing w:before="200" w:after="100"/>
      <w:contextualSpacing/>
      <w:outlineLvl w:val="0"/>
    </w:pPr>
    <w:rPr>
      <w:rFonts w:ascii="Poppins Bold" w:eastAsiaTheme="majorEastAsia" w:hAnsi="Poppins Bold" w:cstheme="majorBidi"/>
      <w:color w:val="000000" w:themeColor="text1"/>
      <w:sz w:val="32"/>
      <w:szCs w:val="40"/>
    </w:rPr>
  </w:style>
  <w:style w:type="paragraph" w:styleId="Nadpis2">
    <w:name w:val="heading 2"/>
    <w:basedOn w:val="Nadpis1"/>
    <w:next w:val="Normln"/>
    <w:link w:val="Nadpis2Char"/>
    <w:uiPriority w:val="9"/>
    <w:unhideWhenUsed/>
    <w:qFormat/>
    <w:rsid w:val="002C02E4"/>
    <w:pPr>
      <w:spacing w:after="0"/>
      <w:outlineLvl w:val="1"/>
    </w:pPr>
    <w:rPr>
      <w:sz w:val="24"/>
      <w:szCs w:val="32"/>
    </w:rPr>
  </w:style>
  <w:style w:type="paragraph" w:styleId="Nadpis3">
    <w:name w:val="heading 3"/>
    <w:basedOn w:val="Normln"/>
    <w:next w:val="Normln"/>
    <w:link w:val="Nadpis3Char"/>
    <w:uiPriority w:val="9"/>
    <w:semiHidden/>
    <w:unhideWhenUsed/>
    <w:rsid w:val="005E69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E69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E69B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E69BE"/>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E69BE"/>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E69BE"/>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E69BE"/>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ulka">
    <w:name w:val="Tabulka"/>
    <w:basedOn w:val="Normlntabulka"/>
    <w:uiPriority w:val="99"/>
    <w:rsid w:val="00BC66FA"/>
    <w:rPr>
      <w:rFonts w:ascii="Calibri Light" w:hAnsi="Calibri Light"/>
      <w:kern w:val="0"/>
      <w:sz w:val="16"/>
      <w:lang w:val="en-US"/>
      <w14:ligatures w14:val="none"/>
    </w:rPr>
    <w:tblPr>
      <w:tblStyleRowBandSize w:val="1"/>
      <w:tblStyleColBandSize w:val="1"/>
      <w:jc w:val="center"/>
      <w:tblBorders>
        <w:bottom w:val="single" w:sz="8" w:space="0" w:color="B8A875"/>
      </w:tblBorders>
    </w:tblPr>
    <w:trPr>
      <w:jc w:val="center"/>
    </w:trPr>
    <w:tcPr>
      <w:shd w:val="clear" w:color="auto" w:fill="auto"/>
      <w:vAlign w:val="center"/>
    </w:tcPr>
    <w:tblStylePr w:type="firstRow">
      <w:rPr>
        <w:rFonts w:ascii="Calibri Light" w:hAnsi="Calibri Light"/>
        <w:b/>
        <w:color w:val="FFFFFF" w:themeColor="background1"/>
        <w:sz w:val="16"/>
      </w:rPr>
      <w:tblPr/>
      <w:tcPr>
        <w:shd w:val="clear" w:color="auto" w:fill="B8A875"/>
      </w:tcPr>
    </w:tblStylePr>
    <w:tblStylePr w:type="lastRow">
      <w:tblPr/>
      <w:tcPr>
        <w:shd w:val="clear" w:color="auto" w:fill="auto"/>
      </w:tcPr>
    </w:tblStylePr>
    <w:tblStylePr w:type="firstCol">
      <w:tblPr/>
      <w:tcPr>
        <w:shd w:val="clear" w:color="auto" w:fill="auto"/>
      </w:tcPr>
    </w:tblStylePr>
    <w:tblStylePr w:type="lastCol">
      <w:tblPr/>
      <w:tcPr>
        <w:shd w:val="clear" w:color="auto" w:fill="auto"/>
      </w:tcPr>
    </w:tblStylePr>
  </w:style>
  <w:style w:type="table" w:customStyle="1" w:styleId="TabulkaJTBanka">
    <w:name w:val="Tabulka J&amp;T Banka"/>
    <w:basedOn w:val="Normlntabulka"/>
    <w:uiPriority w:val="99"/>
    <w:rsid w:val="004B6AB1"/>
    <w:rPr>
      <w:rFonts w:ascii="Calibri Light" w:hAnsi="Calibri Light"/>
      <w:kern w:val="0"/>
      <w:sz w:val="16"/>
      <w:lang w:val="en-US"/>
      <w14:ligatures w14:val="none"/>
    </w:rPr>
    <w:tblPr>
      <w:tblStyleRowBandSize w:val="1"/>
      <w:tblStyleColBandSize w:val="1"/>
      <w:jc w:val="center"/>
    </w:tblPr>
    <w:trPr>
      <w:jc w:val="center"/>
    </w:trPr>
    <w:tcPr>
      <w:shd w:val="clear" w:color="auto" w:fill="auto"/>
      <w:vAlign w:val="center"/>
    </w:tcPr>
    <w:tblStylePr w:type="firstRow">
      <w:rPr>
        <w:rFonts w:ascii="Calibri Light" w:hAnsi="Calibri Light"/>
        <w:b/>
        <w:color w:val="FFFFFF" w:themeColor="background1"/>
        <w:sz w:val="18"/>
      </w:rPr>
      <w:tblPr/>
      <w:tcPr>
        <w:tcBorders>
          <w:top w:val="nil"/>
          <w:left w:val="nil"/>
          <w:bottom w:val="nil"/>
          <w:right w:val="nil"/>
          <w:insideH w:val="nil"/>
          <w:insideV w:val="nil"/>
          <w:tl2br w:val="nil"/>
          <w:tr2bl w:val="nil"/>
        </w:tcBorders>
        <w:shd w:val="clear" w:color="auto" w:fill="B8A875"/>
      </w:tcPr>
    </w:tblStylePr>
    <w:tblStylePr w:type="lastRow">
      <w:pPr>
        <w:jc w:val="left"/>
      </w:pPr>
      <w:rPr>
        <w:rFonts w:ascii="Calibri Light" w:hAnsi="Calibri Light"/>
        <w:sz w:val="16"/>
      </w:rPr>
      <w:tblPr/>
      <w:tcPr>
        <w:tcBorders>
          <w:top w:val="nil"/>
          <w:left w:val="nil"/>
          <w:bottom w:val="single" w:sz="8" w:space="0" w:color="156082" w:themeColor="accent1"/>
          <w:right w:val="nil"/>
          <w:insideH w:val="nil"/>
          <w:insideV w:val="nil"/>
          <w:tl2br w:val="nil"/>
          <w:tr2bl w:val="nil"/>
        </w:tcBorders>
        <w:shd w:val="clear" w:color="auto" w:fill="auto"/>
      </w:tcPr>
    </w:tblStylePr>
    <w:tblStylePr w:type="firstCol">
      <w:tblPr/>
      <w:tcPr>
        <w:shd w:val="clear" w:color="auto" w:fill="FFFFFF" w:themeFill="background1"/>
      </w:tcPr>
    </w:tblStylePr>
    <w:tblStylePr w:type="lastCol">
      <w:tblPr/>
      <w:tcPr>
        <w:shd w:val="clear" w:color="auto" w:fill="C1E4F5" w:themeFill="accent1" w:themeFillTint="33"/>
      </w:tcPr>
    </w:tblStylePr>
    <w:tblStylePr w:type="band1Horz">
      <w:pPr>
        <w:jc w:val="left"/>
      </w:pPr>
      <w:tblPr/>
      <w:tcPr>
        <w:shd w:val="clear" w:color="auto" w:fill="FFFFFF" w:themeFill="background1"/>
      </w:tcPr>
    </w:tblStylePr>
    <w:tblStylePr w:type="band2Horz">
      <w:tblPr/>
      <w:tcPr>
        <w:shd w:val="clear" w:color="auto" w:fill="C1E4F5" w:themeFill="accent1" w:themeFillTint="33"/>
      </w:tcPr>
    </w:tblStylePr>
  </w:style>
  <w:style w:type="table" w:styleId="Tabulkasmkou4zvraznn1">
    <w:name w:val="Grid Table 4 Accent 1"/>
    <w:aliases w:val="J&amp;T Banka"/>
    <w:basedOn w:val="Normlntabulka"/>
    <w:uiPriority w:val="99"/>
    <w:rsid w:val="00C27D3E"/>
    <w:rPr>
      <w:rFonts w:ascii="Calibri Light" w:hAnsi="Calibri Light"/>
      <w:kern w:val="0"/>
      <w:sz w:val="18"/>
      <w:lang w:val="en-US"/>
      <w14:ligatures w14:val="none"/>
    </w:rPr>
    <w:tblPr>
      <w:tblStyleRowBandSize w:val="1"/>
      <w:tblStyleColBandSize w:val="1"/>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jc w:val="center"/>
    </w:trPr>
    <w:tcPr>
      <w:shd w:val="clear" w:color="auto" w:fill="DFDBCD"/>
      <w:vAlign w:val="center"/>
    </w:tcPr>
    <w:tblStylePr w:type="firstRow">
      <w:pPr>
        <w:jc w:val="left"/>
      </w:pPr>
      <w:rPr>
        <w:rFonts w:ascii="Calibri Light" w:hAnsi="Calibri Light"/>
        <w:b/>
        <w:color w:val="FFFFFF" w:themeColor="background1"/>
        <w:sz w:val="18"/>
      </w:rPr>
      <w:tblPr/>
      <w:tcPr>
        <w:shd w:val="clear" w:color="auto" w:fill="005F55"/>
      </w:tcPr>
    </w:tblStylePr>
    <w:tblStylePr w:type="lastRow">
      <w:pPr>
        <w:jc w:val="left"/>
      </w:pPr>
      <w:rPr>
        <w:rFonts w:ascii="Calibri Light" w:hAnsi="Calibri Light"/>
        <w:sz w:val="16"/>
      </w:rPr>
    </w:tblStylePr>
    <w:tblStylePr w:type="band1Horz">
      <w:pPr>
        <w:jc w:val="left"/>
      </w:pPr>
      <w:tblPr/>
      <w:tcPr>
        <w:shd w:val="clear" w:color="auto" w:fill="FFFFFF" w:themeFill="background1"/>
      </w:tcPr>
    </w:tblStylePr>
    <w:tblStylePr w:type="band2Horz">
      <w:pPr>
        <w:jc w:val="left"/>
      </w:pPr>
      <w:tblPr/>
      <w:tcPr>
        <w:shd w:val="clear" w:color="auto" w:fill="DFDBCD"/>
      </w:tcPr>
    </w:tblStylePr>
  </w:style>
  <w:style w:type="table" w:customStyle="1" w:styleId="JTBANKA">
    <w:name w:val="J&amp;T BANKA"/>
    <w:basedOn w:val="Normlntabulka"/>
    <w:uiPriority w:val="99"/>
    <w:rsid w:val="00577C4F"/>
    <w:rPr>
      <w:rFonts w:ascii="Calibri Light" w:hAnsi="Calibri Light"/>
      <w:kern w:val="0"/>
      <w:sz w:val="16"/>
      <w:lang w:val="en-US"/>
      <w14:ligatures w14:val="none"/>
    </w:rPr>
    <w:tblPr/>
    <w:tblStylePr w:type="firstRow">
      <w:rPr>
        <w:rFonts w:ascii="Calibri Light" w:hAnsi="Calibri Light"/>
        <w:b/>
        <w:color w:val="FFFFFF" w:themeColor="background1"/>
        <w:sz w:val="16"/>
      </w:rPr>
      <w:tblPr/>
      <w:trPr>
        <w:cantSplit/>
      </w:trPr>
      <w:tcPr>
        <w:shd w:val="clear" w:color="auto" w:fill="156082" w:themeFill="accent1"/>
        <w:vAlign w:val="center"/>
      </w:tcPr>
    </w:tblStylePr>
  </w:style>
  <w:style w:type="paragraph" w:customStyle="1" w:styleId="Odrka1">
    <w:name w:val="Odrážka 1"/>
    <w:link w:val="Odrka1Char"/>
    <w:autoRedefine/>
    <w:qFormat/>
    <w:rsid w:val="004354CE"/>
    <w:pPr>
      <w:widowControl w:val="0"/>
      <w:numPr>
        <w:numId w:val="2"/>
      </w:numPr>
      <w:tabs>
        <w:tab w:val="left" w:pos="284"/>
      </w:tabs>
      <w:autoSpaceDE w:val="0"/>
      <w:autoSpaceDN w:val="0"/>
      <w:spacing w:line="300" w:lineRule="exact"/>
    </w:pPr>
    <w:rPr>
      <w:rFonts w:ascii="Poppins" w:hAnsi="Poppins" w:cs="Calibri Light"/>
      <w:b/>
      <w:bCs/>
      <w:kern w:val="0"/>
      <w:sz w:val="18"/>
    </w:rPr>
  </w:style>
  <w:style w:type="character" w:customStyle="1" w:styleId="Odrka1Char">
    <w:name w:val="Odrážka 1 Char"/>
    <w:basedOn w:val="Standardnpsmoodstavce"/>
    <w:link w:val="Odrka1"/>
    <w:rsid w:val="004354CE"/>
    <w:rPr>
      <w:rFonts w:ascii="Poppins" w:hAnsi="Poppins" w:cs="Calibri Light"/>
      <w:b/>
      <w:bCs/>
      <w:kern w:val="0"/>
      <w:sz w:val="18"/>
    </w:rPr>
  </w:style>
  <w:style w:type="paragraph" w:customStyle="1" w:styleId="Odrka3">
    <w:name w:val="Odrážka 3"/>
    <w:basedOn w:val="Zkladntext"/>
    <w:link w:val="Odrka3Char"/>
    <w:rsid w:val="00CD375E"/>
    <w:pPr>
      <w:widowControl w:val="0"/>
      <w:numPr>
        <w:ilvl w:val="1"/>
        <w:numId w:val="4"/>
      </w:numPr>
      <w:autoSpaceDE w:val="0"/>
      <w:autoSpaceDN w:val="0"/>
      <w:spacing w:before="60" w:after="60"/>
      <w:ind w:left="454" w:hanging="454"/>
    </w:pPr>
    <w:rPr>
      <w:rFonts w:ascii="Calibri Light" w:eastAsia="Fedra Sans Alt Std Light" w:hAnsi="Calibri Light" w:cs="Fedra Sans Alt Std Light"/>
      <w:szCs w:val="18"/>
      <w:u w:color="000000"/>
    </w:rPr>
  </w:style>
  <w:style w:type="character" w:customStyle="1" w:styleId="Odrka3Char">
    <w:name w:val="Odrážka 3 Char"/>
    <w:basedOn w:val="ZkladntextChar"/>
    <w:link w:val="Odrka3"/>
    <w:rsid w:val="00CD375E"/>
    <w:rPr>
      <w:rFonts w:ascii="Calibri Light" w:eastAsia="Fedra Sans Alt Std Light" w:hAnsi="Calibri Light" w:cs="Fedra Sans Alt Std Light"/>
      <w:sz w:val="18"/>
      <w:szCs w:val="18"/>
      <w:u w:color="000000"/>
    </w:rPr>
  </w:style>
  <w:style w:type="paragraph" w:styleId="Zkladntext">
    <w:name w:val="Body Text"/>
    <w:basedOn w:val="Normln"/>
    <w:link w:val="ZkladntextChar"/>
    <w:uiPriority w:val="99"/>
    <w:unhideWhenUsed/>
    <w:rsid w:val="00CD375E"/>
    <w:pPr>
      <w:spacing w:after="120"/>
    </w:pPr>
  </w:style>
  <w:style w:type="character" w:customStyle="1" w:styleId="ZkladntextChar">
    <w:name w:val="Základní text Char"/>
    <w:basedOn w:val="Standardnpsmoodstavce"/>
    <w:link w:val="Zkladntext"/>
    <w:uiPriority w:val="99"/>
    <w:rsid w:val="00CD375E"/>
  </w:style>
  <w:style w:type="paragraph" w:styleId="Nzev">
    <w:name w:val="Title"/>
    <w:basedOn w:val="Normln"/>
    <w:link w:val="NzevChar"/>
    <w:autoRedefine/>
    <w:uiPriority w:val="27"/>
    <w:rsid w:val="00CB39D8"/>
    <w:pPr>
      <w:widowControl w:val="0"/>
      <w:autoSpaceDE w:val="0"/>
      <w:autoSpaceDN w:val="0"/>
      <w:spacing w:after="200"/>
      <w:contextualSpacing/>
    </w:pPr>
    <w:rPr>
      <w:rFonts w:ascii="Calibri" w:eastAsia="Fedra Sans Alt Std Medium" w:hAnsi="Calibri" w:cs="Fedra Sans Alt Std Medium"/>
      <w:b/>
      <w:sz w:val="30"/>
      <w:szCs w:val="30"/>
      <w:lang w:val="en-GB"/>
    </w:rPr>
  </w:style>
  <w:style w:type="character" w:customStyle="1" w:styleId="NzevChar">
    <w:name w:val="Název Char"/>
    <w:basedOn w:val="Standardnpsmoodstavce"/>
    <w:link w:val="Nzev"/>
    <w:uiPriority w:val="27"/>
    <w:rsid w:val="00CB39D8"/>
    <w:rPr>
      <w:rFonts w:ascii="Calibri" w:eastAsia="Fedra Sans Alt Std Medium" w:hAnsi="Calibri" w:cs="Fedra Sans Alt Std Medium"/>
      <w:b/>
      <w:sz w:val="30"/>
      <w:szCs w:val="30"/>
      <w:lang w:val="en-GB"/>
    </w:rPr>
  </w:style>
  <w:style w:type="character" w:customStyle="1" w:styleId="Nadpis1Char">
    <w:name w:val="Nadpis 1 Char"/>
    <w:basedOn w:val="Standardnpsmoodstavce"/>
    <w:link w:val="Nadpis1"/>
    <w:uiPriority w:val="9"/>
    <w:rsid w:val="009F16E3"/>
    <w:rPr>
      <w:rFonts w:ascii="Poppins Bold" w:eastAsiaTheme="majorEastAsia" w:hAnsi="Poppins Bold" w:cstheme="majorBidi"/>
      <w:color w:val="000000" w:themeColor="text1"/>
      <w:sz w:val="32"/>
      <w:szCs w:val="40"/>
    </w:rPr>
  </w:style>
  <w:style w:type="character" w:customStyle="1" w:styleId="Nadpis2Char">
    <w:name w:val="Nadpis 2 Char"/>
    <w:basedOn w:val="Standardnpsmoodstavce"/>
    <w:link w:val="Nadpis2"/>
    <w:uiPriority w:val="9"/>
    <w:rsid w:val="002C02E4"/>
    <w:rPr>
      <w:rFonts w:ascii="Quicksand" w:eastAsiaTheme="majorEastAsia" w:hAnsi="Quicksand" w:cstheme="majorBidi"/>
      <w:b/>
      <w:color w:val="E5087D"/>
      <w:sz w:val="24"/>
      <w:szCs w:val="32"/>
    </w:rPr>
  </w:style>
  <w:style w:type="character" w:customStyle="1" w:styleId="Nadpis3Char">
    <w:name w:val="Nadpis 3 Char"/>
    <w:basedOn w:val="Standardnpsmoodstavce"/>
    <w:link w:val="Nadpis3"/>
    <w:uiPriority w:val="9"/>
    <w:semiHidden/>
    <w:rsid w:val="005E69B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E69B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E69B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E69B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E69B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E69B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E69BE"/>
    <w:rPr>
      <w:rFonts w:eastAsiaTheme="majorEastAsia" w:cstheme="majorBidi"/>
      <w:color w:val="272727" w:themeColor="text1" w:themeTint="D8"/>
    </w:rPr>
  </w:style>
  <w:style w:type="paragraph" w:styleId="Podnadpis">
    <w:name w:val="Subtitle"/>
    <w:basedOn w:val="Nadpis2"/>
    <w:next w:val="Normln"/>
    <w:link w:val="PodnadpisChar"/>
    <w:uiPriority w:val="11"/>
    <w:qFormat/>
    <w:rsid w:val="0058172B"/>
    <w:pPr>
      <w:numPr>
        <w:ilvl w:val="1"/>
      </w:numPr>
    </w:pPr>
    <w:rPr>
      <w:color w:val="595959" w:themeColor="text1" w:themeTint="A6"/>
      <w:kern w:val="0"/>
      <w:szCs w:val="28"/>
    </w:rPr>
  </w:style>
  <w:style w:type="character" w:customStyle="1" w:styleId="PodnadpisChar">
    <w:name w:val="Podnadpis Char"/>
    <w:basedOn w:val="Standardnpsmoodstavce"/>
    <w:link w:val="Podnadpis"/>
    <w:uiPriority w:val="11"/>
    <w:rsid w:val="0058172B"/>
    <w:rPr>
      <w:rFonts w:ascii="Quicksand" w:eastAsiaTheme="majorEastAsia" w:hAnsi="Quicksand" w:cstheme="majorBidi"/>
      <w:b/>
      <w:color w:val="595959" w:themeColor="text1" w:themeTint="A6"/>
      <w:kern w:val="0"/>
      <w:sz w:val="24"/>
      <w:szCs w:val="28"/>
    </w:rPr>
  </w:style>
  <w:style w:type="paragraph" w:styleId="Citt">
    <w:name w:val="Quote"/>
    <w:basedOn w:val="Normln"/>
    <w:next w:val="Normln"/>
    <w:link w:val="CittChar"/>
    <w:uiPriority w:val="29"/>
    <w:rsid w:val="005E69BE"/>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5E69BE"/>
    <w:rPr>
      <w:i/>
      <w:iCs/>
      <w:color w:val="404040" w:themeColor="text1" w:themeTint="BF"/>
    </w:rPr>
  </w:style>
  <w:style w:type="paragraph" w:styleId="Odstavecseseznamem">
    <w:name w:val="List Paragraph"/>
    <w:basedOn w:val="Normln"/>
    <w:uiPriority w:val="34"/>
    <w:rsid w:val="005E69BE"/>
    <w:pPr>
      <w:ind w:left="720"/>
      <w:contextualSpacing/>
    </w:pPr>
  </w:style>
  <w:style w:type="character" w:styleId="Zdraznnintenzivn">
    <w:name w:val="Intense Emphasis"/>
    <w:basedOn w:val="Standardnpsmoodstavce"/>
    <w:uiPriority w:val="21"/>
    <w:rsid w:val="005E69BE"/>
    <w:rPr>
      <w:i/>
      <w:iCs/>
      <w:color w:val="0F4761" w:themeColor="accent1" w:themeShade="BF"/>
    </w:rPr>
  </w:style>
  <w:style w:type="paragraph" w:styleId="Vrazncitt">
    <w:name w:val="Intense Quote"/>
    <w:basedOn w:val="Normln"/>
    <w:next w:val="Normln"/>
    <w:link w:val="VrazncittChar"/>
    <w:uiPriority w:val="30"/>
    <w:rsid w:val="005E6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E69BE"/>
    <w:rPr>
      <w:i/>
      <w:iCs/>
      <w:color w:val="0F4761" w:themeColor="accent1" w:themeShade="BF"/>
    </w:rPr>
  </w:style>
  <w:style w:type="character" w:styleId="Odkazintenzivn">
    <w:name w:val="Intense Reference"/>
    <w:basedOn w:val="Standardnpsmoodstavce"/>
    <w:uiPriority w:val="32"/>
    <w:rsid w:val="005E69BE"/>
    <w:rPr>
      <w:b/>
      <w:bCs/>
      <w:smallCaps/>
      <w:color w:val="0F4761" w:themeColor="accent1" w:themeShade="BF"/>
      <w:spacing w:val="5"/>
    </w:rPr>
  </w:style>
  <w:style w:type="paragraph" w:styleId="Zhlav">
    <w:name w:val="header"/>
    <w:basedOn w:val="Normln"/>
    <w:link w:val="ZhlavChar"/>
    <w:uiPriority w:val="99"/>
    <w:unhideWhenUsed/>
    <w:rsid w:val="005E69BE"/>
    <w:pPr>
      <w:tabs>
        <w:tab w:val="center" w:pos="4536"/>
        <w:tab w:val="right" w:pos="9072"/>
      </w:tabs>
    </w:pPr>
  </w:style>
  <w:style w:type="character" w:customStyle="1" w:styleId="ZhlavChar">
    <w:name w:val="Záhlaví Char"/>
    <w:basedOn w:val="Standardnpsmoodstavce"/>
    <w:link w:val="Zhlav"/>
    <w:uiPriority w:val="99"/>
    <w:rsid w:val="005E69BE"/>
  </w:style>
  <w:style w:type="paragraph" w:styleId="Zpat">
    <w:name w:val="footer"/>
    <w:basedOn w:val="Normln"/>
    <w:link w:val="ZpatChar"/>
    <w:uiPriority w:val="99"/>
    <w:unhideWhenUsed/>
    <w:rsid w:val="005E69BE"/>
    <w:pPr>
      <w:tabs>
        <w:tab w:val="center" w:pos="4536"/>
        <w:tab w:val="right" w:pos="9072"/>
      </w:tabs>
    </w:pPr>
  </w:style>
  <w:style w:type="character" w:customStyle="1" w:styleId="ZpatChar">
    <w:name w:val="Zápatí Char"/>
    <w:basedOn w:val="Standardnpsmoodstavce"/>
    <w:link w:val="Zpat"/>
    <w:uiPriority w:val="99"/>
    <w:rsid w:val="005E69BE"/>
  </w:style>
  <w:style w:type="character" w:styleId="Zdraznn">
    <w:name w:val="Emphasis"/>
    <w:basedOn w:val="Standardnpsmoodstavce"/>
    <w:uiPriority w:val="20"/>
    <w:qFormat/>
    <w:rsid w:val="009F16E3"/>
    <w:rPr>
      <w:rFonts w:ascii="Poppins" w:hAnsi="Poppins"/>
      <w:i/>
      <w:iCs/>
      <w:color w:val="3F3F3F"/>
      <w:sz w:val="18"/>
    </w:rPr>
  </w:style>
  <w:style w:type="character" w:styleId="Siln">
    <w:name w:val="Strong"/>
    <w:basedOn w:val="Standardnpsmoodstavce"/>
    <w:uiPriority w:val="22"/>
    <w:qFormat/>
    <w:rsid w:val="009F16E3"/>
    <w:rPr>
      <w:rFonts w:ascii="Poppins" w:hAnsi="Poppins"/>
      <w:b/>
      <w:bCs/>
      <w:sz w:val="18"/>
    </w:rPr>
  </w:style>
  <w:style w:type="character" w:styleId="Odkazjemn">
    <w:name w:val="Subtle Reference"/>
    <w:basedOn w:val="Standardnpsmoodstavce"/>
    <w:uiPriority w:val="31"/>
    <w:qFormat/>
    <w:rsid w:val="009F16E3"/>
    <w:rPr>
      <w:rFonts w:ascii="Poppins" w:hAnsi="Poppins"/>
      <w:i/>
      <w:caps w:val="0"/>
      <w:smallCaps w:val="0"/>
      <w:strike w:val="0"/>
      <w:dstrike w:val="0"/>
      <w:vanish w:val="0"/>
      <w:color w:val="E5087D"/>
      <w:sz w:val="18"/>
      <w:u w:val="single"/>
      <w:vertAlign w:val="baseline"/>
    </w:rPr>
  </w:style>
  <w:style w:type="paragraph" w:styleId="Revize">
    <w:name w:val="Revision"/>
    <w:hidden/>
    <w:uiPriority w:val="99"/>
    <w:semiHidden/>
    <w:rsid w:val="001F3C9D"/>
    <w:rPr>
      <w:rFonts w:ascii="Poppins" w:hAnsi="Poppins"/>
      <w:color w:val="3F3F3F"/>
      <w:kern w:val="0"/>
      <w:sz w:val="18"/>
    </w:rPr>
  </w:style>
  <w:style w:type="character" w:styleId="Odkaznakoment">
    <w:name w:val="annotation reference"/>
    <w:basedOn w:val="Standardnpsmoodstavce"/>
    <w:uiPriority w:val="99"/>
    <w:semiHidden/>
    <w:unhideWhenUsed/>
    <w:rsid w:val="00BC7B01"/>
    <w:rPr>
      <w:sz w:val="16"/>
      <w:szCs w:val="16"/>
    </w:rPr>
  </w:style>
  <w:style w:type="paragraph" w:styleId="Textkomente">
    <w:name w:val="annotation text"/>
    <w:basedOn w:val="Normln"/>
    <w:link w:val="TextkomenteChar"/>
    <w:uiPriority w:val="99"/>
    <w:unhideWhenUsed/>
    <w:rsid w:val="00BC7B01"/>
    <w:pPr>
      <w:spacing w:line="240" w:lineRule="auto"/>
    </w:pPr>
    <w:rPr>
      <w:sz w:val="20"/>
      <w:szCs w:val="20"/>
    </w:rPr>
  </w:style>
  <w:style w:type="character" w:customStyle="1" w:styleId="TextkomenteChar">
    <w:name w:val="Text komentáře Char"/>
    <w:basedOn w:val="Standardnpsmoodstavce"/>
    <w:link w:val="Textkomente"/>
    <w:uiPriority w:val="99"/>
    <w:rsid w:val="00BC7B01"/>
    <w:rPr>
      <w:rFonts w:ascii="Poppins" w:hAnsi="Poppins"/>
      <w:color w:val="3F3F3F"/>
      <w:kern w:val="0"/>
      <w:sz w:val="20"/>
      <w:szCs w:val="20"/>
    </w:rPr>
  </w:style>
  <w:style w:type="paragraph" w:styleId="Pedmtkomente">
    <w:name w:val="annotation subject"/>
    <w:basedOn w:val="Textkomente"/>
    <w:next w:val="Textkomente"/>
    <w:link w:val="PedmtkomenteChar"/>
    <w:uiPriority w:val="99"/>
    <w:semiHidden/>
    <w:unhideWhenUsed/>
    <w:rsid w:val="00BC7B01"/>
    <w:rPr>
      <w:b/>
      <w:bCs/>
    </w:rPr>
  </w:style>
  <w:style w:type="character" w:customStyle="1" w:styleId="PedmtkomenteChar">
    <w:name w:val="Předmět komentáře Char"/>
    <w:basedOn w:val="TextkomenteChar"/>
    <w:link w:val="Pedmtkomente"/>
    <w:uiPriority w:val="99"/>
    <w:semiHidden/>
    <w:rsid w:val="00BC7B01"/>
    <w:rPr>
      <w:rFonts w:ascii="Poppins" w:hAnsi="Poppins"/>
      <w:b/>
      <w:bCs/>
      <w:color w:val="3F3F3F"/>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a.kolarikova@klik.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742</Words>
  <Characters>4378</Characters>
  <Application>Microsoft Office Word</Application>
  <DocSecurity>0</DocSecurity>
  <Lines>36</Lines>
  <Paragraphs>10</Paragraphs>
  <ScaleCrop>false</ScaleCrop>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Vladimíra Kolaříková</cp:lastModifiedBy>
  <cp:revision>2</cp:revision>
  <dcterms:created xsi:type="dcterms:W3CDTF">2026-04-09T08:28:00Z</dcterms:created>
  <dcterms:modified xsi:type="dcterms:W3CDTF">2026-04-14T12:16:00Z</dcterms:modified>
</cp:coreProperties>
</file>