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3F9376" w14:textId="322634C2" w:rsidR="00615FB3" w:rsidRPr="005E2B6B" w:rsidRDefault="004A5D93" w:rsidP="00BC6523">
      <w:pPr>
        <w:spacing w:before="100" w:beforeAutospacing="1" w:after="120"/>
        <w:ind w:left="7788"/>
      </w:pPr>
      <w:r w:rsidRPr="005E2B6B">
        <w:t xml:space="preserve">        </w:t>
      </w:r>
      <w:r w:rsidR="00615FB3" w:rsidRPr="005E2B6B">
        <w:t>Tiskov</w:t>
      </w:r>
      <w:r w:rsidR="00844115" w:rsidRPr="005E2B6B">
        <w:t>á zpráva</w:t>
      </w:r>
    </w:p>
    <w:p w14:paraId="0A4A849F" w14:textId="3738E578" w:rsidR="00983BD9" w:rsidRDefault="00983BD9" w:rsidP="00472BB5">
      <w:pPr>
        <w:spacing w:before="100" w:beforeAutospacing="1" w:after="120"/>
        <w:jc w:val="left"/>
        <w:rPr>
          <w:b/>
          <w:bCs/>
          <w:sz w:val="32"/>
          <w:szCs w:val="32"/>
        </w:rPr>
      </w:pPr>
      <w:r w:rsidRPr="00983BD9">
        <w:rPr>
          <w:b/>
          <w:bCs/>
          <w:sz w:val="32"/>
          <w:szCs w:val="32"/>
        </w:rPr>
        <w:t>Topná sezona se blíží. Jeden stupeň dolů může snížit náklady na vytápění zhruba o 6 %</w:t>
      </w:r>
    </w:p>
    <w:p w14:paraId="0F2F911A" w14:textId="77777777" w:rsidR="0055785C" w:rsidRDefault="0055785C" w:rsidP="00472BB5">
      <w:pPr>
        <w:spacing w:after="160" w:line="278" w:lineRule="auto"/>
        <w:rPr>
          <w:b/>
          <w:bCs/>
          <w:sz w:val="24"/>
          <w:szCs w:val="24"/>
        </w:rPr>
      </w:pPr>
    </w:p>
    <w:p w14:paraId="3056C36D" w14:textId="5E535A95" w:rsidR="00472BB5" w:rsidRPr="0078115A" w:rsidRDefault="0078115A" w:rsidP="00472BB5">
      <w:pPr>
        <w:spacing w:after="160" w:line="278" w:lineRule="auto"/>
        <w:rPr>
          <w:b/>
          <w:bCs/>
          <w:sz w:val="20"/>
          <w:szCs w:val="20"/>
        </w:rPr>
      </w:pPr>
      <w:r w:rsidRPr="00DE47A3">
        <w:rPr>
          <w:sz w:val="20"/>
          <w:szCs w:val="20"/>
        </w:rPr>
        <w:t>Praha</w:t>
      </w:r>
      <w:r w:rsidR="00DE47A3" w:rsidRPr="00DE47A3">
        <w:rPr>
          <w:sz w:val="20"/>
          <w:szCs w:val="20"/>
        </w:rPr>
        <w:t xml:space="preserve">, </w:t>
      </w:r>
      <w:r w:rsidR="0053339A">
        <w:rPr>
          <w:sz w:val="20"/>
          <w:szCs w:val="20"/>
        </w:rPr>
        <w:t>21</w:t>
      </w:r>
      <w:r w:rsidR="00DE47A3" w:rsidRPr="00DE47A3">
        <w:rPr>
          <w:sz w:val="20"/>
          <w:szCs w:val="20"/>
        </w:rPr>
        <w:t>. srpna 2026 -</w:t>
      </w:r>
      <w:r w:rsidR="00DE47A3">
        <w:rPr>
          <w:b/>
          <w:bCs/>
          <w:sz w:val="20"/>
          <w:szCs w:val="20"/>
        </w:rPr>
        <w:t xml:space="preserve"> </w:t>
      </w:r>
      <w:r w:rsidR="00983BD9" w:rsidRPr="00983BD9">
        <w:rPr>
          <w:b/>
          <w:bCs/>
          <w:sz w:val="20"/>
          <w:szCs w:val="20"/>
        </w:rPr>
        <w:t xml:space="preserve">První září sice oficiálně otevírá </w:t>
      </w:r>
      <w:r w:rsidR="00D6539D">
        <w:rPr>
          <w:b/>
          <w:bCs/>
          <w:sz w:val="20"/>
          <w:szCs w:val="20"/>
        </w:rPr>
        <w:t>topnou sezonu</w:t>
      </w:r>
      <w:r w:rsidR="00983BD9" w:rsidRPr="00983BD9">
        <w:rPr>
          <w:b/>
          <w:bCs/>
          <w:sz w:val="20"/>
          <w:szCs w:val="20"/>
        </w:rPr>
        <w:t>, radiátory se ale automaticky nerozehřejí. Rozhodující je venkovní teplota</w:t>
      </w:r>
      <w:r w:rsidR="006364E7">
        <w:rPr>
          <w:b/>
          <w:bCs/>
          <w:sz w:val="20"/>
          <w:szCs w:val="20"/>
        </w:rPr>
        <w:t>.</w:t>
      </w:r>
      <w:r w:rsidR="00983BD9" w:rsidRPr="00983BD9">
        <w:rPr>
          <w:b/>
          <w:bCs/>
          <w:sz w:val="20"/>
          <w:szCs w:val="20"/>
        </w:rPr>
        <w:t xml:space="preserve"> </w:t>
      </w:r>
      <w:r w:rsidR="006364E7">
        <w:rPr>
          <w:b/>
          <w:bCs/>
          <w:sz w:val="20"/>
          <w:szCs w:val="20"/>
        </w:rPr>
        <w:t>V</w:t>
      </w:r>
      <w:r w:rsidR="00983BD9" w:rsidRPr="00983BD9">
        <w:rPr>
          <w:b/>
          <w:bCs/>
          <w:sz w:val="20"/>
          <w:szCs w:val="20"/>
        </w:rPr>
        <w:t xml:space="preserve"> Česku </w:t>
      </w:r>
      <w:r w:rsidR="006364E7">
        <w:rPr>
          <w:b/>
          <w:bCs/>
          <w:sz w:val="20"/>
          <w:szCs w:val="20"/>
        </w:rPr>
        <w:t xml:space="preserve">se </w:t>
      </w:r>
      <w:r w:rsidR="006D32E5">
        <w:rPr>
          <w:b/>
          <w:bCs/>
          <w:sz w:val="20"/>
          <w:szCs w:val="20"/>
        </w:rPr>
        <w:t xml:space="preserve">sice </w:t>
      </w:r>
      <w:r w:rsidR="006364E7">
        <w:rPr>
          <w:b/>
          <w:bCs/>
          <w:sz w:val="20"/>
          <w:szCs w:val="20"/>
        </w:rPr>
        <w:t xml:space="preserve">zpravidla </w:t>
      </w:r>
      <w:r w:rsidR="00983BD9" w:rsidRPr="00983BD9">
        <w:rPr>
          <w:b/>
          <w:bCs/>
          <w:sz w:val="20"/>
          <w:szCs w:val="20"/>
        </w:rPr>
        <w:t xml:space="preserve">začíná topit až </w:t>
      </w:r>
      <w:r w:rsidR="00F46A5F">
        <w:rPr>
          <w:b/>
          <w:bCs/>
          <w:sz w:val="20"/>
          <w:szCs w:val="20"/>
        </w:rPr>
        <w:t>koncem</w:t>
      </w:r>
      <w:r w:rsidR="00F46A5F" w:rsidRPr="00983BD9">
        <w:rPr>
          <w:b/>
          <w:bCs/>
          <w:sz w:val="20"/>
          <w:szCs w:val="20"/>
        </w:rPr>
        <w:t xml:space="preserve"> </w:t>
      </w:r>
      <w:r w:rsidR="00983BD9" w:rsidRPr="00983BD9">
        <w:rPr>
          <w:b/>
          <w:bCs/>
          <w:sz w:val="20"/>
          <w:szCs w:val="20"/>
        </w:rPr>
        <w:t xml:space="preserve">září </w:t>
      </w:r>
      <w:r w:rsidR="00F46A5F">
        <w:rPr>
          <w:b/>
          <w:bCs/>
          <w:sz w:val="20"/>
          <w:szCs w:val="20"/>
        </w:rPr>
        <w:t>a</w:t>
      </w:r>
      <w:r w:rsidR="00983BD9" w:rsidRPr="00983BD9">
        <w:rPr>
          <w:b/>
          <w:bCs/>
          <w:sz w:val="20"/>
          <w:szCs w:val="20"/>
        </w:rPr>
        <w:t xml:space="preserve"> </w:t>
      </w:r>
      <w:r w:rsidR="0053339A" w:rsidRPr="00983BD9">
        <w:rPr>
          <w:b/>
          <w:bCs/>
          <w:sz w:val="20"/>
          <w:szCs w:val="20"/>
        </w:rPr>
        <w:t>začát</w:t>
      </w:r>
      <w:r w:rsidR="0053339A">
        <w:rPr>
          <w:b/>
          <w:bCs/>
          <w:sz w:val="20"/>
          <w:szCs w:val="20"/>
        </w:rPr>
        <w:t>kem</w:t>
      </w:r>
      <w:r w:rsidR="00983BD9" w:rsidRPr="00983BD9">
        <w:rPr>
          <w:b/>
          <w:bCs/>
          <w:sz w:val="20"/>
          <w:szCs w:val="20"/>
        </w:rPr>
        <w:t xml:space="preserve"> října</w:t>
      </w:r>
      <w:r w:rsidR="006D32E5">
        <w:rPr>
          <w:b/>
          <w:bCs/>
          <w:sz w:val="20"/>
          <w:szCs w:val="20"/>
        </w:rPr>
        <w:t>, u</w:t>
      </w:r>
      <w:r w:rsidR="00983BD9" w:rsidRPr="00983BD9">
        <w:rPr>
          <w:b/>
          <w:bCs/>
          <w:sz w:val="20"/>
          <w:szCs w:val="20"/>
        </w:rPr>
        <w:t xml:space="preserve">ž nyní je </w:t>
      </w:r>
      <w:r w:rsidR="005E23F7">
        <w:rPr>
          <w:b/>
          <w:bCs/>
          <w:sz w:val="20"/>
          <w:szCs w:val="20"/>
        </w:rPr>
        <w:t>ale ta</w:t>
      </w:r>
      <w:r w:rsidR="005E23F7" w:rsidRPr="00983BD9">
        <w:rPr>
          <w:b/>
          <w:bCs/>
          <w:sz w:val="20"/>
          <w:szCs w:val="20"/>
        </w:rPr>
        <w:t xml:space="preserve"> </w:t>
      </w:r>
      <w:r w:rsidR="00983BD9" w:rsidRPr="00983BD9">
        <w:rPr>
          <w:b/>
          <w:bCs/>
          <w:sz w:val="20"/>
          <w:szCs w:val="20"/>
        </w:rPr>
        <w:t xml:space="preserve">vhodná chvíle připravit domácnost na chladnější měsíce. U rodinného domu vytápěného plynem se při spotřebě přibližně 15 až 20 </w:t>
      </w:r>
      <w:proofErr w:type="spellStart"/>
      <w:r w:rsidR="00983BD9" w:rsidRPr="00983BD9">
        <w:rPr>
          <w:b/>
          <w:bCs/>
          <w:sz w:val="20"/>
          <w:szCs w:val="20"/>
        </w:rPr>
        <w:t>MWh</w:t>
      </w:r>
      <w:proofErr w:type="spellEnd"/>
      <w:r w:rsidR="00983BD9" w:rsidRPr="00983BD9">
        <w:rPr>
          <w:b/>
          <w:bCs/>
          <w:sz w:val="20"/>
          <w:szCs w:val="20"/>
        </w:rPr>
        <w:t xml:space="preserve"> mohou orientační náklady na vytápění pohybovat kolem 30 až 40 tisíc korun za sezonu. Část výsledného účtu přitom mohou domácnosti ovlivnit poměrně jednoduchými kroky.</w:t>
      </w:r>
    </w:p>
    <w:p w14:paraId="0C262C78" w14:textId="77777777" w:rsidR="00983BD9" w:rsidRPr="00983BD9" w:rsidRDefault="00983BD9" w:rsidP="00983BD9">
      <w:pPr>
        <w:spacing w:after="160" w:line="278" w:lineRule="auto"/>
        <w:rPr>
          <w:b/>
          <w:bCs/>
          <w:szCs w:val="18"/>
        </w:rPr>
      </w:pPr>
      <w:r w:rsidRPr="00983BD9">
        <w:rPr>
          <w:b/>
          <w:bCs/>
          <w:szCs w:val="18"/>
        </w:rPr>
        <w:t>První září topení automaticky nespustí</w:t>
      </w:r>
    </w:p>
    <w:p w14:paraId="2F84AD9E" w14:textId="77777777" w:rsidR="00983BD9" w:rsidRPr="00983BD9" w:rsidRDefault="00983BD9" w:rsidP="00983BD9">
      <w:pPr>
        <w:spacing w:after="160" w:line="278" w:lineRule="auto"/>
        <w:rPr>
          <w:szCs w:val="18"/>
        </w:rPr>
      </w:pPr>
      <w:r w:rsidRPr="00983BD9">
        <w:rPr>
          <w:szCs w:val="18"/>
        </w:rPr>
        <w:t>Z legislativního pohledu začíná takzvané otopné období 1. září a končí 31. května. Skutečný začátek vytápění se ale řídí počasím. Dodávky tepla se zahajují ve chvíli, kdy průměrná denní venkovní teplota klesne ve dvou po sobě následujících dnech pod 13 °C a podle předpovědi se neočekává její opětovný růst nad tuto hranici.</w:t>
      </w:r>
    </w:p>
    <w:p w14:paraId="10055ED1" w14:textId="77777777" w:rsidR="00983BD9" w:rsidRPr="00983BD9" w:rsidRDefault="00983BD9" w:rsidP="00983BD9">
      <w:pPr>
        <w:spacing w:after="160" w:line="278" w:lineRule="auto"/>
        <w:rPr>
          <w:szCs w:val="18"/>
        </w:rPr>
      </w:pPr>
      <w:r w:rsidRPr="00983BD9">
        <w:rPr>
          <w:szCs w:val="18"/>
        </w:rPr>
        <w:t>V posledních letech navíc bývá začátek září relativně teplý a reálný začátek vytápění se může v jednotlivých regionech výrazně lišit podle počasí a nadmořské výšky.</w:t>
      </w:r>
    </w:p>
    <w:p w14:paraId="3913384A" w14:textId="3A0423C3" w:rsidR="00983BD9" w:rsidRDefault="00983BD9" w:rsidP="00BC6D94">
      <w:pPr>
        <w:rPr>
          <w:szCs w:val="18"/>
        </w:rPr>
      </w:pPr>
      <w:r w:rsidRPr="00983BD9">
        <w:rPr>
          <w:szCs w:val="18"/>
        </w:rPr>
        <w:t>„</w:t>
      </w:r>
      <w:r w:rsidRPr="00983BD9">
        <w:rPr>
          <w:i/>
          <w:iCs/>
          <w:szCs w:val="18"/>
        </w:rPr>
        <w:t xml:space="preserve">Začátek září je ideální chvíle zkontrolovat topnou soustavu ještě předtím, než ji budeme skutečně potřebovat. Řada problémů, jako je zavzdušněný radiátor, nefunkční termostatická hlavice nebo špatně nastavený kotel, se projeví až při prvním spuštění. </w:t>
      </w:r>
      <w:r w:rsidR="00BB0B51">
        <w:rPr>
          <w:i/>
          <w:iCs/>
          <w:szCs w:val="18"/>
        </w:rPr>
        <w:t>Včasnou revizí p</w:t>
      </w:r>
      <w:r w:rsidR="007527C6" w:rsidRPr="0053339A">
        <w:rPr>
          <w:rFonts w:ascii="Arial" w:hAnsi="Arial" w:cs="Arial"/>
          <w:i/>
          <w:iCs/>
        </w:rPr>
        <w:t>ředejdete poruchám uprostřed zimy, kdy nechcete zůstat bez tepla, a především si zajistíte, že topení poběží úsporně</w:t>
      </w:r>
      <w:r w:rsidR="0053339A">
        <w:rPr>
          <w:rFonts w:ascii="Arial" w:hAnsi="Arial" w:cs="Arial"/>
          <w:i/>
          <w:iCs/>
        </w:rPr>
        <w:t>,</w:t>
      </w:r>
      <w:r w:rsidRPr="00983BD9">
        <w:rPr>
          <w:szCs w:val="18"/>
        </w:rPr>
        <w:t xml:space="preserve">“ říká </w:t>
      </w:r>
      <w:proofErr w:type="spellStart"/>
      <w:r w:rsidR="002447F8">
        <w:rPr>
          <w:b/>
          <w:bCs/>
          <w:szCs w:val="18"/>
        </w:rPr>
        <w:t>Miren</w:t>
      </w:r>
      <w:proofErr w:type="spellEnd"/>
      <w:r w:rsidR="002447F8">
        <w:rPr>
          <w:b/>
          <w:bCs/>
          <w:szCs w:val="18"/>
        </w:rPr>
        <w:t xml:space="preserve"> </w:t>
      </w:r>
      <w:proofErr w:type="spellStart"/>
      <w:r w:rsidR="002447F8">
        <w:rPr>
          <w:b/>
          <w:bCs/>
          <w:szCs w:val="18"/>
        </w:rPr>
        <w:t>Memiševič</w:t>
      </w:r>
      <w:proofErr w:type="spellEnd"/>
      <w:r w:rsidR="002447F8">
        <w:rPr>
          <w:b/>
          <w:bCs/>
          <w:szCs w:val="18"/>
        </w:rPr>
        <w:t xml:space="preserve">, </w:t>
      </w:r>
      <w:r w:rsidR="00532491" w:rsidRPr="0053339A">
        <w:rPr>
          <w:b/>
          <w:bCs/>
          <w:szCs w:val="18"/>
        </w:rPr>
        <w:t>vedoucí oddělení energií</w:t>
      </w:r>
      <w:r w:rsidR="00532491" w:rsidRPr="00CA2219">
        <w:rPr>
          <w:rFonts w:ascii="Aptos" w:eastAsia="Aptos" w:hAnsi="Aptos" w:cs="Aptos"/>
          <w:b/>
          <w:bCs/>
          <w:sz w:val="22"/>
        </w:rPr>
        <w:t xml:space="preserve"> </w:t>
      </w:r>
      <w:r w:rsidRPr="00983BD9">
        <w:rPr>
          <w:b/>
          <w:bCs/>
          <w:szCs w:val="18"/>
        </w:rPr>
        <w:t>Skupiny Klik.cz</w:t>
      </w:r>
      <w:r w:rsidRPr="00983BD9">
        <w:rPr>
          <w:szCs w:val="18"/>
        </w:rPr>
        <w:t>.</w:t>
      </w:r>
    </w:p>
    <w:p w14:paraId="6ECCBCBF" w14:textId="77777777" w:rsidR="006674DC" w:rsidRPr="0053339A" w:rsidRDefault="006674DC" w:rsidP="0053339A">
      <w:pPr>
        <w:rPr>
          <w:rFonts w:ascii="Arial" w:hAnsi="Arial" w:cs="Arial"/>
          <w:i/>
          <w:iCs/>
        </w:rPr>
      </w:pPr>
    </w:p>
    <w:p w14:paraId="316349D9" w14:textId="77777777" w:rsidR="00983BD9" w:rsidRPr="00983BD9" w:rsidRDefault="00983BD9" w:rsidP="00983BD9">
      <w:pPr>
        <w:spacing w:after="160" w:line="278" w:lineRule="auto"/>
        <w:rPr>
          <w:b/>
          <w:bCs/>
          <w:szCs w:val="18"/>
        </w:rPr>
      </w:pPr>
      <w:r w:rsidRPr="00983BD9">
        <w:rPr>
          <w:b/>
          <w:bCs/>
          <w:szCs w:val="18"/>
        </w:rPr>
        <w:t>Vytápění domu vyjde na desítky tisíc korun</w:t>
      </w:r>
    </w:p>
    <w:p w14:paraId="4914D0F0" w14:textId="77777777" w:rsidR="00983BD9" w:rsidRPr="00983BD9" w:rsidRDefault="00983BD9" w:rsidP="00983BD9">
      <w:pPr>
        <w:spacing w:after="160" w:line="278" w:lineRule="auto"/>
        <w:rPr>
          <w:szCs w:val="18"/>
        </w:rPr>
      </w:pPr>
      <w:r w:rsidRPr="00983BD9">
        <w:rPr>
          <w:szCs w:val="18"/>
        </w:rPr>
        <w:t xml:space="preserve">U rodinného domu vytápěného plynem se při orientační spotřebě </w:t>
      </w:r>
      <w:r w:rsidRPr="00983BD9">
        <w:rPr>
          <w:b/>
          <w:bCs/>
          <w:szCs w:val="18"/>
        </w:rPr>
        <w:t xml:space="preserve">15 až 20 </w:t>
      </w:r>
      <w:proofErr w:type="spellStart"/>
      <w:r w:rsidRPr="00983BD9">
        <w:rPr>
          <w:b/>
          <w:bCs/>
          <w:szCs w:val="18"/>
        </w:rPr>
        <w:t>MWh</w:t>
      </w:r>
      <w:proofErr w:type="spellEnd"/>
      <w:r w:rsidRPr="00983BD9">
        <w:rPr>
          <w:szCs w:val="18"/>
        </w:rPr>
        <w:t xml:space="preserve"> mohou náklady na vytápění pohybovat kolem </w:t>
      </w:r>
      <w:r w:rsidRPr="00983BD9">
        <w:rPr>
          <w:b/>
          <w:bCs/>
          <w:szCs w:val="18"/>
        </w:rPr>
        <w:t>30 až 40 tisíc korun za topnou sezonu</w:t>
      </w:r>
      <w:r w:rsidRPr="00983BD9">
        <w:rPr>
          <w:szCs w:val="18"/>
        </w:rPr>
        <w:t xml:space="preserve">. U domácnosti využívající tepelné čerpadlo se při spotřebě přibližně </w:t>
      </w:r>
      <w:r w:rsidRPr="00983BD9">
        <w:rPr>
          <w:b/>
          <w:bCs/>
          <w:szCs w:val="18"/>
        </w:rPr>
        <w:t xml:space="preserve">4 až 10 </w:t>
      </w:r>
      <w:proofErr w:type="spellStart"/>
      <w:r w:rsidRPr="00983BD9">
        <w:rPr>
          <w:b/>
          <w:bCs/>
          <w:szCs w:val="18"/>
        </w:rPr>
        <w:t>MWh</w:t>
      </w:r>
      <w:proofErr w:type="spellEnd"/>
      <w:r w:rsidRPr="00983BD9">
        <w:rPr>
          <w:b/>
          <w:bCs/>
          <w:szCs w:val="18"/>
        </w:rPr>
        <w:t xml:space="preserve"> elektřiny</w:t>
      </w:r>
      <w:r w:rsidRPr="00983BD9">
        <w:rPr>
          <w:szCs w:val="18"/>
        </w:rPr>
        <w:t xml:space="preserve"> pohybují orientačně kolem </w:t>
      </w:r>
      <w:r w:rsidRPr="00983BD9">
        <w:rPr>
          <w:b/>
          <w:bCs/>
          <w:szCs w:val="18"/>
        </w:rPr>
        <w:t>20 až 40 tisíc korun</w:t>
      </w:r>
      <w:r w:rsidRPr="00983BD9">
        <w:rPr>
          <w:szCs w:val="18"/>
        </w:rPr>
        <w:t>.</w:t>
      </w:r>
    </w:p>
    <w:p w14:paraId="3EA06F7D" w14:textId="77777777" w:rsidR="00983BD9" w:rsidRPr="00983BD9" w:rsidRDefault="00983BD9" w:rsidP="00983BD9">
      <w:pPr>
        <w:spacing w:after="160" w:line="278" w:lineRule="auto"/>
        <w:rPr>
          <w:szCs w:val="18"/>
        </w:rPr>
      </w:pPr>
      <w:r w:rsidRPr="00983BD9">
        <w:rPr>
          <w:szCs w:val="18"/>
        </w:rPr>
        <w:t>Konkrétní částka závisí na energetické náročnosti domu, průběhu zimy, spotřebě, zvoleném tarifu i ceně energie. Vedle samotné ceny proto rozhoduje také to, jak efektivně domácnost s teplem hospodaří.</w:t>
      </w:r>
    </w:p>
    <w:p w14:paraId="2BE1E242" w14:textId="77777777" w:rsidR="00983BD9" w:rsidRPr="00983BD9" w:rsidRDefault="00983BD9" w:rsidP="00983BD9">
      <w:pPr>
        <w:spacing w:after="160" w:line="278" w:lineRule="auto"/>
        <w:rPr>
          <w:szCs w:val="18"/>
        </w:rPr>
      </w:pPr>
      <w:r w:rsidRPr="00983BD9">
        <w:rPr>
          <w:szCs w:val="18"/>
        </w:rPr>
        <w:t xml:space="preserve">Jedním z nejjednodušších opatření je nastavení teploty. </w:t>
      </w:r>
      <w:r w:rsidRPr="00983BD9">
        <w:rPr>
          <w:b/>
          <w:bCs/>
          <w:szCs w:val="18"/>
        </w:rPr>
        <w:t>Snížení teploty o jeden stupeň může orientačně znamenat úsporu kolem 6 % nákladů na vytápění.</w:t>
      </w:r>
      <w:r w:rsidRPr="00983BD9">
        <w:rPr>
          <w:szCs w:val="18"/>
        </w:rPr>
        <w:t xml:space="preserve"> V místnostech, kde lidé běžně pobývají, se jako komfortní teplota doporučuje přibližně 20 až 21 °C.</w:t>
      </w:r>
    </w:p>
    <w:p w14:paraId="13B1BB45" w14:textId="349783AC" w:rsidR="00983BD9" w:rsidRDefault="00983BD9" w:rsidP="00983BD9">
      <w:pPr>
        <w:spacing w:after="160" w:line="278" w:lineRule="auto"/>
        <w:rPr>
          <w:b/>
          <w:bCs/>
          <w:szCs w:val="18"/>
        </w:rPr>
      </w:pPr>
      <w:r w:rsidRPr="00983BD9">
        <w:rPr>
          <w:szCs w:val="18"/>
        </w:rPr>
        <w:t>„</w:t>
      </w:r>
      <w:r w:rsidRPr="00983BD9">
        <w:rPr>
          <w:i/>
          <w:iCs/>
          <w:szCs w:val="18"/>
        </w:rPr>
        <w:t>Rozhodně není cílem, aby lidé kvůli úsporám doma mrzli. Častým problémem je spíš zbytečné přetápění. Pokud má někdo v celém bytě dlouhodobě 23 nebo 24 stupňů, může se to na spotřebě projevit výrazněji než řada drobných úsporných opatření,</w:t>
      </w:r>
      <w:r w:rsidRPr="00983BD9">
        <w:rPr>
          <w:szCs w:val="18"/>
        </w:rPr>
        <w:t>“ upozorňuje</w:t>
      </w:r>
      <w:r w:rsidRPr="00983BD9">
        <w:rPr>
          <w:b/>
          <w:bCs/>
          <w:szCs w:val="18"/>
        </w:rPr>
        <w:t xml:space="preserve"> </w:t>
      </w:r>
      <w:proofErr w:type="spellStart"/>
      <w:r w:rsidR="004931B3">
        <w:rPr>
          <w:b/>
          <w:bCs/>
          <w:szCs w:val="18"/>
        </w:rPr>
        <w:t>Memiševič</w:t>
      </w:r>
      <w:proofErr w:type="spellEnd"/>
      <w:r w:rsidRPr="00983BD9">
        <w:rPr>
          <w:b/>
          <w:bCs/>
          <w:szCs w:val="18"/>
        </w:rPr>
        <w:t>.</w:t>
      </w:r>
    </w:p>
    <w:p w14:paraId="7A4781E3" w14:textId="77777777" w:rsidR="007304A1" w:rsidRPr="00983BD9" w:rsidRDefault="007304A1" w:rsidP="00983BD9">
      <w:pPr>
        <w:spacing w:after="160" w:line="278" w:lineRule="auto"/>
        <w:rPr>
          <w:b/>
          <w:bCs/>
          <w:szCs w:val="18"/>
        </w:rPr>
      </w:pPr>
    </w:p>
    <w:p w14:paraId="246A0FDF" w14:textId="77777777" w:rsidR="00983BD9" w:rsidRPr="00983BD9" w:rsidRDefault="00983BD9" w:rsidP="00983BD9">
      <w:pPr>
        <w:spacing w:after="160" w:line="278" w:lineRule="auto"/>
        <w:rPr>
          <w:b/>
          <w:bCs/>
          <w:szCs w:val="18"/>
        </w:rPr>
      </w:pPr>
      <w:r w:rsidRPr="00983BD9">
        <w:rPr>
          <w:b/>
          <w:bCs/>
          <w:szCs w:val="18"/>
        </w:rPr>
        <w:lastRenderedPageBreak/>
        <w:t>Vypnout topení úplně? Úspora může být menší, než se zdá</w:t>
      </w:r>
    </w:p>
    <w:p w14:paraId="13EFB4A2" w14:textId="6E16DFCE" w:rsidR="00983BD9" w:rsidRPr="00983BD9" w:rsidRDefault="00983BD9" w:rsidP="00983BD9">
      <w:pPr>
        <w:spacing w:after="160" w:line="278" w:lineRule="auto"/>
        <w:rPr>
          <w:szCs w:val="18"/>
        </w:rPr>
      </w:pPr>
      <w:r w:rsidRPr="00983BD9">
        <w:rPr>
          <w:szCs w:val="18"/>
        </w:rPr>
        <w:t xml:space="preserve">Při odchodu do práce nebo na několikadenní cestu může být lákavé stáhnout radiátory úplně na nulu. To ale </w:t>
      </w:r>
      <w:r w:rsidR="002D6ECC">
        <w:rPr>
          <w:szCs w:val="18"/>
        </w:rPr>
        <w:t>není správné</w:t>
      </w:r>
      <w:r w:rsidRPr="00983BD9">
        <w:rPr>
          <w:szCs w:val="18"/>
        </w:rPr>
        <w:t xml:space="preserve"> řešení. Pokud </w:t>
      </w:r>
      <w:r w:rsidR="006A2163">
        <w:rPr>
          <w:szCs w:val="18"/>
        </w:rPr>
        <w:t xml:space="preserve">vybavení </w:t>
      </w:r>
      <w:r w:rsidRPr="00983BD9">
        <w:rPr>
          <w:szCs w:val="18"/>
        </w:rPr>
        <w:t>místnost</w:t>
      </w:r>
      <w:r w:rsidR="007A4882">
        <w:rPr>
          <w:szCs w:val="18"/>
        </w:rPr>
        <w:t>í</w:t>
      </w:r>
      <w:r w:rsidRPr="00983BD9">
        <w:rPr>
          <w:szCs w:val="18"/>
        </w:rPr>
        <w:t xml:space="preserve"> a stěny výrazně prochladnou, </w:t>
      </w:r>
      <w:r w:rsidR="001508BA">
        <w:rPr>
          <w:szCs w:val="18"/>
        </w:rPr>
        <w:t xml:space="preserve">na jejich vyhřátí je </w:t>
      </w:r>
      <w:r w:rsidR="00677F7B">
        <w:rPr>
          <w:szCs w:val="18"/>
        </w:rPr>
        <w:t xml:space="preserve">poté </w:t>
      </w:r>
      <w:r w:rsidR="001508BA">
        <w:rPr>
          <w:szCs w:val="18"/>
        </w:rPr>
        <w:t xml:space="preserve">potřeba více </w:t>
      </w:r>
      <w:r w:rsidR="00677F7B">
        <w:rPr>
          <w:szCs w:val="18"/>
        </w:rPr>
        <w:t>energie</w:t>
      </w:r>
      <w:r w:rsidR="001508BA">
        <w:rPr>
          <w:szCs w:val="18"/>
        </w:rPr>
        <w:t xml:space="preserve"> a </w:t>
      </w:r>
      <w:r w:rsidR="00F91182">
        <w:rPr>
          <w:szCs w:val="18"/>
        </w:rPr>
        <w:t xml:space="preserve">náklady letí nahoru. </w:t>
      </w:r>
    </w:p>
    <w:p w14:paraId="6DF15D6D" w14:textId="77777777" w:rsidR="00983BD9" w:rsidRPr="00983BD9" w:rsidRDefault="00983BD9" w:rsidP="00983BD9">
      <w:pPr>
        <w:spacing w:after="160" w:line="278" w:lineRule="auto"/>
        <w:rPr>
          <w:szCs w:val="18"/>
        </w:rPr>
      </w:pPr>
      <w:r w:rsidRPr="00983BD9">
        <w:rPr>
          <w:szCs w:val="18"/>
        </w:rPr>
        <w:t xml:space="preserve">Vhodnější je domácnost během nepřítomnosti </w:t>
      </w:r>
      <w:r w:rsidRPr="00983BD9">
        <w:rPr>
          <w:b/>
          <w:bCs/>
          <w:szCs w:val="18"/>
        </w:rPr>
        <w:t>temperovat</w:t>
      </w:r>
      <w:r w:rsidRPr="00983BD9">
        <w:rPr>
          <w:szCs w:val="18"/>
        </w:rPr>
        <w:t xml:space="preserve">. Při delším odjezdu lze teplotu snížit přibližně na </w:t>
      </w:r>
      <w:r w:rsidRPr="00983BD9">
        <w:rPr>
          <w:b/>
          <w:bCs/>
          <w:szCs w:val="18"/>
        </w:rPr>
        <w:t>15 až 18 °C</w:t>
      </w:r>
      <w:r w:rsidRPr="00983BD9">
        <w:rPr>
          <w:szCs w:val="18"/>
        </w:rPr>
        <w:t xml:space="preserve"> a po návratu ji opět zvýšit na běžnou úroveň.</w:t>
      </w:r>
    </w:p>
    <w:p w14:paraId="5F9A0FBD" w14:textId="77777777" w:rsidR="00983BD9" w:rsidRPr="00983BD9" w:rsidRDefault="00983BD9" w:rsidP="00983BD9">
      <w:pPr>
        <w:spacing w:after="160" w:line="278" w:lineRule="auto"/>
        <w:rPr>
          <w:szCs w:val="18"/>
        </w:rPr>
      </w:pPr>
      <w:r w:rsidRPr="00983BD9">
        <w:rPr>
          <w:szCs w:val="18"/>
        </w:rPr>
        <w:t xml:space="preserve">Podobně důležitý je způsob větrání. Dlouhodobě otevřená </w:t>
      </w:r>
      <w:proofErr w:type="spellStart"/>
      <w:r w:rsidRPr="00983BD9">
        <w:rPr>
          <w:szCs w:val="18"/>
        </w:rPr>
        <w:t>mikroventilace</w:t>
      </w:r>
      <w:proofErr w:type="spellEnd"/>
      <w:r w:rsidRPr="00983BD9">
        <w:rPr>
          <w:szCs w:val="18"/>
        </w:rPr>
        <w:t xml:space="preserve"> ochlazuje nejen vzduch, ale postupně také okolní stěny. Efektivnější je otevřít okno naplno na několik minut, rychle vyměnit vzduch a následně jej opět zavřít.</w:t>
      </w:r>
    </w:p>
    <w:p w14:paraId="345AAA4A" w14:textId="15ED2FE8" w:rsidR="00983BD9" w:rsidRPr="00983BD9" w:rsidRDefault="00983BD9" w:rsidP="00983BD9">
      <w:pPr>
        <w:spacing w:after="160" w:line="278" w:lineRule="auto"/>
        <w:rPr>
          <w:szCs w:val="18"/>
        </w:rPr>
      </w:pPr>
      <w:r w:rsidRPr="00983BD9">
        <w:rPr>
          <w:szCs w:val="18"/>
        </w:rPr>
        <w:t>„</w:t>
      </w:r>
      <w:r w:rsidRPr="00983BD9">
        <w:rPr>
          <w:i/>
          <w:iCs/>
          <w:szCs w:val="18"/>
        </w:rPr>
        <w:t xml:space="preserve">Největší efekt obvykle nepřinese jeden zázračný trik, ale kombinace několika jednoduchých návyků. Nepřetápět, při odjezdu pouze snížit teplotu, krátce a intenzivně větrat a nenechávat radiátory zakryté nábytkem nebo závěsy. </w:t>
      </w:r>
      <w:r w:rsidR="00275D02">
        <w:rPr>
          <w:i/>
          <w:iCs/>
          <w:szCs w:val="18"/>
        </w:rPr>
        <w:t>Pomohou</w:t>
      </w:r>
      <w:r w:rsidR="00575E3D">
        <w:rPr>
          <w:i/>
          <w:iCs/>
          <w:szCs w:val="18"/>
        </w:rPr>
        <w:t xml:space="preserve"> i těsn</w:t>
      </w:r>
      <w:r w:rsidR="00C46EB8">
        <w:rPr>
          <w:i/>
          <w:iCs/>
          <w:szCs w:val="18"/>
        </w:rPr>
        <w:t>i</w:t>
      </w:r>
      <w:r w:rsidR="00575E3D">
        <w:rPr>
          <w:i/>
          <w:iCs/>
          <w:szCs w:val="18"/>
        </w:rPr>
        <w:t xml:space="preserve">cí pásky ve dveřích a oknech. </w:t>
      </w:r>
      <w:r w:rsidRPr="00983BD9">
        <w:rPr>
          <w:i/>
          <w:iCs/>
          <w:szCs w:val="18"/>
        </w:rPr>
        <w:t>Samostatně jde o drobnosti, v součtu ale mohou mít na spotřebu znatelný vliv,</w:t>
      </w:r>
      <w:r w:rsidRPr="00983BD9">
        <w:rPr>
          <w:szCs w:val="18"/>
        </w:rPr>
        <w:t xml:space="preserve">“ vysvětluje </w:t>
      </w:r>
      <w:proofErr w:type="spellStart"/>
      <w:r w:rsidR="005B302B">
        <w:rPr>
          <w:b/>
          <w:bCs/>
          <w:szCs w:val="18"/>
        </w:rPr>
        <w:t>Memiševič</w:t>
      </w:r>
      <w:proofErr w:type="spellEnd"/>
      <w:r w:rsidR="005B302B">
        <w:rPr>
          <w:b/>
          <w:bCs/>
          <w:szCs w:val="18"/>
        </w:rPr>
        <w:t>.</w:t>
      </w:r>
    </w:p>
    <w:p w14:paraId="1543B08D" w14:textId="77777777" w:rsidR="00983BD9" w:rsidRPr="00983BD9" w:rsidRDefault="00983BD9" w:rsidP="00983BD9">
      <w:pPr>
        <w:spacing w:after="160" w:line="278" w:lineRule="auto"/>
        <w:rPr>
          <w:b/>
          <w:bCs/>
          <w:szCs w:val="18"/>
        </w:rPr>
      </w:pPr>
      <w:r w:rsidRPr="00983BD9">
        <w:rPr>
          <w:b/>
          <w:bCs/>
          <w:szCs w:val="18"/>
        </w:rPr>
        <w:t>Ani vypnutý radiátor neznamená nulový účet</w:t>
      </w:r>
    </w:p>
    <w:p w14:paraId="60D8D8A1" w14:textId="77777777" w:rsidR="00983BD9" w:rsidRPr="00983BD9" w:rsidRDefault="00983BD9" w:rsidP="00983BD9">
      <w:pPr>
        <w:spacing w:after="160" w:line="278" w:lineRule="auto"/>
        <w:rPr>
          <w:szCs w:val="18"/>
        </w:rPr>
      </w:pPr>
      <w:r w:rsidRPr="00983BD9">
        <w:rPr>
          <w:szCs w:val="18"/>
        </w:rPr>
        <w:t xml:space="preserve">Specifická situace nastává v bytových domech s centrálním vytápěním. Vyúčtování tepla se zde skládá ze </w:t>
      </w:r>
      <w:r w:rsidRPr="00983BD9">
        <w:rPr>
          <w:b/>
          <w:bCs/>
          <w:szCs w:val="18"/>
        </w:rPr>
        <w:t>základní a spotřební složky</w:t>
      </w:r>
      <w:r w:rsidRPr="00983BD9">
        <w:rPr>
          <w:szCs w:val="18"/>
        </w:rPr>
        <w:t xml:space="preserve">. Základní složka tvoří přibližně </w:t>
      </w:r>
      <w:r w:rsidRPr="00983BD9">
        <w:rPr>
          <w:b/>
          <w:bCs/>
          <w:szCs w:val="18"/>
        </w:rPr>
        <w:t>30 až 50 % nákladů</w:t>
      </w:r>
      <w:r w:rsidRPr="00983BD9">
        <w:rPr>
          <w:szCs w:val="18"/>
        </w:rPr>
        <w:t xml:space="preserve"> a rozděluje se mezi domácnosti podle započitatelné podlahové plochy.</w:t>
      </w:r>
    </w:p>
    <w:p w14:paraId="79FB764C" w14:textId="77777777" w:rsidR="00983BD9" w:rsidRPr="00983BD9" w:rsidRDefault="00983BD9" w:rsidP="00983BD9">
      <w:pPr>
        <w:spacing w:after="160" w:line="278" w:lineRule="auto"/>
        <w:rPr>
          <w:szCs w:val="18"/>
        </w:rPr>
      </w:pPr>
      <w:r w:rsidRPr="00983BD9">
        <w:rPr>
          <w:szCs w:val="18"/>
        </w:rPr>
        <w:t>Část nákladů proto domácnost zaplatí i v případě, že má radiátory zcela vypnuté. Vypnutím topení lze snížit především spotřební složku, nikoli celý účet.</w:t>
      </w:r>
    </w:p>
    <w:p w14:paraId="3EF62B55" w14:textId="77777777" w:rsidR="00983BD9" w:rsidRPr="00983BD9" w:rsidRDefault="00983BD9" w:rsidP="00983BD9">
      <w:pPr>
        <w:spacing w:after="160" w:line="278" w:lineRule="auto"/>
        <w:rPr>
          <w:szCs w:val="18"/>
        </w:rPr>
      </w:pPr>
      <w:r w:rsidRPr="00983BD9">
        <w:rPr>
          <w:szCs w:val="18"/>
        </w:rPr>
        <w:t>Úplné odstavení vytápění navíc může vést k výraznému ochlazení bytu a následně k vyšší potřebě energie při jeho opětovném vytápění.</w:t>
      </w:r>
    </w:p>
    <w:p w14:paraId="6643886C" w14:textId="77777777" w:rsidR="00983BD9" w:rsidRPr="00983BD9" w:rsidRDefault="00983BD9" w:rsidP="00983BD9">
      <w:pPr>
        <w:spacing w:after="160" w:line="278" w:lineRule="auto"/>
        <w:rPr>
          <w:szCs w:val="18"/>
        </w:rPr>
      </w:pPr>
    </w:p>
    <w:p w14:paraId="39D61201" w14:textId="77777777" w:rsidR="00983BD9" w:rsidRPr="00983BD9" w:rsidRDefault="00983BD9" w:rsidP="00983BD9">
      <w:pPr>
        <w:spacing w:after="160" w:line="278" w:lineRule="auto"/>
        <w:rPr>
          <w:b/>
          <w:bCs/>
          <w:szCs w:val="18"/>
        </w:rPr>
      </w:pPr>
      <w:r w:rsidRPr="00983BD9">
        <w:rPr>
          <w:b/>
          <w:bCs/>
          <w:szCs w:val="18"/>
        </w:rPr>
        <w:t>Pět věcí, které udělat před prvními chladnými dny</w:t>
      </w:r>
    </w:p>
    <w:p w14:paraId="647D8A33" w14:textId="77777777" w:rsidR="00983BD9" w:rsidRPr="00983BD9" w:rsidRDefault="00983BD9" w:rsidP="00983BD9">
      <w:pPr>
        <w:pStyle w:val="Odstavecseseznamem"/>
        <w:numPr>
          <w:ilvl w:val="0"/>
          <w:numId w:val="7"/>
        </w:numPr>
        <w:spacing w:after="160" w:line="278" w:lineRule="auto"/>
        <w:rPr>
          <w:szCs w:val="18"/>
        </w:rPr>
      </w:pPr>
      <w:r w:rsidRPr="00983BD9">
        <w:rPr>
          <w:b/>
          <w:bCs/>
          <w:szCs w:val="18"/>
        </w:rPr>
        <w:t>Odvzdušnit radiátory</w:t>
      </w:r>
      <w:r w:rsidRPr="00983BD9">
        <w:rPr>
          <w:szCs w:val="18"/>
        </w:rPr>
        <w:t xml:space="preserve"> a ověřit, že se zahřívají rovnoměrně.</w:t>
      </w:r>
    </w:p>
    <w:p w14:paraId="3F2BBE90" w14:textId="77777777" w:rsidR="00983BD9" w:rsidRPr="00983BD9" w:rsidRDefault="00983BD9" w:rsidP="00983BD9">
      <w:pPr>
        <w:pStyle w:val="Odstavecseseznamem"/>
        <w:numPr>
          <w:ilvl w:val="0"/>
          <w:numId w:val="7"/>
        </w:numPr>
        <w:spacing w:after="160" w:line="278" w:lineRule="auto"/>
        <w:rPr>
          <w:szCs w:val="18"/>
        </w:rPr>
      </w:pPr>
      <w:r w:rsidRPr="00983BD9">
        <w:rPr>
          <w:b/>
          <w:bCs/>
          <w:szCs w:val="18"/>
        </w:rPr>
        <w:t>Zkontrolovat kotel a topnou soustavu</w:t>
      </w:r>
      <w:r w:rsidRPr="00983BD9">
        <w:rPr>
          <w:szCs w:val="18"/>
        </w:rPr>
        <w:t>, včetně tlaku a termostatu.</w:t>
      </w:r>
    </w:p>
    <w:p w14:paraId="0C3A73B5" w14:textId="77777777" w:rsidR="00983BD9" w:rsidRPr="00983BD9" w:rsidRDefault="00983BD9" w:rsidP="00983BD9">
      <w:pPr>
        <w:pStyle w:val="Odstavecseseznamem"/>
        <w:numPr>
          <w:ilvl w:val="0"/>
          <w:numId w:val="7"/>
        </w:numPr>
        <w:spacing w:after="160" w:line="278" w:lineRule="auto"/>
        <w:rPr>
          <w:szCs w:val="18"/>
        </w:rPr>
      </w:pPr>
      <w:r w:rsidRPr="00983BD9">
        <w:rPr>
          <w:b/>
          <w:bCs/>
          <w:szCs w:val="18"/>
        </w:rPr>
        <w:t>Nepřetápět:</w:t>
      </w:r>
      <w:r w:rsidRPr="00983BD9">
        <w:rPr>
          <w:szCs w:val="18"/>
        </w:rPr>
        <w:t xml:space="preserve"> snížení teploty o jeden stupeň může orientačně znamenat kolem 6% úspory.</w:t>
      </w:r>
    </w:p>
    <w:p w14:paraId="39758E9E" w14:textId="77777777" w:rsidR="00983BD9" w:rsidRPr="00983BD9" w:rsidRDefault="00983BD9" w:rsidP="00983BD9">
      <w:pPr>
        <w:pStyle w:val="Odstavecseseznamem"/>
        <w:numPr>
          <w:ilvl w:val="0"/>
          <w:numId w:val="7"/>
        </w:numPr>
        <w:spacing w:after="160" w:line="278" w:lineRule="auto"/>
        <w:rPr>
          <w:szCs w:val="18"/>
        </w:rPr>
      </w:pPr>
      <w:r w:rsidRPr="00983BD9">
        <w:rPr>
          <w:b/>
          <w:bCs/>
          <w:szCs w:val="18"/>
        </w:rPr>
        <w:t>Větrat krátce a intenzivně</w:t>
      </w:r>
      <w:r w:rsidRPr="00983BD9">
        <w:rPr>
          <w:szCs w:val="18"/>
        </w:rPr>
        <w:t xml:space="preserve"> namísto dlouhodobě otevřené </w:t>
      </w:r>
      <w:proofErr w:type="spellStart"/>
      <w:r w:rsidRPr="00983BD9">
        <w:rPr>
          <w:szCs w:val="18"/>
        </w:rPr>
        <w:t>mikroventilace</w:t>
      </w:r>
      <w:proofErr w:type="spellEnd"/>
      <w:r w:rsidRPr="00983BD9">
        <w:rPr>
          <w:szCs w:val="18"/>
        </w:rPr>
        <w:t>.</w:t>
      </w:r>
    </w:p>
    <w:p w14:paraId="6DED0F26" w14:textId="77777777" w:rsidR="00983BD9" w:rsidRPr="00983BD9" w:rsidRDefault="00983BD9" w:rsidP="00983BD9">
      <w:pPr>
        <w:pStyle w:val="Odstavecseseznamem"/>
        <w:numPr>
          <w:ilvl w:val="0"/>
          <w:numId w:val="7"/>
        </w:numPr>
        <w:spacing w:after="160" w:line="278" w:lineRule="auto"/>
        <w:rPr>
          <w:szCs w:val="18"/>
        </w:rPr>
      </w:pPr>
      <w:r w:rsidRPr="00983BD9">
        <w:rPr>
          <w:b/>
          <w:bCs/>
          <w:szCs w:val="18"/>
        </w:rPr>
        <w:t>Zkontrolovat okna a dveře</w:t>
      </w:r>
      <w:r w:rsidRPr="00983BD9">
        <w:rPr>
          <w:szCs w:val="18"/>
        </w:rPr>
        <w:t>, zda jimi zbytečně neuniká teplo.</w:t>
      </w:r>
    </w:p>
    <w:p w14:paraId="3A6B1725" w14:textId="77777777" w:rsidR="00983BD9" w:rsidRPr="00983BD9" w:rsidRDefault="00983BD9" w:rsidP="00983BD9">
      <w:pPr>
        <w:spacing w:after="160" w:line="278" w:lineRule="auto"/>
        <w:rPr>
          <w:b/>
          <w:bCs/>
          <w:szCs w:val="18"/>
        </w:rPr>
      </w:pPr>
      <w:r w:rsidRPr="00983BD9">
        <w:rPr>
          <w:b/>
          <w:bCs/>
          <w:szCs w:val="18"/>
        </w:rPr>
        <w:t>Metodika</w:t>
      </w:r>
    </w:p>
    <w:p w14:paraId="3963C779" w14:textId="77777777" w:rsidR="00983BD9" w:rsidRPr="00983BD9" w:rsidRDefault="00983BD9" w:rsidP="00983BD9">
      <w:pPr>
        <w:spacing w:after="160" w:line="278" w:lineRule="auto"/>
        <w:rPr>
          <w:szCs w:val="18"/>
        </w:rPr>
      </w:pPr>
      <w:r w:rsidRPr="00983BD9">
        <w:rPr>
          <w:szCs w:val="18"/>
        </w:rPr>
        <w:t xml:space="preserve">Orientační náklady na vytápění rodinného domu vycházejí z modelových propočtů pro spotřebu přibližně </w:t>
      </w:r>
      <w:r w:rsidRPr="00983BD9">
        <w:rPr>
          <w:b/>
          <w:bCs/>
          <w:szCs w:val="18"/>
        </w:rPr>
        <w:t xml:space="preserve">15–20 </w:t>
      </w:r>
      <w:proofErr w:type="spellStart"/>
      <w:r w:rsidRPr="00983BD9">
        <w:rPr>
          <w:b/>
          <w:bCs/>
          <w:szCs w:val="18"/>
        </w:rPr>
        <w:t>MWh</w:t>
      </w:r>
      <w:proofErr w:type="spellEnd"/>
      <w:r w:rsidRPr="00983BD9">
        <w:rPr>
          <w:b/>
          <w:bCs/>
          <w:szCs w:val="18"/>
        </w:rPr>
        <w:t xml:space="preserve"> u plynového vytápění</w:t>
      </w:r>
      <w:r w:rsidRPr="00983BD9">
        <w:rPr>
          <w:szCs w:val="18"/>
        </w:rPr>
        <w:t xml:space="preserve"> a </w:t>
      </w:r>
      <w:r w:rsidRPr="00983BD9">
        <w:rPr>
          <w:b/>
          <w:bCs/>
          <w:szCs w:val="18"/>
        </w:rPr>
        <w:t xml:space="preserve">4–10 </w:t>
      </w:r>
      <w:proofErr w:type="spellStart"/>
      <w:r w:rsidRPr="00983BD9">
        <w:rPr>
          <w:b/>
          <w:bCs/>
          <w:szCs w:val="18"/>
        </w:rPr>
        <w:t>MWh</w:t>
      </w:r>
      <w:proofErr w:type="spellEnd"/>
      <w:r w:rsidRPr="00983BD9">
        <w:rPr>
          <w:b/>
          <w:bCs/>
          <w:szCs w:val="18"/>
        </w:rPr>
        <w:t xml:space="preserve"> elektřiny u tepelného čerpadla</w:t>
      </w:r>
      <w:r w:rsidRPr="00983BD9">
        <w:rPr>
          <w:szCs w:val="18"/>
        </w:rPr>
        <w:t xml:space="preserve">. Odpovídající orientační náklady činí přibližně </w:t>
      </w:r>
      <w:r w:rsidRPr="00983BD9">
        <w:rPr>
          <w:b/>
          <w:bCs/>
          <w:szCs w:val="18"/>
        </w:rPr>
        <w:t>30–40 tisíc Kč</w:t>
      </w:r>
      <w:r w:rsidRPr="00983BD9">
        <w:rPr>
          <w:szCs w:val="18"/>
        </w:rPr>
        <w:t xml:space="preserve">, respektive </w:t>
      </w:r>
      <w:r w:rsidRPr="00983BD9">
        <w:rPr>
          <w:b/>
          <w:bCs/>
          <w:szCs w:val="18"/>
        </w:rPr>
        <w:t>20–40 tisíc Kč za topnou sezonu</w:t>
      </w:r>
      <w:r w:rsidRPr="00983BD9">
        <w:rPr>
          <w:szCs w:val="18"/>
        </w:rPr>
        <w:t>. Konkrétní výsledek závisí na spotřebě, ceně energie, dodavateli, tarifu a dalších parametrech domácnosti.</w:t>
      </w:r>
    </w:p>
    <w:p w14:paraId="485EC5A8" w14:textId="05618EF7" w:rsidR="00472BB5" w:rsidRPr="007B7F09" w:rsidRDefault="00472BB5" w:rsidP="00472BB5">
      <w:pPr>
        <w:spacing w:after="160" w:line="278" w:lineRule="auto"/>
        <w:rPr>
          <w:szCs w:val="18"/>
        </w:rPr>
      </w:pPr>
    </w:p>
    <w:p w14:paraId="624954F3" w14:textId="77777777" w:rsidR="005E2B6B" w:rsidRPr="005E2B6B" w:rsidRDefault="005E2B6B" w:rsidP="005E2B6B">
      <w:pPr>
        <w:spacing w:after="160" w:line="278" w:lineRule="auto"/>
        <w:rPr>
          <w:sz w:val="20"/>
          <w:szCs w:val="20"/>
        </w:rPr>
      </w:pPr>
    </w:p>
    <w:p w14:paraId="4BFEB085" w14:textId="18CCBBFA" w:rsidR="00D26658" w:rsidRPr="005E2B6B" w:rsidRDefault="00D26658" w:rsidP="00D26658">
      <w:pPr>
        <w:spacing w:after="160" w:line="278" w:lineRule="auto"/>
        <w:rPr>
          <w:sz w:val="20"/>
          <w:szCs w:val="20"/>
        </w:rPr>
      </w:pPr>
    </w:p>
    <w:p w14:paraId="3AADBF0C" w14:textId="3A2A8560" w:rsidR="00476614" w:rsidRPr="005E2B6B" w:rsidRDefault="00FA7F69" w:rsidP="00E267C6">
      <w:pPr>
        <w:pStyle w:val="Zkladntext"/>
        <w:spacing w:before="240" w:line="276" w:lineRule="auto"/>
        <w:jc w:val="left"/>
      </w:pPr>
      <w:r w:rsidRPr="005E2B6B">
        <w:rPr>
          <w:u w:val="single"/>
        </w:rPr>
        <w:t>Kontakt pro média:</w:t>
      </w:r>
      <w:r w:rsidRPr="005E2B6B">
        <w:br/>
      </w:r>
      <w:r w:rsidRPr="00911433">
        <w:rPr>
          <w:b/>
          <w:bCs/>
        </w:rPr>
        <w:t>Vladimíra Kolaříková</w:t>
      </w:r>
      <w:r w:rsidRPr="00911433">
        <w:rPr>
          <w:b/>
          <w:bCs/>
        </w:rPr>
        <w:br/>
      </w:r>
      <w:r w:rsidR="00476614" w:rsidRPr="005E2B6B">
        <w:t>PR Manager, Skupina Klik.cz</w:t>
      </w:r>
      <w:r w:rsidR="00476614" w:rsidRPr="005E2B6B">
        <w:br/>
        <w:t>tel.:</w:t>
      </w:r>
      <w:r w:rsidR="00476614" w:rsidRPr="005E2B6B">
        <w:rPr>
          <w:spacing w:val="-5"/>
        </w:rPr>
        <w:t xml:space="preserve"> </w:t>
      </w:r>
      <w:r w:rsidR="00476614" w:rsidRPr="005E2B6B">
        <w:t>+420</w:t>
      </w:r>
      <w:r w:rsidR="00476614" w:rsidRPr="005E2B6B">
        <w:rPr>
          <w:spacing w:val="-4"/>
        </w:rPr>
        <w:t xml:space="preserve"> </w:t>
      </w:r>
      <w:r w:rsidR="00476614" w:rsidRPr="005E2B6B">
        <w:t>602</w:t>
      </w:r>
      <w:r w:rsidR="00476614" w:rsidRPr="005E2B6B">
        <w:rPr>
          <w:spacing w:val="-1"/>
        </w:rPr>
        <w:t xml:space="preserve"> </w:t>
      </w:r>
      <w:r w:rsidR="00476614" w:rsidRPr="005E2B6B">
        <w:t>408</w:t>
      </w:r>
      <w:r w:rsidR="00476614" w:rsidRPr="005E2B6B">
        <w:rPr>
          <w:spacing w:val="-6"/>
        </w:rPr>
        <w:t> </w:t>
      </w:r>
      <w:r w:rsidR="00476614" w:rsidRPr="005E2B6B">
        <w:rPr>
          <w:spacing w:val="-5"/>
        </w:rPr>
        <w:t>539</w:t>
      </w:r>
      <w:r w:rsidR="00476614" w:rsidRPr="005E2B6B">
        <w:br/>
        <w:t>e-mail:</w:t>
      </w:r>
      <w:r w:rsidR="00476614" w:rsidRPr="005E2B6B">
        <w:rPr>
          <w:spacing w:val="-6"/>
        </w:rPr>
        <w:t xml:space="preserve"> </w:t>
      </w:r>
      <w:hyperlink r:id="rId7">
        <w:r w:rsidR="00476614" w:rsidRPr="005E2B6B">
          <w:rPr>
            <w:spacing w:val="-2"/>
            <w:u w:val="single"/>
          </w:rPr>
          <w:t>vladimira.kolarikova@klik.cz</w:t>
        </w:r>
      </w:hyperlink>
    </w:p>
    <w:p w14:paraId="368712B7" w14:textId="77777777" w:rsidR="00476614" w:rsidRPr="005E2B6B" w:rsidRDefault="00476614" w:rsidP="00476614">
      <w:pPr>
        <w:pStyle w:val="Zkladntext"/>
        <w:spacing w:line="276" w:lineRule="auto"/>
      </w:pPr>
    </w:p>
    <w:p w14:paraId="4AF12E32" w14:textId="77777777" w:rsidR="00476614" w:rsidRPr="00911433" w:rsidRDefault="00476614" w:rsidP="00476614">
      <w:pPr>
        <w:pStyle w:val="Zkladntext"/>
        <w:spacing w:line="276" w:lineRule="auto"/>
        <w:rPr>
          <w:b/>
          <w:bCs/>
          <w:szCs w:val="18"/>
          <w:u w:val="single"/>
        </w:rPr>
      </w:pPr>
      <w:r w:rsidRPr="00911433">
        <w:rPr>
          <w:b/>
          <w:bCs/>
          <w:szCs w:val="18"/>
          <w:u w:val="single"/>
        </w:rPr>
        <w:t>Skupina Klik.cz</w:t>
      </w:r>
    </w:p>
    <w:p w14:paraId="21861E58" w14:textId="77777777" w:rsidR="00476614" w:rsidRPr="005E2B6B" w:rsidRDefault="00476614" w:rsidP="00476614">
      <w:pPr>
        <w:pStyle w:val="Zkladntext"/>
        <w:spacing w:before="120" w:line="276" w:lineRule="auto"/>
        <w:rPr>
          <w:szCs w:val="18"/>
        </w:rPr>
      </w:pPr>
      <w:r w:rsidRPr="005E2B6B">
        <w:rPr>
          <w:szCs w:val="18"/>
        </w:rPr>
        <w:t>Sdružujeme přední české internetové srovnávače, díky kterým nabízíme poradenství a sjednávání produktů tak, abychom co nejlépe pomohli šetřit rodinné finance. Exkluzivní partnerství se všemi klíčovými finančními institucemi na českém trhu nám umožňuje nabídnout zákazníkům to nejvýhodnější řešení při zřizování povinného ručení, havarijního pojištění, pojištění domácnosti a nemovitosti, cestovního pojištění, životního pojištění, ale i při volbě půjček, hypoték a energií. To vše z pohodlí jejich domovů.</w:t>
      </w:r>
    </w:p>
    <w:p w14:paraId="3146C8D9" w14:textId="5220BC20" w:rsidR="00476614" w:rsidRPr="005E2B6B" w:rsidRDefault="00476614" w:rsidP="00476614">
      <w:pPr>
        <w:pStyle w:val="Zkladntext"/>
        <w:spacing w:before="120" w:line="264" w:lineRule="auto"/>
        <w:rPr>
          <w:szCs w:val="18"/>
        </w:rPr>
      </w:pPr>
      <w:r w:rsidRPr="005E2B6B">
        <w:rPr>
          <w:szCs w:val="18"/>
        </w:rPr>
        <w:t>Naše srovnávače vystupují jako samostatní zprostředkovatelé dle zákona o distribuci pojištění. Řídíme se zákonem o energetice a předpisy Energetického regulačního úřadu. Plníme roli objektivního a transparentního prostředníka, který je motivován k propagaci nejvhodnějšího produktu pro klienta bez ohledu na konečný výběr značky pojišťovny.</w:t>
      </w:r>
    </w:p>
    <w:p w14:paraId="6D4310B3" w14:textId="3B91D3CE" w:rsidR="00667EE5" w:rsidRPr="005E2B6B" w:rsidRDefault="00476614" w:rsidP="00C30F1C">
      <w:pPr>
        <w:pStyle w:val="Zkladntext"/>
        <w:spacing w:before="120" w:line="264" w:lineRule="auto"/>
      </w:pPr>
      <w:r w:rsidRPr="005E2B6B">
        <w:rPr>
          <w:szCs w:val="18"/>
        </w:rPr>
        <w:t xml:space="preserve">Součástí Skupiny Klik.cz jsou tyto klíčové srovnávače: Klik.cz, Srovnejto.cz, ePojisteni.cz, </w:t>
      </w:r>
      <w:proofErr w:type="spellStart"/>
      <w:r w:rsidRPr="005E2B6B">
        <w:rPr>
          <w:szCs w:val="18"/>
        </w:rPr>
        <w:t>Tarifomat</w:t>
      </w:r>
      <w:proofErr w:type="spellEnd"/>
      <w:r w:rsidRPr="005E2B6B">
        <w:rPr>
          <w:szCs w:val="18"/>
        </w:rPr>
        <w:t xml:space="preserve"> a Porovnej24.cz. Jsme součástí mezinárodní skupiny </w:t>
      </w:r>
      <w:proofErr w:type="spellStart"/>
      <w:r w:rsidRPr="005E2B6B">
        <w:rPr>
          <w:szCs w:val="18"/>
        </w:rPr>
        <w:t>Netrisk</w:t>
      </w:r>
      <w:proofErr w:type="spellEnd"/>
      <w:r w:rsidRPr="005E2B6B">
        <w:rPr>
          <w:szCs w:val="18"/>
        </w:rPr>
        <w:t xml:space="preserve"> Group, která kromě Česka provozuje srovnávače v dalších pěti evropských zemích: na Slovensku, v Rakousku, Maďarsku, Polsku a Litvě.</w:t>
      </w:r>
      <w:r w:rsidR="00667EE5" w:rsidRPr="005E2B6B">
        <w:tab/>
      </w:r>
    </w:p>
    <w:sectPr w:rsidR="00667EE5" w:rsidRPr="005E2B6B" w:rsidSect="005E69BE">
      <w:headerReference w:type="default" r:id="rId8"/>
      <w:footerReference w:type="default" r:id="rId9"/>
      <w:pgSz w:w="11906" w:h="16838"/>
      <w:pgMar w:top="1701"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6DB8AD" w14:textId="77777777" w:rsidR="00454B12" w:rsidRDefault="00454B12" w:rsidP="005E69BE">
      <w:pPr>
        <w:spacing w:line="240" w:lineRule="auto"/>
      </w:pPr>
      <w:r>
        <w:separator/>
      </w:r>
    </w:p>
  </w:endnote>
  <w:endnote w:type="continuationSeparator" w:id="0">
    <w:p w14:paraId="3D64EEB0" w14:textId="77777777" w:rsidR="00454B12" w:rsidRDefault="00454B12" w:rsidP="005E69B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Poppins">
    <w:charset w:val="EE"/>
    <w:family w:val="auto"/>
    <w:pitch w:val="variable"/>
    <w:sig w:usb0="00008007" w:usb1="00000000" w:usb2="00000000" w:usb3="00000000" w:csb0="00000093" w:csb1="00000000"/>
  </w:font>
  <w:font w:name="Poppins Bold">
    <w:altName w:val="Poppins"/>
    <w:charset w:val="00"/>
    <w:family w:val="roman"/>
    <w:pitch w:val="default"/>
  </w:font>
  <w:font w:name="Calibri Light">
    <w:panose1 w:val="020F0302020204030204"/>
    <w:charset w:val="EE"/>
    <w:family w:val="swiss"/>
    <w:pitch w:val="variable"/>
    <w:sig w:usb0="E4002EFF" w:usb1="C200247B" w:usb2="00000009" w:usb3="00000000" w:csb0="000001FF" w:csb1="00000000"/>
  </w:font>
  <w:font w:name="Fedra Sans Alt Std Light">
    <w:altName w:val="Calibri"/>
    <w:charset w:val="00"/>
    <w:family w:val="modern"/>
    <w:pitch w:val="variable"/>
    <w:sig w:usb0="A000003F" w:usb1="5001E4FB" w:usb2="00000000" w:usb3="00000000" w:csb0="00000093" w:csb1="00000000"/>
  </w:font>
  <w:font w:name="Calibri">
    <w:panose1 w:val="020F0502020204030204"/>
    <w:charset w:val="EE"/>
    <w:family w:val="swiss"/>
    <w:pitch w:val="variable"/>
    <w:sig w:usb0="E4002EFF" w:usb1="C200247B" w:usb2="00000009" w:usb3="00000000" w:csb0="000001FF" w:csb1="00000000"/>
  </w:font>
  <w:font w:name="Fedra Sans Alt Std Medium">
    <w:altName w:val="Calibri"/>
    <w:charset w:val="00"/>
    <w:family w:val="modern"/>
    <w:pitch w:val="variable"/>
    <w:sig w:usb0="E00002FF" w:usb1="5001E4FB" w:usb2="00000000" w:usb3="00000000" w:csb0="0000019F" w:csb1="00000000"/>
  </w:font>
  <w:font w:name="Quicksand">
    <w:altName w:val="Calibri"/>
    <w:charset w:val="EE"/>
    <w:family w:val="auto"/>
    <w:pitch w:val="variable"/>
    <w:sig w:usb0="2000000F" w:usb1="00000001" w:usb2="00000000" w:usb3="00000000" w:csb0="00000193"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64184" w14:textId="72FCEC31" w:rsidR="009F16E3" w:rsidRPr="009F16E3" w:rsidRDefault="005C02ED" w:rsidP="009F16E3">
    <w:pPr>
      <w:pStyle w:val="Zpat"/>
      <w:jc w:val="center"/>
      <w:rPr>
        <w:sz w:val="16"/>
        <w:szCs w:val="20"/>
      </w:rPr>
    </w:pPr>
    <w:r w:rsidRPr="005C02ED">
      <w:rPr>
        <w:noProof/>
      </w:rPr>
      <w:drawing>
        <wp:anchor distT="0" distB="0" distL="114300" distR="114300" simplePos="0" relativeHeight="251664384" behindDoc="0" locked="0" layoutInCell="1" allowOverlap="1" wp14:anchorId="6BFDF74E" wp14:editId="7813F33E">
          <wp:simplePos x="0" y="0"/>
          <wp:positionH relativeFrom="margin">
            <wp:posOffset>-19050</wp:posOffset>
          </wp:positionH>
          <wp:positionV relativeFrom="paragraph">
            <wp:posOffset>-204899</wp:posOffset>
          </wp:positionV>
          <wp:extent cx="6157722" cy="190445"/>
          <wp:effectExtent l="0" t="0" r="0" b="635"/>
          <wp:wrapNone/>
          <wp:docPr id="1287204318" name="Grafický 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7204318" name=""/>
                  <pic:cNvPicPr/>
                </pic:nvPicPr>
                <pic:blipFill>
                  <a:blip r:embed="rId1">
                    <a:extLst>
                      <a:ext uri="{96DAC541-7B7A-43D3-8B79-37D633B846F1}">
                        <asvg:svgBlip xmlns:asvg="http://schemas.microsoft.com/office/drawing/2016/SVG/main" r:embed="rId2"/>
                      </a:ext>
                    </a:extLst>
                  </a:blip>
                  <a:stretch>
                    <a:fillRect/>
                  </a:stretch>
                </pic:blipFill>
                <pic:spPr>
                  <a:xfrm>
                    <a:off x="0" y="0"/>
                    <a:ext cx="6157722" cy="190445"/>
                  </a:xfrm>
                  <a:prstGeom prst="rect">
                    <a:avLst/>
                  </a:prstGeom>
                </pic:spPr>
              </pic:pic>
            </a:graphicData>
          </a:graphic>
          <wp14:sizeRelH relativeFrom="margin">
            <wp14:pctWidth>0</wp14:pctWidth>
          </wp14:sizeRelH>
          <wp14:sizeRelV relativeFrom="margin">
            <wp14:pctHeight>0</wp14:pctHeight>
          </wp14:sizeRelV>
        </wp:anchor>
      </w:drawing>
    </w:r>
    <w:r w:rsidR="009F16E3" w:rsidRPr="009F16E3">
      <w:rPr>
        <w:sz w:val="16"/>
        <w:szCs w:val="20"/>
      </w:rPr>
      <w:t>Rohanské nábřeží 678/29, 186 00 Praha 8 - Karlín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8259C9" w14:textId="77777777" w:rsidR="00454B12" w:rsidRDefault="00454B12" w:rsidP="005E69BE">
      <w:pPr>
        <w:spacing w:line="240" w:lineRule="auto"/>
      </w:pPr>
      <w:r>
        <w:separator/>
      </w:r>
    </w:p>
  </w:footnote>
  <w:footnote w:type="continuationSeparator" w:id="0">
    <w:p w14:paraId="7C8A866A" w14:textId="77777777" w:rsidR="00454B12" w:rsidRDefault="00454B12" w:rsidP="005E69B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18"/>
      </w:rPr>
      <w:id w:val="-1318336367"/>
      <w:docPartObj>
        <w:docPartGallery w:val="Page Numbers (Top of Page)"/>
        <w:docPartUnique/>
      </w:docPartObj>
    </w:sdtPr>
    <w:sdtContent>
      <w:p w14:paraId="7DF950EC" w14:textId="368D1022" w:rsidR="002C02E4" w:rsidRPr="005C02ED" w:rsidRDefault="00C61BB3">
        <w:pPr>
          <w:pStyle w:val="Zhlav"/>
          <w:jc w:val="right"/>
          <w:rPr>
            <w:szCs w:val="18"/>
          </w:rPr>
        </w:pPr>
        <w:r w:rsidRPr="005C02ED">
          <w:rPr>
            <w:noProof/>
            <w:szCs w:val="18"/>
          </w:rPr>
          <w:drawing>
            <wp:anchor distT="0" distB="0" distL="114300" distR="114300" simplePos="0" relativeHeight="251663360" behindDoc="0" locked="0" layoutInCell="1" allowOverlap="1" wp14:anchorId="6BA586DA" wp14:editId="24084EB8">
              <wp:simplePos x="0" y="0"/>
              <wp:positionH relativeFrom="column">
                <wp:posOffset>10700</wp:posOffset>
              </wp:positionH>
              <wp:positionV relativeFrom="paragraph">
                <wp:posOffset>194310</wp:posOffset>
              </wp:positionV>
              <wp:extent cx="1490205" cy="184150"/>
              <wp:effectExtent l="0" t="0" r="0" b="6350"/>
              <wp:wrapNone/>
              <wp:docPr id="453262952" name="Grafický 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3262952" name=""/>
                      <pic:cNvPicPr/>
                    </pic:nvPicPr>
                    <pic:blipFill>
                      <a:blip r:embed="rId1">
                        <a:extLst>
                          <a:ext uri="{96DAC541-7B7A-43D3-8B79-37D633B846F1}">
                            <asvg:svgBlip xmlns:asvg="http://schemas.microsoft.com/office/drawing/2016/SVG/main" r:embed="rId2"/>
                          </a:ext>
                        </a:extLst>
                      </a:blip>
                      <a:stretch>
                        <a:fillRect/>
                      </a:stretch>
                    </pic:blipFill>
                    <pic:spPr>
                      <a:xfrm>
                        <a:off x="0" y="0"/>
                        <a:ext cx="1490205" cy="184150"/>
                      </a:xfrm>
                      <a:prstGeom prst="rect">
                        <a:avLst/>
                      </a:prstGeom>
                    </pic:spPr>
                  </pic:pic>
                </a:graphicData>
              </a:graphic>
              <wp14:sizeRelH relativeFrom="margin">
                <wp14:pctWidth>0</wp14:pctWidth>
              </wp14:sizeRelH>
              <wp14:sizeRelV relativeFrom="margin">
                <wp14:pctHeight>0</wp14:pctHeight>
              </wp14:sizeRelV>
            </wp:anchor>
          </w:drawing>
        </w:r>
      </w:p>
      <w:p w14:paraId="509FE4CA" w14:textId="705CE368" w:rsidR="00862E1A" w:rsidRPr="005C02ED" w:rsidRDefault="00862E1A">
        <w:pPr>
          <w:pStyle w:val="Zhlav"/>
          <w:jc w:val="right"/>
          <w:rPr>
            <w:szCs w:val="18"/>
          </w:rPr>
        </w:pPr>
        <w:r w:rsidRPr="005C02ED">
          <w:rPr>
            <w:szCs w:val="18"/>
          </w:rPr>
          <w:fldChar w:fldCharType="begin"/>
        </w:r>
        <w:r w:rsidRPr="005C02ED">
          <w:rPr>
            <w:szCs w:val="18"/>
          </w:rPr>
          <w:instrText>PAGE</w:instrText>
        </w:r>
        <w:r w:rsidRPr="005C02ED">
          <w:rPr>
            <w:szCs w:val="18"/>
          </w:rPr>
          <w:fldChar w:fldCharType="separate"/>
        </w:r>
        <w:r w:rsidRPr="005C02ED">
          <w:rPr>
            <w:szCs w:val="18"/>
          </w:rPr>
          <w:t>2</w:t>
        </w:r>
        <w:r w:rsidRPr="005C02ED">
          <w:rPr>
            <w:szCs w:val="18"/>
          </w:rPr>
          <w:fldChar w:fldCharType="end"/>
        </w:r>
        <w:r w:rsidRPr="005C02ED">
          <w:rPr>
            <w:color w:val="E5087D"/>
            <w:szCs w:val="18"/>
          </w:rPr>
          <w:t>/</w:t>
        </w:r>
        <w:r w:rsidRPr="005C02ED">
          <w:rPr>
            <w:szCs w:val="18"/>
          </w:rPr>
          <w:fldChar w:fldCharType="begin"/>
        </w:r>
        <w:r w:rsidRPr="005C02ED">
          <w:rPr>
            <w:szCs w:val="18"/>
          </w:rPr>
          <w:instrText>NUMPAGES</w:instrText>
        </w:r>
        <w:r w:rsidRPr="005C02ED">
          <w:rPr>
            <w:szCs w:val="18"/>
          </w:rPr>
          <w:fldChar w:fldCharType="separate"/>
        </w:r>
        <w:r w:rsidRPr="005C02ED">
          <w:rPr>
            <w:szCs w:val="18"/>
          </w:rPr>
          <w:t>2</w:t>
        </w:r>
        <w:r w:rsidRPr="005C02ED">
          <w:rPr>
            <w:szCs w:val="18"/>
          </w:rPr>
          <w:fldChar w:fldCharType="end"/>
        </w:r>
      </w:p>
    </w:sdtContent>
  </w:sdt>
  <w:p w14:paraId="29DBBA6B" w14:textId="03CFDAEB" w:rsidR="005E69BE" w:rsidRPr="005C02ED" w:rsidRDefault="005E69BE">
    <w:pPr>
      <w:pStyle w:val="Zhlav"/>
      <w:rPr>
        <w:sz w:val="22"/>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6138EF"/>
    <w:multiLevelType w:val="hybridMultilevel"/>
    <w:tmpl w:val="EF32D006"/>
    <w:lvl w:ilvl="0" w:tplc="0405000F">
      <w:start w:val="1"/>
      <w:numFmt w:val="decimal"/>
      <w:lvlText w:val="%1."/>
      <w:lvlJc w:val="left"/>
      <w:pPr>
        <w:ind w:left="1080" w:hanging="360"/>
      </w:p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 w15:restartNumberingAfterBreak="0">
    <w:nsid w:val="15411C13"/>
    <w:multiLevelType w:val="multilevel"/>
    <w:tmpl w:val="032CFAA6"/>
    <w:lvl w:ilvl="0">
      <w:start w:val="1"/>
      <w:numFmt w:val="decimal"/>
      <w:pStyle w:val="Odrka1"/>
      <w:lvlText w:val="%1."/>
      <w:lvlJc w:val="left"/>
      <w:pPr>
        <w:ind w:left="360" w:hanging="360"/>
      </w:pPr>
      <w:rPr>
        <w:rFonts w:hint="default"/>
        <w:b/>
        <w:bCs/>
        <w:caps w:val="0"/>
        <w:strike w:val="0"/>
        <w:dstrike w:val="0"/>
        <w:color w:val="E5087D"/>
        <w:sz w:val="20"/>
        <w:szCs w:val="20"/>
        <w:vertAlign w:val="baseline"/>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25F01D69"/>
    <w:multiLevelType w:val="multilevel"/>
    <w:tmpl w:val="152C7B84"/>
    <w:lvl w:ilvl="0">
      <w:start w:val="1"/>
      <w:numFmt w:val="decimal"/>
      <w:lvlText w:val="%1."/>
      <w:lvlJc w:val="left"/>
      <w:pPr>
        <w:tabs>
          <w:tab w:val="num" w:pos="720"/>
        </w:tabs>
        <w:ind w:left="720" w:hanging="720"/>
      </w:pPr>
    </w:lvl>
    <w:lvl w:ilvl="1">
      <w:start w:val="1"/>
      <w:numFmt w:val="decimal"/>
      <w:pStyle w:val="Odrka3"/>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38665BD2"/>
    <w:multiLevelType w:val="multilevel"/>
    <w:tmpl w:val="8892C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D9F11D4"/>
    <w:multiLevelType w:val="hybridMultilevel"/>
    <w:tmpl w:val="6CEE69D4"/>
    <w:lvl w:ilvl="0" w:tplc="5A5874D6">
      <w:start w:val="1"/>
      <w:numFmt w:val="bullet"/>
      <w:lvlText w:val=""/>
      <w:lvlJc w:val="left"/>
      <w:pPr>
        <w:ind w:left="360" w:hanging="360"/>
      </w:pPr>
      <w:rPr>
        <w:rFonts w:ascii="Wingdings" w:hAnsi="Wingdings" w:hint="default"/>
        <w:color w:val="B8A875"/>
        <w:sz w:val="10"/>
      </w:rPr>
    </w:lvl>
    <w:lvl w:ilvl="1" w:tplc="FFFFFFFF" w:tentative="1">
      <w:start w:val="1"/>
      <w:numFmt w:val="bullet"/>
      <w:lvlText w:val="o"/>
      <w:lvlJc w:val="left"/>
      <w:pPr>
        <w:ind w:left="796" w:hanging="360"/>
      </w:pPr>
      <w:rPr>
        <w:rFonts w:ascii="Courier New" w:hAnsi="Courier New" w:cs="Courier New" w:hint="default"/>
      </w:rPr>
    </w:lvl>
    <w:lvl w:ilvl="2" w:tplc="FFFFFFFF" w:tentative="1">
      <w:start w:val="1"/>
      <w:numFmt w:val="bullet"/>
      <w:lvlText w:val=""/>
      <w:lvlJc w:val="left"/>
      <w:pPr>
        <w:ind w:left="1516" w:hanging="360"/>
      </w:pPr>
      <w:rPr>
        <w:rFonts w:ascii="Wingdings" w:hAnsi="Wingdings" w:hint="default"/>
      </w:rPr>
    </w:lvl>
    <w:lvl w:ilvl="3" w:tplc="FFFFFFFF" w:tentative="1">
      <w:start w:val="1"/>
      <w:numFmt w:val="bullet"/>
      <w:lvlText w:val=""/>
      <w:lvlJc w:val="left"/>
      <w:pPr>
        <w:ind w:left="2236" w:hanging="360"/>
      </w:pPr>
      <w:rPr>
        <w:rFonts w:ascii="Symbol" w:hAnsi="Symbol" w:hint="default"/>
      </w:rPr>
    </w:lvl>
    <w:lvl w:ilvl="4" w:tplc="FFFFFFFF" w:tentative="1">
      <w:start w:val="1"/>
      <w:numFmt w:val="bullet"/>
      <w:lvlText w:val="o"/>
      <w:lvlJc w:val="left"/>
      <w:pPr>
        <w:ind w:left="2956" w:hanging="360"/>
      </w:pPr>
      <w:rPr>
        <w:rFonts w:ascii="Courier New" w:hAnsi="Courier New" w:cs="Courier New" w:hint="default"/>
      </w:rPr>
    </w:lvl>
    <w:lvl w:ilvl="5" w:tplc="FFFFFFFF" w:tentative="1">
      <w:start w:val="1"/>
      <w:numFmt w:val="bullet"/>
      <w:lvlText w:val=""/>
      <w:lvlJc w:val="left"/>
      <w:pPr>
        <w:ind w:left="3676" w:hanging="360"/>
      </w:pPr>
      <w:rPr>
        <w:rFonts w:ascii="Wingdings" w:hAnsi="Wingdings" w:hint="default"/>
      </w:rPr>
    </w:lvl>
    <w:lvl w:ilvl="6" w:tplc="FFFFFFFF" w:tentative="1">
      <w:start w:val="1"/>
      <w:numFmt w:val="bullet"/>
      <w:lvlText w:val=""/>
      <w:lvlJc w:val="left"/>
      <w:pPr>
        <w:ind w:left="4396" w:hanging="360"/>
      </w:pPr>
      <w:rPr>
        <w:rFonts w:ascii="Symbol" w:hAnsi="Symbol" w:hint="default"/>
      </w:rPr>
    </w:lvl>
    <w:lvl w:ilvl="7" w:tplc="FFFFFFFF" w:tentative="1">
      <w:start w:val="1"/>
      <w:numFmt w:val="bullet"/>
      <w:lvlText w:val="o"/>
      <w:lvlJc w:val="left"/>
      <w:pPr>
        <w:ind w:left="5116" w:hanging="360"/>
      </w:pPr>
      <w:rPr>
        <w:rFonts w:ascii="Courier New" w:hAnsi="Courier New" w:cs="Courier New" w:hint="default"/>
      </w:rPr>
    </w:lvl>
    <w:lvl w:ilvl="8" w:tplc="FFFFFFFF" w:tentative="1">
      <w:start w:val="1"/>
      <w:numFmt w:val="bullet"/>
      <w:lvlText w:val=""/>
      <w:lvlJc w:val="left"/>
      <w:pPr>
        <w:ind w:left="5836" w:hanging="360"/>
      </w:pPr>
      <w:rPr>
        <w:rFonts w:ascii="Wingdings" w:hAnsi="Wingdings" w:hint="default"/>
      </w:rPr>
    </w:lvl>
  </w:abstractNum>
  <w:abstractNum w:abstractNumId="5" w15:restartNumberingAfterBreak="0">
    <w:nsid w:val="6B072B96"/>
    <w:multiLevelType w:val="multilevel"/>
    <w:tmpl w:val="820A2BE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639140664">
    <w:abstractNumId w:val="4"/>
  </w:num>
  <w:num w:numId="2" w16cid:durableId="229508072">
    <w:abstractNumId w:val="1"/>
  </w:num>
  <w:num w:numId="3" w16cid:durableId="1338994047">
    <w:abstractNumId w:val="5"/>
  </w:num>
  <w:num w:numId="4" w16cid:durableId="1826235833">
    <w:abstractNumId w:val="2"/>
  </w:num>
  <w:num w:numId="5" w16cid:durableId="416757009">
    <w:abstractNumId w:val="1"/>
  </w:num>
  <w:num w:numId="6" w16cid:durableId="176038488">
    <w:abstractNumId w:val="3"/>
  </w:num>
  <w:num w:numId="7" w16cid:durableId="7860051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69BE"/>
    <w:rsid w:val="00003207"/>
    <w:rsid w:val="00005889"/>
    <w:rsid w:val="00012325"/>
    <w:rsid w:val="0001378D"/>
    <w:rsid w:val="000149F9"/>
    <w:rsid w:val="00014FE6"/>
    <w:rsid w:val="00024B7C"/>
    <w:rsid w:val="00042F30"/>
    <w:rsid w:val="000571E9"/>
    <w:rsid w:val="0006018E"/>
    <w:rsid w:val="00066D90"/>
    <w:rsid w:val="000766D9"/>
    <w:rsid w:val="00082630"/>
    <w:rsid w:val="00087A72"/>
    <w:rsid w:val="000B5210"/>
    <w:rsid w:val="000C69A4"/>
    <w:rsid w:val="000C7545"/>
    <w:rsid w:val="000D0517"/>
    <w:rsid w:val="000D638B"/>
    <w:rsid w:val="000F2FAD"/>
    <w:rsid w:val="000F312C"/>
    <w:rsid w:val="000F3CBF"/>
    <w:rsid w:val="000F5289"/>
    <w:rsid w:val="000F566A"/>
    <w:rsid w:val="001017A8"/>
    <w:rsid w:val="00102F7C"/>
    <w:rsid w:val="001053A0"/>
    <w:rsid w:val="00124606"/>
    <w:rsid w:val="00124D95"/>
    <w:rsid w:val="00127721"/>
    <w:rsid w:val="00133EF9"/>
    <w:rsid w:val="00136C71"/>
    <w:rsid w:val="00141E8C"/>
    <w:rsid w:val="001508BA"/>
    <w:rsid w:val="00152537"/>
    <w:rsid w:val="00153EA4"/>
    <w:rsid w:val="00154C0B"/>
    <w:rsid w:val="00171856"/>
    <w:rsid w:val="001724B5"/>
    <w:rsid w:val="00176901"/>
    <w:rsid w:val="00183791"/>
    <w:rsid w:val="00184EC9"/>
    <w:rsid w:val="00196C9D"/>
    <w:rsid w:val="001B00F4"/>
    <w:rsid w:val="001B0E71"/>
    <w:rsid w:val="001B249F"/>
    <w:rsid w:val="001B6F83"/>
    <w:rsid w:val="001D2FB3"/>
    <w:rsid w:val="001D498C"/>
    <w:rsid w:val="001D63B2"/>
    <w:rsid w:val="001E4690"/>
    <w:rsid w:val="001E53B3"/>
    <w:rsid w:val="001F379C"/>
    <w:rsid w:val="001F3C9D"/>
    <w:rsid w:val="001F6F3D"/>
    <w:rsid w:val="00214FC9"/>
    <w:rsid w:val="0021528B"/>
    <w:rsid w:val="00221B15"/>
    <w:rsid w:val="00225178"/>
    <w:rsid w:val="002263AE"/>
    <w:rsid w:val="0023452C"/>
    <w:rsid w:val="00234AA4"/>
    <w:rsid w:val="00235668"/>
    <w:rsid w:val="00237E61"/>
    <w:rsid w:val="00240630"/>
    <w:rsid w:val="00243B93"/>
    <w:rsid w:val="002447F8"/>
    <w:rsid w:val="0025681B"/>
    <w:rsid w:val="00260B77"/>
    <w:rsid w:val="002616EA"/>
    <w:rsid w:val="00264EFD"/>
    <w:rsid w:val="00266E8A"/>
    <w:rsid w:val="002746E9"/>
    <w:rsid w:val="00275421"/>
    <w:rsid w:val="00275D02"/>
    <w:rsid w:val="00277A2B"/>
    <w:rsid w:val="0029306C"/>
    <w:rsid w:val="00295FFC"/>
    <w:rsid w:val="002B0655"/>
    <w:rsid w:val="002B48FB"/>
    <w:rsid w:val="002B586C"/>
    <w:rsid w:val="002C02E4"/>
    <w:rsid w:val="002C0B40"/>
    <w:rsid w:val="002C39AB"/>
    <w:rsid w:val="002D0EF0"/>
    <w:rsid w:val="002D4DF8"/>
    <w:rsid w:val="002D6ECC"/>
    <w:rsid w:val="002D75C4"/>
    <w:rsid w:val="002F07ED"/>
    <w:rsid w:val="002F1D20"/>
    <w:rsid w:val="00313353"/>
    <w:rsid w:val="00313C69"/>
    <w:rsid w:val="00323700"/>
    <w:rsid w:val="003315E6"/>
    <w:rsid w:val="00333E19"/>
    <w:rsid w:val="00335972"/>
    <w:rsid w:val="00340121"/>
    <w:rsid w:val="00352F3E"/>
    <w:rsid w:val="003642DB"/>
    <w:rsid w:val="00366D82"/>
    <w:rsid w:val="003676D8"/>
    <w:rsid w:val="0037378C"/>
    <w:rsid w:val="0037528B"/>
    <w:rsid w:val="00376731"/>
    <w:rsid w:val="00381BD4"/>
    <w:rsid w:val="00384513"/>
    <w:rsid w:val="00397EA4"/>
    <w:rsid w:val="003A6678"/>
    <w:rsid w:val="003A6E8D"/>
    <w:rsid w:val="003A7208"/>
    <w:rsid w:val="003B2065"/>
    <w:rsid w:val="003B3DBC"/>
    <w:rsid w:val="003B50D5"/>
    <w:rsid w:val="003C5CA3"/>
    <w:rsid w:val="003C7043"/>
    <w:rsid w:val="003D0CFC"/>
    <w:rsid w:val="003D3361"/>
    <w:rsid w:val="003D4504"/>
    <w:rsid w:val="003D6864"/>
    <w:rsid w:val="003E5D8D"/>
    <w:rsid w:val="003F00EF"/>
    <w:rsid w:val="003F092A"/>
    <w:rsid w:val="00403D1C"/>
    <w:rsid w:val="00406CFD"/>
    <w:rsid w:val="0042502E"/>
    <w:rsid w:val="004354CE"/>
    <w:rsid w:val="0044341C"/>
    <w:rsid w:val="004456CF"/>
    <w:rsid w:val="004500AC"/>
    <w:rsid w:val="004512C8"/>
    <w:rsid w:val="00453087"/>
    <w:rsid w:val="00454A2B"/>
    <w:rsid w:val="00454B12"/>
    <w:rsid w:val="004649A8"/>
    <w:rsid w:val="00472BB5"/>
    <w:rsid w:val="00472F97"/>
    <w:rsid w:val="00476614"/>
    <w:rsid w:val="00480A3E"/>
    <w:rsid w:val="0048201E"/>
    <w:rsid w:val="004931B3"/>
    <w:rsid w:val="00494A53"/>
    <w:rsid w:val="004A025C"/>
    <w:rsid w:val="004A5D93"/>
    <w:rsid w:val="004B602B"/>
    <w:rsid w:val="004B6AB1"/>
    <w:rsid w:val="004C201A"/>
    <w:rsid w:val="004D1F7F"/>
    <w:rsid w:val="004E2EEC"/>
    <w:rsid w:val="004E38AD"/>
    <w:rsid w:val="004E5842"/>
    <w:rsid w:val="004E63FA"/>
    <w:rsid w:val="0051276D"/>
    <w:rsid w:val="00512F10"/>
    <w:rsid w:val="00521F96"/>
    <w:rsid w:val="005317AB"/>
    <w:rsid w:val="00532491"/>
    <w:rsid w:val="0053339A"/>
    <w:rsid w:val="00534CD7"/>
    <w:rsid w:val="00540569"/>
    <w:rsid w:val="005426F0"/>
    <w:rsid w:val="0055143E"/>
    <w:rsid w:val="0055296C"/>
    <w:rsid w:val="00554509"/>
    <w:rsid w:val="0055785C"/>
    <w:rsid w:val="00560484"/>
    <w:rsid w:val="00563760"/>
    <w:rsid w:val="00563969"/>
    <w:rsid w:val="00564F72"/>
    <w:rsid w:val="005666C3"/>
    <w:rsid w:val="00575E3D"/>
    <w:rsid w:val="00577C4F"/>
    <w:rsid w:val="0058172B"/>
    <w:rsid w:val="00581AFF"/>
    <w:rsid w:val="00584A54"/>
    <w:rsid w:val="00584CB1"/>
    <w:rsid w:val="005851A3"/>
    <w:rsid w:val="00586BDF"/>
    <w:rsid w:val="00592469"/>
    <w:rsid w:val="00595A89"/>
    <w:rsid w:val="005A2E02"/>
    <w:rsid w:val="005A2E60"/>
    <w:rsid w:val="005A2EAC"/>
    <w:rsid w:val="005B302B"/>
    <w:rsid w:val="005C02ED"/>
    <w:rsid w:val="005D45E6"/>
    <w:rsid w:val="005D6A1C"/>
    <w:rsid w:val="005E0F56"/>
    <w:rsid w:val="005E23F7"/>
    <w:rsid w:val="005E2B6B"/>
    <w:rsid w:val="005E69BE"/>
    <w:rsid w:val="005F2A31"/>
    <w:rsid w:val="005F6445"/>
    <w:rsid w:val="006075DC"/>
    <w:rsid w:val="0061046D"/>
    <w:rsid w:val="00610F2A"/>
    <w:rsid w:val="00615CD9"/>
    <w:rsid w:val="00615FB3"/>
    <w:rsid w:val="006166A8"/>
    <w:rsid w:val="006176FB"/>
    <w:rsid w:val="00623D4C"/>
    <w:rsid w:val="0062767F"/>
    <w:rsid w:val="00632270"/>
    <w:rsid w:val="006364E7"/>
    <w:rsid w:val="00640F5C"/>
    <w:rsid w:val="00641C4C"/>
    <w:rsid w:val="00646203"/>
    <w:rsid w:val="00646898"/>
    <w:rsid w:val="006564C6"/>
    <w:rsid w:val="00662AE2"/>
    <w:rsid w:val="00665707"/>
    <w:rsid w:val="006674DC"/>
    <w:rsid w:val="00667EE5"/>
    <w:rsid w:val="00670BBC"/>
    <w:rsid w:val="006714D6"/>
    <w:rsid w:val="00673F12"/>
    <w:rsid w:val="00673F61"/>
    <w:rsid w:val="00677F7B"/>
    <w:rsid w:val="0068277F"/>
    <w:rsid w:val="00686EC2"/>
    <w:rsid w:val="00687D42"/>
    <w:rsid w:val="00691111"/>
    <w:rsid w:val="006921C6"/>
    <w:rsid w:val="006976B0"/>
    <w:rsid w:val="006A2163"/>
    <w:rsid w:val="006B0543"/>
    <w:rsid w:val="006B22F0"/>
    <w:rsid w:val="006D32E5"/>
    <w:rsid w:val="006D6EC5"/>
    <w:rsid w:val="006F1C55"/>
    <w:rsid w:val="006F5442"/>
    <w:rsid w:val="006F547A"/>
    <w:rsid w:val="006F7955"/>
    <w:rsid w:val="0070148D"/>
    <w:rsid w:val="00706951"/>
    <w:rsid w:val="00707DDA"/>
    <w:rsid w:val="0071371F"/>
    <w:rsid w:val="007254A5"/>
    <w:rsid w:val="00727CC8"/>
    <w:rsid w:val="00730469"/>
    <w:rsid w:val="007304A1"/>
    <w:rsid w:val="00731D1E"/>
    <w:rsid w:val="0073437D"/>
    <w:rsid w:val="00735552"/>
    <w:rsid w:val="007439D6"/>
    <w:rsid w:val="007527C6"/>
    <w:rsid w:val="00763B27"/>
    <w:rsid w:val="007763FC"/>
    <w:rsid w:val="0078092E"/>
    <w:rsid w:val="0078115A"/>
    <w:rsid w:val="007827A5"/>
    <w:rsid w:val="00785309"/>
    <w:rsid w:val="0079134B"/>
    <w:rsid w:val="007A168F"/>
    <w:rsid w:val="007A3A58"/>
    <w:rsid w:val="007A4882"/>
    <w:rsid w:val="007B4565"/>
    <w:rsid w:val="007B7F09"/>
    <w:rsid w:val="007C0DD5"/>
    <w:rsid w:val="007D2162"/>
    <w:rsid w:val="007D33B3"/>
    <w:rsid w:val="007D42B9"/>
    <w:rsid w:val="007D5315"/>
    <w:rsid w:val="007E10D7"/>
    <w:rsid w:val="007E5663"/>
    <w:rsid w:val="0080431D"/>
    <w:rsid w:val="0080699E"/>
    <w:rsid w:val="00817FBE"/>
    <w:rsid w:val="00823451"/>
    <w:rsid w:val="00836E9F"/>
    <w:rsid w:val="00844115"/>
    <w:rsid w:val="00844D51"/>
    <w:rsid w:val="00862E1A"/>
    <w:rsid w:val="00863083"/>
    <w:rsid w:val="00870AF4"/>
    <w:rsid w:val="00876C85"/>
    <w:rsid w:val="00877505"/>
    <w:rsid w:val="008825CB"/>
    <w:rsid w:val="008829FC"/>
    <w:rsid w:val="00883D7A"/>
    <w:rsid w:val="00890436"/>
    <w:rsid w:val="00895EB1"/>
    <w:rsid w:val="008A3532"/>
    <w:rsid w:val="008C239F"/>
    <w:rsid w:val="008C3451"/>
    <w:rsid w:val="008D0865"/>
    <w:rsid w:val="008E0B2E"/>
    <w:rsid w:val="008E2ABF"/>
    <w:rsid w:val="008E6122"/>
    <w:rsid w:val="008F4444"/>
    <w:rsid w:val="008F49CD"/>
    <w:rsid w:val="00901F85"/>
    <w:rsid w:val="00911433"/>
    <w:rsid w:val="00914398"/>
    <w:rsid w:val="0092036B"/>
    <w:rsid w:val="00924382"/>
    <w:rsid w:val="00932645"/>
    <w:rsid w:val="009452BA"/>
    <w:rsid w:val="00945737"/>
    <w:rsid w:val="009508DB"/>
    <w:rsid w:val="009665AD"/>
    <w:rsid w:val="00966FD8"/>
    <w:rsid w:val="00967A4A"/>
    <w:rsid w:val="00971B8F"/>
    <w:rsid w:val="00971EFC"/>
    <w:rsid w:val="009738E0"/>
    <w:rsid w:val="00974974"/>
    <w:rsid w:val="00983BD9"/>
    <w:rsid w:val="00985BC7"/>
    <w:rsid w:val="00987ACC"/>
    <w:rsid w:val="0099599E"/>
    <w:rsid w:val="00997BEC"/>
    <w:rsid w:val="009A0639"/>
    <w:rsid w:val="009A5269"/>
    <w:rsid w:val="009B22FA"/>
    <w:rsid w:val="009B3ABF"/>
    <w:rsid w:val="009B66E9"/>
    <w:rsid w:val="009D6615"/>
    <w:rsid w:val="009D7975"/>
    <w:rsid w:val="009D79FE"/>
    <w:rsid w:val="009D7BD2"/>
    <w:rsid w:val="009E0861"/>
    <w:rsid w:val="009E2C41"/>
    <w:rsid w:val="009E337E"/>
    <w:rsid w:val="009F16E3"/>
    <w:rsid w:val="009F6EE2"/>
    <w:rsid w:val="00A00709"/>
    <w:rsid w:val="00A07DF6"/>
    <w:rsid w:val="00A12BB3"/>
    <w:rsid w:val="00A20BA6"/>
    <w:rsid w:val="00A23506"/>
    <w:rsid w:val="00A2367F"/>
    <w:rsid w:val="00A36CD6"/>
    <w:rsid w:val="00A444B9"/>
    <w:rsid w:val="00A45D3A"/>
    <w:rsid w:val="00A54CE3"/>
    <w:rsid w:val="00A63241"/>
    <w:rsid w:val="00A64334"/>
    <w:rsid w:val="00A66334"/>
    <w:rsid w:val="00A6791F"/>
    <w:rsid w:val="00A70DD6"/>
    <w:rsid w:val="00A72B6E"/>
    <w:rsid w:val="00A72CD5"/>
    <w:rsid w:val="00A74B84"/>
    <w:rsid w:val="00A76B8A"/>
    <w:rsid w:val="00A825CD"/>
    <w:rsid w:val="00AA3100"/>
    <w:rsid w:val="00AA4910"/>
    <w:rsid w:val="00AB1752"/>
    <w:rsid w:val="00AB4A03"/>
    <w:rsid w:val="00AC4F16"/>
    <w:rsid w:val="00AD03E5"/>
    <w:rsid w:val="00AD162F"/>
    <w:rsid w:val="00AD1961"/>
    <w:rsid w:val="00AE120D"/>
    <w:rsid w:val="00AE2682"/>
    <w:rsid w:val="00AE5323"/>
    <w:rsid w:val="00AE5AE8"/>
    <w:rsid w:val="00AF6F82"/>
    <w:rsid w:val="00AF7387"/>
    <w:rsid w:val="00B00BED"/>
    <w:rsid w:val="00B04FFA"/>
    <w:rsid w:val="00B063DD"/>
    <w:rsid w:val="00B21FE1"/>
    <w:rsid w:val="00B2246A"/>
    <w:rsid w:val="00B431BF"/>
    <w:rsid w:val="00B75F88"/>
    <w:rsid w:val="00B80DA2"/>
    <w:rsid w:val="00BA12AA"/>
    <w:rsid w:val="00BA260C"/>
    <w:rsid w:val="00BA38F7"/>
    <w:rsid w:val="00BB0B51"/>
    <w:rsid w:val="00BB7889"/>
    <w:rsid w:val="00BB7A07"/>
    <w:rsid w:val="00BC036E"/>
    <w:rsid w:val="00BC6523"/>
    <w:rsid w:val="00BC66FA"/>
    <w:rsid w:val="00BC6D94"/>
    <w:rsid w:val="00BC7B01"/>
    <w:rsid w:val="00BD4306"/>
    <w:rsid w:val="00BE1E83"/>
    <w:rsid w:val="00BE5BBB"/>
    <w:rsid w:val="00BF51D2"/>
    <w:rsid w:val="00C04029"/>
    <w:rsid w:val="00C2483C"/>
    <w:rsid w:val="00C2676B"/>
    <w:rsid w:val="00C27D3E"/>
    <w:rsid w:val="00C30F1C"/>
    <w:rsid w:val="00C33A41"/>
    <w:rsid w:val="00C42659"/>
    <w:rsid w:val="00C429F9"/>
    <w:rsid w:val="00C42C7E"/>
    <w:rsid w:val="00C43721"/>
    <w:rsid w:val="00C462D9"/>
    <w:rsid w:val="00C4690F"/>
    <w:rsid w:val="00C46EB8"/>
    <w:rsid w:val="00C52093"/>
    <w:rsid w:val="00C52A49"/>
    <w:rsid w:val="00C600A6"/>
    <w:rsid w:val="00C607DB"/>
    <w:rsid w:val="00C61BB3"/>
    <w:rsid w:val="00C62CE4"/>
    <w:rsid w:val="00C7212F"/>
    <w:rsid w:val="00C85B93"/>
    <w:rsid w:val="00CA04D5"/>
    <w:rsid w:val="00CA68FE"/>
    <w:rsid w:val="00CB39D8"/>
    <w:rsid w:val="00CB6C42"/>
    <w:rsid w:val="00CC1087"/>
    <w:rsid w:val="00CC19B6"/>
    <w:rsid w:val="00CC1FDF"/>
    <w:rsid w:val="00CD149F"/>
    <w:rsid w:val="00CD375E"/>
    <w:rsid w:val="00CE50B6"/>
    <w:rsid w:val="00CE5B3B"/>
    <w:rsid w:val="00CF43AA"/>
    <w:rsid w:val="00CF475A"/>
    <w:rsid w:val="00CF7C5E"/>
    <w:rsid w:val="00D00F18"/>
    <w:rsid w:val="00D01A60"/>
    <w:rsid w:val="00D05DE1"/>
    <w:rsid w:val="00D10236"/>
    <w:rsid w:val="00D123A7"/>
    <w:rsid w:val="00D159EE"/>
    <w:rsid w:val="00D26658"/>
    <w:rsid w:val="00D310A2"/>
    <w:rsid w:val="00D36B9C"/>
    <w:rsid w:val="00D43CE8"/>
    <w:rsid w:val="00D475ED"/>
    <w:rsid w:val="00D57F02"/>
    <w:rsid w:val="00D63B2A"/>
    <w:rsid w:val="00D6539D"/>
    <w:rsid w:val="00D665B9"/>
    <w:rsid w:val="00D81F44"/>
    <w:rsid w:val="00D84B78"/>
    <w:rsid w:val="00D87995"/>
    <w:rsid w:val="00D94210"/>
    <w:rsid w:val="00DA5D84"/>
    <w:rsid w:val="00DA742B"/>
    <w:rsid w:val="00DB3F36"/>
    <w:rsid w:val="00DB6325"/>
    <w:rsid w:val="00DB6AC8"/>
    <w:rsid w:val="00DD244B"/>
    <w:rsid w:val="00DD27C8"/>
    <w:rsid w:val="00DE1593"/>
    <w:rsid w:val="00DE2536"/>
    <w:rsid w:val="00DE47A3"/>
    <w:rsid w:val="00DE75D0"/>
    <w:rsid w:val="00E0582C"/>
    <w:rsid w:val="00E060E6"/>
    <w:rsid w:val="00E12C76"/>
    <w:rsid w:val="00E267C6"/>
    <w:rsid w:val="00E30557"/>
    <w:rsid w:val="00E356CA"/>
    <w:rsid w:val="00E54129"/>
    <w:rsid w:val="00E55677"/>
    <w:rsid w:val="00E6213C"/>
    <w:rsid w:val="00E64602"/>
    <w:rsid w:val="00E85BBF"/>
    <w:rsid w:val="00E876C9"/>
    <w:rsid w:val="00EA0801"/>
    <w:rsid w:val="00EA5FED"/>
    <w:rsid w:val="00EA7D0D"/>
    <w:rsid w:val="00EB4773"/>
    <w:rsid w:val="00EC173C"/>
    <w:rsid w:val="00EC29AA"/>
    <w:rsid w:val="00EC5857"/>
    <w:rsid w:val="00EC7498"/>
    <w:rsid w:val="00EE0982"/>
    <w:rsid w:val="00EF1E6E"/>
    <w:rsid w:val="00EF2B5C"/>
    <w:rsid w:val="00EF3907"/>
    <w:rsid w:val="00EF439E"/>
    <w:rsid w:val="00EF7D13"/>
    <w:rsid w:val="00F05BD1"/>
    <w:rsid w:val="00F0650C"/>
    <w:rsid w:val="00F10FA8"/>
    <w:rsid w:val="00F1232F"/>
    <w:rsid w:val="00F30238"/>
    <w:rsid w:val="00F341D2"/>
    <w:rsid w:val="00F341E9"/>
    <w:rsid w:val="00F36F3C"/>
    <w:rsid w:val="00F37CA4"/>
    <w:rsid w:val="00F40DDD"/>
    <w:rsid w:val="00F416B3"/>
    <w:rsid w:val="00F46A5F"/>
    <w:rsid w:val="00F5101B"/>
    <w:rsid w:val="00F55013"/>
    <w:rsid w:val="00F6009F"/>
    <w:rsid w:val="00F6515F"/>
    <w:rsid w:val="00F67269"/>
    <w:rsid w:val="00F74A4D"/>
    <w:rsid w:val="00F7548A"/>
    <w:rsid w:val="00F755DA"/>
    <w:rsid w:val="00F75B96"/>
    <w:rsid w:val="00F773DE"/>
    <w:rsid w:val="00F818B3"/>
    <w:rsid w:val="00F82144"/>
    <w:rsid w:val="00F83A6D"/>
    <w:rsid w:val="00F91182"/>
    <w:rsid w:val="00F94AF7"/>
    <w:rsid w:val="00F9758D"/>
    <w:rsid w:val="00FA18A5"/>
    <w:rsid w:val="00FA7F69"/>
    <w:rsid w:val="00FB1628"/>
    <w:rsid w:val="00FC0035"/>
    <w:rsid w:val="00FC05EF"/>
    <w:rsid w:val="00FD5810"/>
    <w:rsid w:val="00FE24D7"/>
    <w:rsid w:val="0894A4C4"/>
    <w:rsid w:val="0A4D5E46"/>
    <w:rsid w:val="0D378351"/>
    <w:rsid w:val="1C224F3D"/>
    <w:rsid w:val="439E850D"/>
    <w:rsid w:val="5918593B"/>
    <w:rsid w:val="7DF8B64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16DD4E"/>
  <w15:chartTrackingRefBased/>
  <w15:docId w15:val="{D8422409-1B48-44F0-997A-6B2AFB99EF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7"/>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9F16E3"/>
    <w:pPr>
      <w:spacing w:line="320" w:lineRule="exact"/>
      <w:jc w:val="both"/>
    </w:pPr>
    <w:rPr>
      <w:rFonts w:ascii="Poppins" w:hAnsi="Poppins"/>
      <w:color w:val="3F3F3F"/>
      <w:kern w:val="0"/>
      <w:sz w:val="18"/>
    </w:rPr>
  </w:style>
  <w:style w:type="paragraph" w:styleId="Nadpis1">
    <w:name w:val="heading 1"/>
    <w:link w:val="Nadpis1Char"/>
    <w:uiPriority w:val="9"/>
    <w:qFormat/>
    <w:rsid w:val="009F16E3"/>
    <w:pPr>
      <w:keepNext/>
      <w:keepLines/>
      <w:spacing w:before="200" w:after="100"/>
      <w:contextualSpacing/>
      <w:outlineLvl w:val="0"/>
    </w:pPr>
    <w:rPr>
      <w:rFonts w:ascii="Poppins Bold" w:eastAsiaTheme="majorEastAsia" w:hAnsi="Poppins Bold" w:cstheme="majorBidi"/>
      <w:color w:val="000000" w:themeColor="text1"/>
      <w:sz w:val="32"/>
      <w:szCs w:val="40"/>
    </w:rPr>
  </w:style>
  <w:style w:type="paragraph" w:styleId="Nadpis2">
    <w:name w:val="heading 2"/>
    <w:basedOn w:val="Nadpis1"/>
    <w:next w:val="Normln"/>
    <w:link w:val="Nadpis2Char"/>
    <w:uiPriority w:val="9"/>
    <w:unhideWhenUsed/>
    <w:qFormat/>
    <w:rsid w:val="002C02E4"/>
    <w:pPr>
      <w:spacing w:after="0"/>
      <w:outlineLvl w:val="1"/>
    </w:pPr>
    <w:rPr>
      <w:sz w:val="24"/>
      <w:szCs w:val="32"/>
    </w:rPr>
  </w:style>
  <w:style w:type="paragraph" w:styleId="Nadpis3">
    <w:name w:val="heading 3"/>
    <w:basedOn w:val="Normln"/>
    <w:next w:val="Normln"/>
    <w:link w:val="Nadpis3Char"/>
    <w:uiPriority w:val="9"/>
    <w:semiHidden/>
    <w:unhideWhenUsed/>
    <w:rsid w:val="005E69BE"/>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5E69BE"/>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5E69BE"/>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5E69BE"/>
    <w:pPr>
      <w:keepNext/>
      <w:keepLines/>
      <w:spacing w:before="4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5E69BE"/>
    <w:pPr>
      <w:keepNext/>
      <w:keepLines/>
      <w:spacing w:before="4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5E69BE"/>
    <w:pPr>
      <w:keepNext/>
      <w:keepLines/>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5E69BE"/>
    <w:pPr>
      <w:keepNext/>
      <w:keepLines/>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ulka">
    <w:name w:val="Tabulka"/>
    <w:basedOn w:val="Normlntabulka"/>
    <w:uiPriority w:val="99"/>
    <w:rsid w:val="00BC66FA"/>
    <w:rPr>
      <w:rFonts w:ascii="Calibri Light" w:hAnsi="Calibri Light"/>
      <w:kern w:val="0"/>
      <w:sz w:val="16"/>
      <w:lang w:val="en-US"/>
      <w14:ligatures w14:val="none"/>
    </w:rPr>
    <w:tblPr>
      <w:tblStyleRowBandSize w:val="1"/>
      <w:tblStyleColBandSize w:val="1"/>
      <w:jc w:val="center"/>
      <w:tblBorders>
        <w:bottom w:val="single" w:sz="8" w:space="0" w:color="B8A875"/>
      </w:tblBorders>
    </w:tblPr>
    <w:trPr>
      <w:jc w:val="center"/>
    </w:trPr>
    <w:tcPr>
      <w:shd w:val="clear" w:color="auto" w:fill="auto"/>
      <w:vAlign w:val="center"/>
    </w:tcPr>
    <w:tblStylePr w:type="firstRow">
      <w:rPr>
        <w:rFonts w:ascii="Calibri Light" w:hAnsi="Calibri Light"/>
        <w:b/>
        <w:color w:val="FFFFFF" w:themeColor="background1"/>
        <w:sz w:val="16"/>
      </w:rPr>
      <w:tblPr/>
      <w:tcPr>
        <w:shd w:val="clear" w:color="auto" w:fill="B8A875"/>
      </w:tcPr>
    </w:tblStylePr>
    <w:tblStylePr w:type="lastRow">
      <w:tblPr/>
      <w:tcPr>
        <w:shd w:val="clear" w:color="auto" w:fill="auto"/>
      </w:tcPr>
    </w:tblStylePr>
    <w:tblStylePr w:type="firstCol">
      <w:tblPr/>
      <w:tcPr>
        <w:shd w:val="clear" w:color="auto" w:fill="auto"/>
      </w:tcPr>
    </w:tblStylePr>
    <w:tblStylePr w:type="lastCol">
      <w:tblPr/>
      <w:tcPr>
        <w:shd w:val="clear" w:color="auto" w:fill="auto"/>
      </w:tcPr>
    </w:tblStylePr>
  </w:style>
  <w:style w:type="table" w:customStyle="1" w:styleId="TabulkaJTBanka">
    <w:name w:val="Tabulka J&amp;T Banka"/>
    <w:basedOn w:val="Normlntabulka"/>
    <w:uiPriority w:val="99"/>
    <w:rsid w:val="004B6AB1"/>
    <w:rPr>
      <w:rFonts w:ascii="Calibri Light" w:hAnsi="Calibri Light"/>
      <w:kern w:val="0"/>
      <w:sz w:val="16"/>
      <w:lang w:val="en-US"/>
      <w14:ligatures w14:val="none"/>
    </w:rPr>
    <w:tblPr>
      <w:tblStyleRowBandSize w:val="1"/>
      <w:tblStyleColBandSize w:val="1"/>
      <w:jc w:val="center"/>
    </w:tblPr>
    <w:trPr>
      <w:jc w:val="center"/>
    </w:trPr>
    <w:tcPr>
      <w:shd w:val="clear" w:color="auto" w:fill="auto"/>
      <w:vAlign w:val="center"/>
    </w:tcPr>
    <w:tblStylePr w:type="firstRow">
      <w:rPr>
        <w:rFonts w:ascii="Calibri Light" w:hAnsi="Calibri Light"/>
        <w:b/>
        <w:color w:val="FFFFFF" w:themeColor="background1"/>
        <w:sz w:val="18"/>
      </w:rPr>
      <w:tblPr/>
      <w:tcPr>
        <w:tcBorders>
          <w:top w:val="nil"/>
          <w:left w:val="nil"/>
          <w:bottom w:val="nil"/>
          <w:right w:val="nil"/>
          <w:insideH w:val="nil"/>
          <w:insideV w:val="nil"/>
          <w:tl2br w:val="nil"/>
          <w:tr2bl w:val="nil"/>
        </w:tcBorders>
        <w:shd w:val="clear" w:color="auto" w:fill="B8A875"/>
      </w:tcPr>
    </w:tblStylePr>
    <w:tblStylePr w:type="lastRow">
      <w:pPr>
        <w:jc w:val="left"/>
      </w:pPr>
      <w:rPr>
        <w:rFonts w:ascii="Calibri Light" w:hAnsi="Calibri Light"/>
        <w:sz w:val="16"/>
      </w:rPr>
      <w:tblPr/>
      <w:tcPr>
        <w:tcBorders>
          <w:top w:val="nil"/>
          <w:left w:val="nil"/>
          <w:bottom w:val="single" w:sz="8" w:space="0" w:color="156082" w:themeColor="accent1"/>
          <w:right w:val="nil"/>
          <w:insideH w:val="nil"/>
          <w:insideV w:val="nil"/>
          <w:tl2br w:val="nil"/>
          <w:tr2bl w:val="nil"/>
        </w:tcBorders>
        <w:shd w:val="clear" w:color="auto" w:fill="auto"/>
      </w:tcPr>
    </w:tblStylePr>
    <w:tblStylePr w:type="firstCol">
      <w:tblPr/>
      <w:tcPr>
        <w:shd w:val="clear" w:color="auto" w:fill="FFFFFF" w:themeFill="background1"/>
      </w:tcPr>
    </w:tblStylePr>
    <w:tblStylePr w:type="lastCol">
      <w:tblPr/>
      <w:tcPr>
        <w:shd w:val="clear" w:color="auto" w:fill="C1E4F5" w:themeFill="accent1" w:themeFillTint="33"/>
      </w:tcPr>
    </w:tblStylePr>
    <w:tblStylePr w:type="band1Horz">
      <w:pPr>
        <w:jc w:val="left"/>
      </w:pPr>
      <w:tblPr/>
      <w:tcPr>
        <w:shd w:val="clear" w:color="auto" w:fill="FFFFFF" w:themeFill="background1"/>
      </w:tcPr>
    </w:tblStylePr>
    <w:tblStylePr w:type="band2Horz">
      <w:tblPr/>
      <w:tcPr>
        <w:shd w:val="clear" w:color="auto" w:fill="C1E4F5" w:themeFill="accent1" w:themeFillTint="33"/>
      </w:tcPr>
    </w:tblStylePr>
  </w:style>
  <w:style w:type="table" w:styleId="Tabulkasmkou4zvraznn1">
    <w:name w:val="Grid Table 4 Accent 1"/>
    <w:aliases w:val="J&amp;T Banka"/>
    <w:basedOn w:val="Normlntabulka"/>
    <w:uiPriority w:val="99"/>
    <w:rsid w:val="00C27D3E"/>
    <w:rPr>
      <w:rFonts w:ascii="Calibri Light" w:hAnsi="Calibri Light"/>
      <w:kern w:val="0"/>
      <w:sz w:val="18"/>
      <w:lang w:val="en-US"/>
      <w14:ligatures w14:val="none"/>
    </w:rPr>
    <w:tblPr>
      <w:tblStyleRowBandSize w:val="1"/>
      <w:tblStyleColBandSize w:val="1"/>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rPr>
      <w:jc w:val="center"/>
    </w:trPr>
    <w:tcPr>
      <w:shd w:val="clear" w:color="auto" w:fill="DFDBCD"/>
      <w:vAlign w:val="center"/>
    </w:tcPr>
    <w:tblStylePr w:type="firstRow">
      <w:pPr>
        <w:jc w:val="left"/>
      </w:pPr>
      <w:rPr>
        <w:rFonts w:ascii="Calibri Light" w:hAnsi="Calibri Light"/>
        <w:b/>
        <w:color w:val="FFFFFF" w:themeColor="background1"/>
        <w:sz w:val="18"/>
      </w:rPr>
      <w:tblPr/>
      <w:tcPr>
        <w:shd w:val="clear" w:color="auto" w:fill="005F55"/>
      </w:tcPr>
    </w:tblStylePr>
    <w:tblStylePr w:type="lastRow">
      <w:pPr>
        <w:jc w:val="left"/>
      </w:pPr>
      <w:rPr>
        <w:rFonts w:ascii="Calibri Light" w:hAnsi="Calibri Light"/>
        <w:sz w:val="16"/>
      </w:rPr>
    </w:tblStylePr>
    <w:tblStylePr w:type="band1Horz">
      <w:pPr>
        <w:jc w:val="left"/>
      </w:pPr>
      <w:tblPr/>
      <w:tcPr>
        <w:shd w:val="clear" w:color="auto" w:fill="FFFFFF" w:themeFill="background1"/>
      </w:tcPr>
    </w:tblStylePr>
    <w:tblStylePr w:type="band2Horz">
      <w:pPr>
        <w:jc w:val="left"/>
      </w:pPr>
      <w:tblPr/>
      <w:tcPr>
        <w:shd w:val="clear" w:color="auto" w:fill="DFDBCD"/>
      </w:tcPr>
    </w:tblStylePr>
  </w:style>
  <w:style w:type="table" w:customStyle="1" w:styleId="JTBANKA">
    <w:name w:val="J&amp;T BANKA"/>
    <w:basedOn w:val="Normlntabulka"/>
    <w:uiPriority w:val="99"/>
    <w:rsid w:val="00577C4F"/>
    <w:rPr>
      <w:rFonts w:ascii="Calibri Light" w:hAnsi="Calibri Light"/>
      <w:kern w:val="0"/>
      <w:sz w:val="16"/>
      <w:lang w:val="en-US"/>
      <w14:ligatures w14:val="none"/>
    </w:rPr>
    <w:tblPr/>
    <w:tblStylePr w:type="firstRow">
      <w:rPr>
        <w:rFonts w:ascii="Calibri Light" w:hAnsi="Calibri Light"/>
        <w:b/>
        <w:color w:val="FFFFFF" w:themeColor="background1"/>
        <w:sz w:val="16"/>
      </w:rPr>
      <w:tblPr/>
      <w:trPr>
        <w:cantSplit/>
      </w:trPr>
      <w:tcPr>
        <w:shd w:val="clear" w:color="auto" w:fill="156082" w:themeFill="accent1"/>
        <w:vAlign w:val="center"/>
      </w:tcPr>
    </w:tblStylePr>
  </w:style>
  <w:style w:type="paragraph" w:customStyle="1" w:styleId="Odrka1">
    <w:name w:val="Odrážka 1"/>
    <w:link w:val="Odrka1Char"/>
    <w:autoRedefine/>
    <w:qFormat/>
    <w:rsid w:val="004354CE"/>
    <w:pPr>
      <w:widowControl w:val="0"/>
      <w:numPr>
        <w:numId w:val="2"/>
      </w:numPr>
      <w:tabs>
        <w:tab w:val="left" w:pos="284"/>
      </w:tabs>
      <w:autoSpaceDE w:val="0"/>
      <w:autoSpaceDN w:val="0"/>
      <w:spacing w:line="300" w:lineRule="exact"/>
    </w:pPr>
    <w:rPr>
      <w:rFonts w:ascii="Poppins" w:hAnsi="Poppins" w:cs="Calibri Light"/>
      <w:b/>
      <w:bCs/>
      <w:kern w:val="0"/>
      <w:sz w:val="18"/>
    </w:rPr>
  </w:style>
  <w:style w:type="character" w:customStyle="1" w:styleId="Odrka1Char">
    <w:name w:val="Odrážka 1 Char"/>
    <w:basedOn w:val="Standardnpsmoodstavce"/>
    <w:link w:val="Odrka1"/>
    <w:rsid w:val="004354CE"/>
    <w:rPr>
      <w:rFonts w:ascii="Poppins" w:hAnsi="Poppins" w:cs="Calibri Light"/>
      <w:b/>
      <w:bCs/>
      <w:kern w:val="0"/>
      <w:sz w:val="18"/>
    </w:rPr>
  </w:style>
  <w:style w:type="paragraph" w:customStyle="1" w:styleId="Odrka3">
    <w:name w:val="Odrážka 3"/>
    <w:basedOn w:val="Zkladntext"/>
    <w:link w:val="Odrka3Char"/>
    <w:rsid w:val="00CD375E"/>
    <w:pPr>
      <w:widowControl w:val="0"/>
      <w:numPr>
        <w:ilvl w:val="1"/>
        <w:numId w:val="4"/>
      </w:numPr>
      <w:autoSpaceDE w:val="0"/>
      <w:autoSpaceDN w:val="0"/>
      <w:spacing w:before="60" w:after="60"/>
      <w:ind w:left="454" w:hanging="454"/>
    </w:pPr>
    <w:rPr>
      <w:rFonts w:ascii="Calibri Light" w:eastAsia="Fedra Sans Alt Std Light" w:hAnsi="Calibri Light" w:cs="Fedra Sans Alt Std Light"/>
      <w:szCs w:val="18"/>
      <w:u w:color="000000"/>
    </w:rPr>
  </w:style>
  <w:style w:type="character" w:customStyle="1" w:styleId="Odrka3Char">
    <w:name w:val="Odrážka 3 Char"/>
    <w:basedOn w:val="ZkladntextChar"/>
    <w:link w:val="Odrka3"/>
    <w:rsid w:val="00CD375E"/>
    <w:rPr>
      <w:rFonts w:ascii="Calibri Light" w:eastAsia="Fedra Sans Alt Std Light" w:hAnsi="Calibri Light" w:cs="Fedra Sans Alt Std Light"/>
      <w:sz w:val="18"/>
      <w:szCs w:val="18"/>
      <w:u w:color="000000"/>
    </w:rPr>
  </w:style>
  <w:style w:type="paragraph" w:styleId="Zkladntext">
    <w:name w:val="Body Text"/>
    <w:basedOn w:val="Normln"/>
    <w:link w:val="ZkladntextChar"/>
    <w:uiPriority w:val="99"/>
    <w:unhideWhenUsed/>
    <w:rsid w:val="00CD375E"/>
    <w:pPr>
      <w:spacing w:after="120"/>
    </w:pPr>
  </w:style>
  <w:style w:type="character" w:customStyle="1" w:styleId="ZkladntextChar">
    <w:name w:val="Základní text Char"/>
    <w:basedOn w:val="Standardnpsmoodstavce"/>
    <w:link w:val="Zkladntext"/>
    <w:uiPriority w:val="99"/>
    <w:rsid w:val="00CD375E"/>
  </w:style>
  <w:style w:type="paragraph" w:styleId="Nzev">
    <w:name w:val="Title"/>
    <w:basedOn w:val="Normln"/>
    <w:link w:val="NzevChar"/>
    <w:autoRedefine/>
    <w:uiPriority w:val="27"/>
    <w:rsid w:val="00CB39D8"/>
    <w:pPr>
      <w:widowControl w:val="0"/>
      <w:autoSpaceDE w:val="0"/>
      <w:autoSpaceDN w:val="0"/>
      <w:spacing w:after="200"/>
      <w:contextualSpacing/>
    </w:pPr>
    <w:rPr>
      <w:rFonts w:ascii="Calibri" w:eastAsia="Fedra Sans Alt Std Medium" w:hAnsi="Calibri" w:cs="Fedra Sans Alt Std Medium"/>
      <w:b/>
      <w:sz w:val="30"/>
      <w:szCs w:val="30"/>
      <w:lang w:val="en-GB"/>
    </w:rPr>
  </w:style>
  <w:style w:type="character" w:customStyle="1" w:styleId="NzevChar">
    <w:name w:val="Název Char"/>
    <w:basedOn w:val="Standardnpsmoodstavce"/>
    <w:link w:val="Nzev"/>
    <w:uiPriority w:val="27"/>
    <w:rsid w:val="00CB39D8"/>
    <w:rPr>
      <w:rFonts w:ascii="Calibri" w:eastAsia="Fedra Sans Alt Std Medium" w:hAnsi="Calibri" w:cs="Fedra Sans Alt Std Medium"/>
      <w:b/>
      <w:sz w:val="30"/>
      <w:szCs w:val="30"/>
      <w:lang w:val="en-GB"/>
    </w:rPr>
  </w:style>
  <w:style w:type="character" w:customStyle="1" w:styleId="Nadpis1Char">
    <w:name w:val="Nadpis 1 Char"/>
    <w:basedOn w:val="Standardnpsmoodstavce"/>
    <w:link w:val="Nadpis1"/>
    <w:uiPriority w:val="9"/>
    <w:rsid w:val="009F16E3"/>
    <w:rPr>
      <w:rFonts w:ascii="Poppins Bold" w:eastAsiaTheme="majorEastAsia" w:hAnsi="Poppins Bold" w:cstheme="majorBidi"/>
      <w:color w:val="000000" w:themeColor="text1"/>
      <w:sz w:val="32"/>
      <w:szCs w:val="40"/>
    </w:rPr>
  </w:style>
  <w:style w:type="character" w:customStyle="1" w:styleId="Nadpis2Char">
    <w:name w:val="Nadpis 2 Char"/>
    <w:basedOn w:val="Standardnpsmoodstavce"/>
    <w:link w:val="Nadpis2"/>
    <w:uiPriority w:val="9"/>
    <w:rsid w:val="002C02E4"/>
    <w:rPr>
      <w:rFonts w:ascii="Quicksand" w:eastAsiaTheme="majorEastAsia" w:hAnsi="Quicksand" w:cstheme="majorBidi"/>
      <w:b/>
      <w:color w:val="E5087D"/>
      <w:sz w:val="24"/>
      <w:szCs w:val="32"/>
    </w:rPr>
  </w:style>
  <w:style w:type="character" w:customStyle="1" w:styleId="Nadpis3Char">
    <w:name w:val="Nadpis 3 Char"/>
    <w:basedOn w:val="Standardnpsmoodstavce"/>
    <w:link w:val="Nadpis3"/>
    <w:uiPriority w:val="9"/>
    <w:semiHidden/>
    <w:rsid w:val="005E69BE"/>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5E69BE"/>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5E69BE"/>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5E69BE"/>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5E69BE"/>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5E69BE"/>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5E69BE"/>
    <w:rPr>
      <w:rFonts w:eastAsiaTheme="majorEastAsia" w:cstheme="majorBidi"/>
      <w:color w:val="272727" w:themeColor="text1" w:themeTint="D8"/>
    </w:rPr>
  </w:style>
  <w:style w:type="paragraph" w:styleId="Podnadpis">
    <w:name w:val="Subtitle"/>
    <w:basedOn w:val="Nadpis2"/>
    <w:next w:val="Normln"/>
    <w:link w:val="PodnadpisChar"/>
    <w:uiPriority w:val="11"/>
    <w:qFormat/>
    <w:rsid w:val="0058172B"/>
    <w:pPr>
      <w:numPr>
        <w:ilvl w:val="1"/>
      </w:numPr>
    </w:pPr>
    <w:rPr>
      <w:color w:val="595959" w:themeColor="text1" w:themeTint="A6"/>
      <w:kern w:val="0"/>
      <w:szCs w:val="28"/>
    </w:rPr>
  </w:style>
  <w:style w:type="character" w:customStyle="1" w:styleId="PodnadpisChar">
    <w:name w:val="Podnadpis Char"/>
    <w:basedOn w:val="Standardnpsmoodstavce"/>
    <w:link w:val="Podnadpis"/>
    <w:uiPriority w:val="11"/>
    <w:rsid w:val="0058172B"/>
    <w:rPr>
      <w:rFonts w:ascii="Quicksand" w:eastAsiaTheme="majorEastAsia" w:hAnsi="Quicksand" w:cstheme="majorBidi"/>
      <w:b/>
      <w:color w:val="595959" w:themeColor="text1" w:themeTint="A6"/>
      <w:kern w:val="0"/>
      <w:sz w:val="24"/>
      <w:szCs w:val="28"/>
    </w:rPr>
  </w:style>
  <w:style w:type="paragraph" w:styleId="Citt">
    <w:name w:val="Quote"/>
    <w:basedOn w:val="Normln"/>
    <w:next w:val="Normln"/>
    <w:link w:val="CittChar"/>
    <w:uiPriority w:val="29"/>
    <w:rsid w:val="005E69BE"/>
    <w:pPr>
      <w:spacing w:before="160" w:after="160"/>
      <w:jc w:val="center"/>
    </w:pPr>
    <w:rPr>
      <w:i/>
      <w:iCs/>
      <w:color w:val="404040" w:themeColor="text1" w:themeTint="BF"/>
    </w:rPr>
  </w:style>
  <w:style w:type="character" w:customStyle="1" w:styleId="CittChar">
    <w:name w:val="Citát Char"/>
    <w:basedOn w:val="Standardnpsmoodstavce"/>
    <w:link w:val="Citt"/>
    <w:uiPriority w:val="29"/>
    <w:rsid w:val="005E69BE"/>
    <w:rPr>
      <w:i/>
      <w:iCs/>
      <w:color w:val="404040" w:themeColor="text1" w:themeTint="BF"/>
    </w:rPr>
  </w:style>
  <w:style w:type="paragraph" w:styleId="Odstavecseseznamem">
    <w:name w:val="List Paragraph"/>
    <w:basedOn w:val="Normln"/>
    <w:uiPriority w:val="34"/>
    <w:rsid w:val="005E69BE"/>
    <w:pPr>
      <w:ind w:left="720"/>
      <w:contextualSpacing/>
    </w:pPr>
  </w:style>
  <w:style w:type="character" w:styleId="Zdraznnintenzivn">
    <w:name w:val="Intense Emphasis"/>
    <w:basedOn w:val="Standardnpsmoodstavce"/>
    <w:uiPriority w:val="21"/>
    <w:rsid w:val="005E69BE"/>
    <w:rPr>
      <w:i/>
      <w:iCs/>
      <w:color w:val="0F4761" w:themeColor="accent1" w:themeShade="BF"/>
    </w:rPr>
  </w:style>
  <w:style w:type="paragraph" w:styleId="Vrazncitt">
    <w:name w:val="Intense Quote"/>
    <w:basedOn w:val="Normln"/>
    <w:next w:val="Normln"/>
    <w:link w:val="VrazncittChar"/>
    <w:uiPriority w:val="30"/>
    <w:rsid w:val="005E69B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5E69BE"/>
    <w:rPr>
      <w:i/>
      <w:iCs/>
      <w:color w:val="0F4761" w:themeColor="accent1" w:themeShade="BF"/>
    </w:rPr>
  </w:style>
  <w:style w:type="character" w:styleId="Odkazintenzivn">
    <w:name w:val="Intense Reference"/>
    <w:basedOn w:val="Standardnpsmoodstavce"/>
    <w:uiPriority w:val="32"/>
    <w:rsid w:val="005E69BE"/>
    <w:rPr>
      <w:b/>
      <w:bCs/>
      <w:smallCaps/>
      <w:color w:val="0F4761" w:themeColor="accent1" w:themeShade="BF"/>
      <w:spacing w:val="5"/>
    </w:rPr>
  </w:style>
  <w:style w:type="paragraph" w:styleId="Zhlav">
    <w:name w:val="header"/>
    <w:basedOn w:val="Normln"/>
    <w:link w:val="ZhlavChar"/>
    <w:uiPriority w:val="99"/>
    <w:unhideWhenUsed/>
    <w:rsid w:val="005E69BE"/>
    <w:pPr>
      <w:tabs>
        <w:tab w:val="center" w:pos="4536"/>
        <w:tab w:val="right" w:pos="9072"/>
      </w:tabs>
    </w:pPr>
  </w:style>
  <w:style w:type="character" w:customStyle="1" w:styleId="ZhlavChar">
    <w:name w:val="Záhlaví Char"/>
    <w:basedOn w:val="Standardnpsmoodstavce"/>
    <w:link w:val="Zhlav"/>
    <w:uiPriority w:val="99"/>
    <w:rsid w:val="005E69BE"/>
  </w:style>
  <w:style w:type="paragraph" w:styleId="Zpat">
    <w:name w:val="footer"/>
    <w:basedOn w:val="Normln"/>
    <w:link w:val="ZpatChar"/>
    <w:uiPriority w:val="99"/>
    <w:unhideWhenUsed/>
    <w:rsid w:val="005E69BE"/>
    <w:pPr>
      <w:tabs>
        <w:tab w:val="center" w:pos="4536"/>
        <w:tab w:val="right" w:pos="9072"/>
      </w:tabs>
    </w:pPr>
  </w:style>
  <w:style w:type="character" w:customStyle="1" w:styleId="ZpatChar">
    <w:name w:val="Zápatí Char"/>
    <w:basedOn w:val="Standardnpsmoodstavce"/>
    <w:link w:val="Zpat"/>
    <w:uiPriority w:val="99"/>
    <w:rsid w:val="005E69BE"/>
  </w:style>
  <w:style w:type="character" w:styleId="Zdraznn">
    <w:name w:val="Emphasis"/>
    <w:basedOn w:val="Standardnpsmoodstavce"/>
    <w:uiPriority w:val="20"/>
    <w:qFormat/>
    <w:rsid w:val="009F16E3"/>
    <w:rPr>
      <w:rFonts w:ascii="Poppins" w:hAnsi="Poppins"/>
      <w:i/>
      <w:iCs/>
      <w:color w:val="3F3F3F"/>
      <w:sz w:val="18"/>
    </w:rPr>
  </w:style>
  <w:style w:type="character" w:styleId="Siln">
    <w:name w:val="Strong"/>
    <w:basedOn w:val="Standardnpsmoodstavce"/>
    <w:uiPriority w:val="22"/>
    <w:qFormat/>
    <w:rsid w:val="009F16E3"/>
    <w:rPr>
      <w:rFonts w:ascii="Poppins" w:hAnsi="Poppins"/>
      <w:b/>
      <w:bCs/>
      <w:sz w:val="18"/>
    </w:rPr>
  </w:style>
  <w:style w:type="character" w:styleId="Odkazjemn">
    <w:name w:val="Subtle Reference"/>
    <w:basedOn w:val="Standardnpsmoodstavce"/>
    <w:uiPriority w:val="31"/>
    <w:qFormat/>
    <w:rsid w:val="009F16E3"/>
    <w:rPr>
      <w:rFonts w:ascii="Poppins" w:hAnsi="Poppins"/>
      <w:i/>
      <w:caps w:val="0"/>
      <w:smallCaps w:val="0"/>
      <w:strike w:val="0"/>
      <w:dstrike w:val="0"/>
      <w:vanish w:val="0"/>
      <w:color w:val="E5087D"/>
      <w:sz w:val="18"/>
      <w:u w:val="single"/>
      <w:vertAlign w:val="baseline"/>
    </w:rPr>
  </w:style>
  <w:style w:type="paragraph" w:styleId="Revize">
    <w:name w:val="Revision"/>
    <w:hidden/>
    <w:uiPriority w:val="99"/>
    <w:semiHidden/>
    <w:rsid w:val="001F3C9D"/>
    <w:rPr>
      <w:rFonts w:ascii="Poppins" w:hAnsi="Poppins"/>
      <w:color w:val="3F3F3F"/>
      <w:kern w:val="0"/>
      <w:sz w:val="18"/>
    </w:rPr>
  </w:style>
  <w:style w:type="character" w:styleId="Odkaznakoment">
    <w:name w:val="annotation reference"/>
    <w:basedOn w:val="Standardnpsmoodstavce"/>
    <w:uiPriority w:val="99"/>
    <w:semiHidden/>
    <w:unhideWhenUsed/>
    <w:rsid w:val="00BC7B01"/>
    <w:rPr>
      <w:sz w:val="16"/>
      <w:szCs w:val="16"/>
    </w:rPr>
  </w:style>
  <w:style w:type="paragraph" w:styleId="Textkomente">
    <w:name w:val="annotation text"/>
    <w:basedOn w:val="Normln"/>
    <w:link w:val="TextkomenteChar"/>
    <w:uiPriority w:val="99"/>
    <w:unhideWhenUsed/>
    <w:rsid w:val="00BC7B01"/>
    <w:pPr>
      <w:spacing w:line="240" w:lineRule="auto"/>
    </w:pPr>
    <w:rPr>
      <w:sz w:val="20"/>
      <w:szCs w:val="20"/>
    </w:rPr>
  </w:style>
  <w:style w:type="character" w:customStyle="1" w:styleId="TextkomenteChar">
    <w:name w:val="Text komentáře Char"/>
    <w:basedOn w:val="Standardnpsmoodstavce"/>
    <w:link w:val="Textkomente"/>
    <w:uiPriority w:val="99"/>
    <w:rsid w:val="00BC7B01"/>
    <w:rPr>
      <w:rFonts w:ascii="Poppins" w:hAnsi="Poppins"/>
      <w:color w:val="3F3F3F"/>
      <w:kern w:val="0"/>
      <w:sz w:val="20"/>
      <w:szCs w:val="20"/>
    </w:rPr>
  </w:style>
  <w:style w:type="paragraph" w:styleId="Pedmtkomente">
    <w:name w:val="annotation subject"/>
    <w:basedOn w:val="Textkomente"/>
    <w:next w:val="Textkomente"/>
    <w:link w:val="PedmtkomenteChar"/>
    <w:uiPriority w:val="99"/>
    <w:semiHidden/>
    <w:unhideWhenUsed/>
    <w:rsid w:val="00BC7B01"/>
    <w:rPr>
      <w:b/>
      <w:bCs/>
    </w:rPr>
  </w:style>
  <w:style w:type="character" w:customStyle="1" w:styleId="PedmtkomenteChar">
    <w:name w:val="Předmět komentáře Char"/>
    <w:basedOn w:val="TextkomenteChar"/>
    <w:link w:val="Pedmtkomente"/>
    <w:uiPriority w:val="99"/>
    <w:semiHidden/>
    <w:rsid w:val="00BC7B01"/>
    <w:rPr>
      <w:rFonts w:ascii="Poppins" w:hAnsi="Poppins"/>
      <w:b/>
      <w:bCs/>
      <w:color w:val="3F3F3F"/>
      <w:kern w:val="0"/>
      <w:sz w:val="20"/>
      <w:szCs w:val="20"/>
    </w:rPr>
  </w:style>
  <w:style w:type="character" w:styleId="Hypertextovodkaz">
    <w:name w:val="Hyperlink"/>
    <w:basedOn w:val="Standardnpsmoodstavce"/>
    <w:uiPriority w:val="99"/>
    <w:unhideWhenUsed/>
    <w:rsid w:val="005A2E60"/>
    <w:rPr>
      <w:color w:val="467886" w:themeColor="hyperlink"/>
      <w:u w:val="single"/>
    </w:rPr>
  </w:style>
  <w:style w:type="character" w:styleId="Nevyeenzmnka">
    <w:name w:val="Unresolved Mention"/>
    <w:basedOn w:val="Standardnpsmoodstavce"/>
    <w:uiPriority w:val="99"/>
    <w:semiHidden/>
    <w:unhideWhenUsed/>
    <w:rsid w:val="005A2E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vladimira.kolarikova@klik.c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TotalTime>
  <Pages>3</Pages>
  <Words>936</Words>
  <Characters>5528</Characters>
  <Application>Microsoft Office Word</Application>
  <DocSecurity>0</DocSecurity>
  <Lines>46</Lines>
  <Paragraphs>12</Paragraphs>
  <ScaleCrop>false</ScaleCrop>
  <Company/>
  <LinksUpToDate>false</LinksUpToDate>
  <CharactersWithSpaces>6452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Vladimíra Kolaříková</dc:creator>
  <cp:keywords/>
  <dc:description/>
  <cp:lastModifiedBy>Martina Kavková - Native PR</cp:lastModifiedBy>
  <cp:revision>31</cp:revision>
  <dcterms:created xsi:type="dcterms:W3CDTF">2026-08-20T08:14:00Z</dcterms:created>
  <dcterms:modified xsi:type="dcterms:W3CDTF">2026-08-21T09:45:00Z</dcterms:modified>
</cp:coreProperties>
</file>