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9376" w14:textId="63A6E3AE" w:rsidR="00615FB3" w:rsidRPr="004A5D93" w:rsidRDefault="004A5D93" w:rsidP="00BC6523">
      <w:pPr>
        <w:spacing w:before="100" w:beforeAutospacing="1" w:after="120"/>
        <w:ind w:left="7788"/>
        <w:rPr>
          <w:b/>
          <w:bCs/>
        </w:rPr>
      </w:pPr>
      <w:r>
        <w:rPr>
          <w:b/>
          <w:bCs/>
        </w:rPr>
        <w:t xml:space="preserve">          </w:t>
      </w:r>
      <w:r w:rsidR="00615FB3" w:rsidRPr="004A5D93">
        <w:rPr>
          <w:b/>
          <w:bCs/>
        </w:rPr>
        <w:t>Tisková zpráva</w:t>
      </w:r>
    </w:p>
    <w:p w14:paraId="1F2F37DD" w14:textId="406BE939" w:rsidR="00615FB3" w:rsidRDefault="003D3361" w:rsidP="002D75C4">
      <w:pPr>
        <w:spacing w:before="100" w:beforeAutospacing="1" w:after="120"/>
        <w:jc w:val="left"/>
        <w:rPr>
          <w:b/>
          <w:bCs/>
          <w:sz w:val="32"/>
          <w:szCs w:val="32"/>
        </w:rPr>
      </w:pPr>
      <w:r w:rsidRPr="003D3361">
        <w:rPr>
          <w:b/>
          <w:bCs/>
          <w:sz w:val="32"/>
          <w:szCs w:val="32"/>
        </w:rPr>
        <w:t xml:space="preserve">Dovolená 2026: </w:t>
      </w:r>
      <w:r w:rsidR="005317AB">
        <w:rPr>
          <w:b/>
          <w:bCs/>
          <w:sz w:val="32"/>
          <w:szCs w:val="32"/>
        </w:rPr>
        <w:t xml:space="preserve">Na co si dát </w:t>
      </w:r>
      <w:r w:rsidR="00592469">
        <w:rPr>
          <w:b/>
          <w:bCs/>
          <w:sz w:val="32"/>
          <w:szCs w:val="32"/>
        </w:rPr>
        <w:t xml:space="preserve">pozor při cestování </w:t>
      </w:r>
      <w:r w:rsidR="005317AB">
        <w:rPr>
          <w:b/>
          <w:bCs/>
          <w:sz w:val="32"/>
          <w:szCs w:val="32"/>
        </w:rPr>
        <w:t>v aktuální geopolitické situaci?</w:t>
      </w:r>
    </w:p>
    <w:p w14:paraId="7E6AD677" w14:textId="5D5F8197" w:rsidR="00C2676B" w:rsidRPr="00A444B9" w:rsidRDefault="00C2676B" w:rsidP="00C2676B">
      <w:pPr>
        <w:tabs>
          <w:tab w:val="left" w:pos="8440"/>
        </w:tabs>
        <w:spacing w:before="100" w:beforeAutospacing="1" w:after="120"/>
        <w:rPr>
          <w:b/>
          <w:bCs/>
          <w:sz w:val="20"/>
          <w:szCs w:val="20"/>
        </w:rPr>
      </w:pPr>
      <w:r w:rsidRPr="00C2676B">
        <w:rPr>
          <w:sz w:val="20"/>
          <w:szCs w:val="20"/>
        </w:rPr>
        <w:t xml:space="preserve">Praha, </w:t>
      </w:r>
      <w:r w:rsidR="00DC552D">
        <w:rPr>
          <w:sz w:val="20"/>
          <w:szCs w:val="20"/>
        </w:rPr>
        <w:t>20</w:t>
      </w:r>
      <w:r w:rsidRPr="00C2676B">
        <w:rPr>
          <w:sz w:val="20"/>
          <w:szCs w:val="20"/>
        </w:rPr>
        <w:t xml:space="preserve">. </w:t>
      </w:r>
      <w:r w:rsidR="003D3361">
        <w:rPr>
          <w:sz w:val="20"/>
          <w:szCs w:val="20"/>
        </w:rPr>
        <w:t>května</w:t>
      </w:r>
      <w:r w:rsidRPr="00C2676B">
        <w:rPr>
          <w:sz w:val="20"/>
          <w:szCs w:val="20"/>
        </w:rPr>
        <w:t xml:space="preserve"> </w:t>
      </w:r>
      <w:r w:rsidR="005F2A31" w:rsidRPr="00C2676B">
        <w:rPr>
          <w:sz w:val="20"/>
          <w:szCs w:val="20"/>
        </w:rPr>
        <w:t>202</w:t>
      </w:r>
      <w:r w:rsidR="005F2A31">
        <w:rPr>
          <w:sz w:val="20"/>
          <w:szCs w:val="20"/>
        </w:rPr>
        <w:t>6</w:t>
      </w:r>
      <w:r w:rsidR="003D3361" w:rsidRPr="003D3361">
        <w:t xml:space="preserve"> </w:t>
      </w:r>
      <w:r w:rsidR="003D3361" w:rsidRPr="003D3361">
        <w:rPr>
          <w:b/>
          <w:bCs/>
          <w:sz w:val="20"/>
          <w:szCs w:val="20"/>
        </w:rPr>
        <w:t>Češi letos plánují dovolené opatrněji. Vedle ceny zájezdu nebo letenek čím dál víc řeší bezpečnost destinace, možnost storna, zrušené lety nebo to, jestli jim pojištění bude platit i ve chvíli, kdy se situace v cílové zemi zhorší. Podle Skupiny Klik.cz se mění i samotné chování cestovatelů: u krátkodobých cest dál převažuje Evropa, zatímco u delších cest roste zájem o vzdálenější destinace, jako je Japonsko, Aljaška, USA nebo Latinská Amerika.</w:t>
      </w:r>
    </w:p>
    <w:p w14:paraId="3C9DAF2E" w14:textId="26E4E016" w:rsidR="003D3361" w:rsidRPr="00061A7B" w:rsidRDefault="003D3361" w:rsidP="003D3361">
      <w:pPr>
        <w:spacing w:after="160" w:line="278" w:lineRule="auto"/>
      </w:pPr>
      <w:r w:rsidRPr="00061A7B">
        <w:t>S tím ale přibývá i otázek. Lidé se často domnívají, že když si sjednají cestovní pojištění, mají vyřešené prakticky všechno. Jenže pojištění má své limity a přesně dané podmínky. Některé situace kryje, jiné jen částečně a další vůbec.</w:t>
      </w:r>
    </w:p>
    <w:p w14:paraId="50FC2E86" w14:textId="68234A48" w:rsidR="005F2A31" w:rsidRDefault="003D3361" w:rsidP="003D3361">
      <w:pPr>
        <w:tabs>
          <w:tab w:val="left" w:pos="8440"/>
        </w:tabs>
        <w:spacing w:before="100" w:beforeAutospacing="1" w:after="120"/>
      </w:pPr>
      <w:r w:rsidRPr="00061A7B">
        <w:t>„</w:t>
      </w:r>
      <w:r w:rsidRPr="00CF010F">
        <w:rPr>
          <w:i/>
          <w:iCs/>
        </w:rPr>
        <w:t xml:space="preserve">Cestovní pojištění je velmi důležitý nástroj, ale lidé by měli vědět, co od něj mohou čekat. Letos je to ještě důležitější než dřív, protože do plánování dovolených výrazněji vstupuje bezpečnostní situace, doporučení státu i </w:t>
      </w:r>
      <w:r w:rsidR="00EC173C">
        <w:rPr>
          <w:i/>
          <w:iCs/>
        </w:rPr>
        <w:t>zdražování</w:t>
      </w:r>
      <w:r w:rsidR="009B66E9">
        <w:rPr>
          <w:i/>
          <w:iCs/>
        </w:rPr>
        <w:t xml:space="preserve"> ze dne na den</w:t>
      </w:r>
      <w:r w:rsidRPr="00CF010F">
        <w:rPr>
          <w:i/>
          <w:iCs/>
        </w:rPr>
        <w:t>,</w:t>
      </w:r>
      <w:r w:rsidRPr="00061A7B">
        <w:t>“ říká Karel Šultes, ředitel produktu a datové analýzy Skupin</w:t>
      </w:r>
      <w:r w:rsidR="00EC173C">
        <w:t>a</w:t>
      </w:r>
      <w:r w:rsidRPr="00061A7B">
        <w:t xml:space="preserve"> Klik.cz.</w:t>
      </w:r>
    </w:p>
    <w:p w14:paraId="561B7A9D" w14:textId="2299848F" w:rsidR="00E64602" w:rsidRPr="00E64602" w:rsidRDefault="00E64602" w:rsidP="00E64602">
      <w:pPr>
        <w:spacing w:after="160" w:line="278" w:lineRule="auto"/>
      </w:pPr>
      <w:r w:rsidRPr="00E64602">
        <w:t>Před cestou se proto vyplatí vědět nejen to, zda pojištění máte, ale hlavně co přesně kryje</w:t>
      </w:r>
      <w:r w:rsidR="003E5D8D">
        <w:t xml:space="preserve"> </w:t>
      </w:r>
      <w:r w:rsidRPr="00E64602">
        <w:t xml:space="preserve">a v jakých situacích se </w:t>
      </w:r>
      <w:r w:rsidR="005317AB">
        <w:t>obracet</w:t>
      </w:r>
      <w:r w:rsidRPr="00E64602">
        <w:t xml:space="preserve"> na cestovní kancelář, dopravce </w:t>
      </w:r>
      <w:r w:rsidR="005317AB">
        <w:t>či</w:t>
      </w:r>
      <w:r w:rsidRPr="00E64602">
        <w:t xml:space="preserve"> samotnou pojišťovnu. Níže </w:t>
      </w:r>
      <w:r w:rsidR="005317AB">
        <w:t xml:space="preserve">uvádíme </w:t>
      </w:r>
      <w:r w:rsidRPr="00E64602">
        <w:t xml:space="preserve">nejčastější </w:t>
      </w:r>
      <w:r w:rsidR="003E5D8D">
        <w:t>situace, které by mohly letos cestující překvapit.</w:t>
      </w:r>
    </w:p>
    <w:p w14:paraId="1BAA7E29" w14:textId="142299E5" w:rsidR="004B602B" w:rsidRDefault="003D3361" w:rsidP="005F2A31">
      <w:pPr>
        <w:tabs>
          <w:tab w:val="left" w:pos="8440"/>
        </w:tabs>
        <w:spacing w:before="100" w:beforeAutospacing="1" w:after="120"/>
        <w:rPr>
          <w:b/>
          <w:bCs/>
          <w:sz w:val="20"/>
          <w:szCs w:val="20"/>
        </w:rPr>
      </w:pPr>
      <w:r w:rsidRPr="003D3361">
        <w:rPr>
          <w:b/>
          <w:bCs/>
          <w:sz w:val="20"/>
          <w:szCs w:val="20"/>
        </w:rPr>
        <w:t>1. Pojištění neřešte až den před odjezdem</w:t>
      </w:r>
    </w:p>
    <w:p w14:paraId="44AAD73B" w14:textId="5B5B6171" w:rsidR="003D3361" w:rsidRPr="00061A7B" w:rsidRDefault="003D3361" w:rsidP="003D3361">
      <w:pPr>
        <w:spacing w:after="160" w:line="278" w:lineRule="auto"/>
      </w:pPr>
      <w:r w:rsidRPr="00061A7B">
        <w:t xml:space="preserve">Jednou z nejčastějších chyb je sjednávání cestovního pojištění na poslední chvíli. Podle dat Klik.cz bylo letos od ledna do dubna 76,2 procenta cestovních pojištění sjednáno nejpozději dva dny před začátkem </w:t>
      </w:r>
      <w:r w:rsidR="006F547A">
        <w:t>cesty</w:t>
      </w:r>
      <w:r w:rsidRPr="00061A7B">
        <w:t xml:space="preserve">. </w:t>
      </w:r>
    </w:p>
    <w:p w14:paraId="690FDBC8" w14:textId="77777777" w:rsidR="003D3361" w:rsidRPr="00061A7B" w:rsidRDefault="003D3361" w:rsidP="003D3361">
      <w:pPr>
        <w:spacing w:after="160" w:line="278" w:lineRule="auto"/>
      </w:pPr>
      <w:r w:rsidRPr="00061A7B">
        <w:t>U základního cestovního pojištění to lidem často nepřijde jako problém. Pokud ale chtějí mít součástí pojistky také storno, může být už pozdě. Většina pojišťoven má u pojištění storna podmínku, že musí být sjednáno s dostatečným předstihem, často alespoň 15 dní před odjezdem. Pokud se sjednává později, musí být pojistka zpravidla koupena v den zakoupení zájezdu.</w:t>
      </w:r>
    </w:p>
    <w:p w14:paraId="206F7055" w14:textId="77777777" w:rsidR="003D3361" w:rsidRPr="00061A7B" w:rsidRDefault="003D3361" w:rsidP="003D3361">
      <w:pPr>
        <w:spacing w:after="160" w:line="278" w:lineRule="auto"/>
      </w:pPr>
      <w:r w:rsidRPr="00061A7B">
        <w:t>„</w:t>
      </w:r>
      <w:r w:rsidRPr="00CF010F">
        <w:rPr>
          <w:i/>
          <w:iCs/>
        </w:rPr>
        <w:t>Až tři čtvrtiny lidí nechávají cestovní pojištění na poslední chvíli. V praxi si tím často zavřou dveře ke stornu, protože to má přísnější pravidla než běžné cestovní pojištění,</w:t>
      </w:r>
      <w:r w:rsidRPr="00061A7B">
        <w:t>“ vysvětluje Šultes.</w:t>
      </w:r>
    </w:p>
    <w:p w14:paraId="6E353D33" w14:textId="77777777" w:rsidR="003D3361" w:rsidRPr="00061A7B" w:rsidRDefault="003D3361" w:rsidP="003D3361">
      <w:pPr>
        <w:spacing w:after="160" w:line="278" w:lineRule="auto"/>
        <w:rPr>
          <w:b/>
          <w:bCs/>
        </w:rPr>
      </w:pPr>
      <w:r w:rsidRPr="00061A7B">
        <w:rPr>
          <w:b/>
          <w:bCs/>
        </w:rPr>
        <w:t>2. Storno není možnost zrušit cestu kdykoli</w:t>
      </w:r>
    </w:p>
    <w:p w14:paraId="0B79C2F2" w14:textId="77777777" w:rsidR="003D3361" w:rsidRPr="00061A7B" w:rsidRDefault="003D3361" w:rsidP="003D3361">
      <w:pPr>
        <w:spacing w:after="160" w:line="278" w:lineRule="auto"/>
      </w:pPr>
      <w:r w:rsidRPr="00061A7B">
        <w:t>Pojištění storna bývá jedním z nejčastěji nepochopených produktů. Řada lidí si ho spojuje s představou, že mohou cestu zrušit, když se jim přestane hodit, začnou mít obavy nebo se jim změní plány. Tak to ale většinou nefunguje.</w:t>
      </w:r>
    </w:p>
    <w:p w14:paraId="5938634D" w14:textId="77777777" w:rsidR="003D3361" w:rsidRPr="00061A7B" w:rsidRDefault="003D3361" w:rsidP="003D3361">
      <w:pPr>
        <w:spacing w:after="160" w:line="278" w:lineRule="auto"/>
      </w:pPr>
      <w:r w:rsidRPr="00061A7B">
        <w:t>Storno se vztahuje na konkrétní vážné důvody, kvůli kterým klient nemůže odcestovat. Typicky jde například o náhlou nemoc, úraz nebo jinou závažnou situaci uvedenou v pojistných podmínkách. Samotná obava z cestování do rizikovější oblasti zpravidla pojistným důvodem není.</w:t>
      </w:r>
    </w:p>
    <w:p w14:paraId="63467350" w14:textId="77777777" w:rsidR="003D3361" w:rsidRPr="00061A7B" w:rsidRDefault="003D3361" w:rsidP="003D3361">
      <w:pPr>
        <w:spacing w:after="160" w:line="278" w:lineRule="auto"/>
      </w:pPr>
      <w:r w:rsidRPr="00061A7B">
        <w:lastRenderedPageBreak/>
        <w:t>Výjimkou může být například oficiální zákaz vycestování. Obecná nejistota, špatný pocit z destinace nebo rozhodnutí, že už se rodině cestovat nechce, ale obvykle nestačí.</w:t>
      </w:r>
    </w:p>
    <w:p w14:paraId="20C2A4F2" w14:textId="3DA3B2C2" w:rsidR="003D3361" w:rsidRPr="00061A7B" w:rsidRDefault="003D3361" w:rsidP="003D3361">
      <w:pPr>
        <w:spacing w:after="160" w:line="278" w:lineRule="auto"/>
        <w:rPr>
          <w:b/>
          <w:bCs/>
        </w:rPr>
      </w:pPr>
      <w:r w:rsidRPr="00061A7B">
        <w:rPr>
          <w:b/>
          <w:bCs/>
        </w:rPr>
        <w:t>3. Doporučení MZV</w:t>
      </w:r>
      <w:r w:rsidR="006F547A">
        <w:rPr>
          <w:b/>
          <w:bCs/>
        </w:rPr>
        <w:t xml:space="preserve"> ČR</w:t>
      </w:r>
      <w:r w:rsidRPr="00061A7B">
        <w:rPr>
          <w:b/>
          <w:bCs/>
        </w:rPr>
        <w:t xml:space="preserve"> může ovlivnit i pojištění</w:t>
      </w:r>
    </w:p>
    <w:p w14:paraId="663EAC6E" w14:textId="77777777" w:rsidR="003D3361" w:rsidRPr="00061A7B" w:rsidRDefault="003D3361" w:rsidP="003D3361">
      <w:pPr>
        <w:spacing w:after="160" w:line="278" w:lineRule="auto"/>
      </w:pPr>
      <w:r w:rsidRPr="00061A7B">
        <w:t>Letos do cestování výrazněji vstupuje geopolitika. Týká se to hlavně destinací, u kterých se mění bezpečnostní situace nebo kde Ministerstvo zahraničních věcí vydává cestovní doporučení.</w:t>
      </w:r>
    </w:p>
    <w:p w14:paraId="0D69F3F8" w14:textId="09862F36" w:rsidR="003D3361" w:rsidRPr="00061A7B" w:rsidRDefault="003D3361" w:rsidP="003D3361">
      <w:pPr>
        <w:spacing w:after="160" w:line="278" w:lineRule="auto"/>
      </w:pPr>
      <w:r w:rsidRPr="00061A7B">
        <w:t xml:space="preserve">Pokud stát cestu do určité země nedoporučuje, může to mít dopad i na přístup pojišťoven. Některé mohou odmítnout sjednat nové cestovní pojištění, jiné mohou výrazně omezit rozsah krytí nebo upozornit, že při cestě navzdory doporučení </w:t>
      </w:r>
      <w:r w:rsidR="006F547A">
        <w:t>ministerstva</w:t>
      </w:r>
      <w:r w:rsidRPr="00061A7B">
        <w:t xml:space="preserve"> nemusí být pojistné plnění uznáno.</w:t>
      </w:r>
    </w:p>
    <w:p w14:paraId="34C13C2C" w14:textId="2BC26950" w:rsidR="003D3361" w:rsidRPr="00061A7B" w:rsidRDefault="003D3361" w:rsidP="003D3361">
      <w:pPr>
        <w:spacing w:after="160" w:line="278" w:lineRule="auto"/>
      </w:pPr>
      <w:r w:rsidRPr="00061A7B">
        <w:t xml:space="preserve">V praxi to znamená, že člověk by neměl sledovat jen cenu zájezdu, ale také aktuální doporučení pro danou destinaci. </w:t>
      </w:r>
      <w:r w:rsidR="003F00EF">
        <w:t>S</w:t>
      </w:r>
      <w:r w:rsidRPr="00061A7B">
        <w:t xml:space="preserve">pecifické dotazy spojené s geopolitickou situací </w:t>
      </w:r>
      <w:r w:rsidR="003F00EF">
        <w:t xml:space="preserve">se pak </w:t>
      </w:r>
      <w:r w:rsidRPr="00061A7B">
        <w:t>řeší</w:t>
      </w:r>
      <w:r w:rsidR="003F00EF">
        <w:t xml:space="preserve"> nejčastěji</w:t>
      </w:r>
      <w:r w:rsidRPr="00061A7B">
        <w:t xml:space="preserve"> přímo s pojišťovnou, cestovní kanceláří nebo dopravcem.</w:t>
      </w:r>
    </w:p>
    <w:p w14:paraId="742E3DF8" w14:textId="77777777" w:rsidR="003D3361" w:rsidRPr="00061A7B" w:rsidRDefault="003D3361" w:rsidP="003D3361">
      <w:pPr>
        <w:spacing w:after="160" w:line="278" w:lineRule="auto"/>
      </w:pPr>
      <w:r w:rsidRPr="00061A7B">
        <w:t>„</w:t>
      </w:r>
      <w:r w:rsidRPr="00CF010F">
        <w:rPr>
          <w:i/>
          <w:iCs/>
        </w:rPr>
        <w:t>Rozhodující není jen to, že má člověk pojistku sjednanou. Důležité je i to, kam jede, za jakých okolností a jaká doporučení pro danou zemi aktuálně platí,</w:t>
      </w:r>
      <w:r w:rsidRPr="00061A7B">
        <w:t>“ upozorňuje Šultes.</w:t>
      </w:r>
    </w:p>
    <w:p w14:paraId="2D0C5911" w14:textId="77777777" w:rsidR="003D3361" w:rsidRPr="00061A7B" w:rsidRDefault="003D3361" w:rsidP="003D3361">
      <w:pPr>
        <w:spacing w:after="160" w:line="278" w:lineRule="auto"/>
        <w:rPr>
          <w:b/>
          <w:bCs/>
        </w:rPr>
      </w:pPr>
      <w:r w:rsidRPr="00061A7B">
        <w:rPr>
          <w:b/>
          <w:bCs/>
        </w:rPr>
        <w:t>4. Zdražení zájezdu nebo letenky pojištění obvykle nekryje</w:t>
      </w:r>
    </w:p>
    <w:p w14:paraId="4DC1B253" w14:textId="502C988C" w:rsidR="003D3361" w:rsidRPr="00061A7B" w:rsidRDefault="003D3361" w:rsidP="003D3361">
      <w:pPr>
        <w:spacing w:after="160" w:line="278" w:lineRule="auto"/>
      </w:pPr>
      <w:r w:rsidRPr="00061A7B">
        <w:t xml:space="preserve">U zájezdů může za určitých podmínek dojít k navýšení ceny i po uzavření smlouvy. Pokud je klient informován nejpozději 21 dní před začátkem zájezdu a navýšení nepřesáhne </w:t>
      </w:r>
      <w:r w:rsidR="003F00EF">
        <w:t>8</w:t>
      </w:r>
      <w:r w:rsidRPr="00061A7B">
        <w:t xml:space="preserve"> procent celkové ceny, obvykle musí doplatek uhradit a nemůže odstoupit bez storno poplatků. Pokud navýšení přesáhne </w:t>
      </w:r>
      <w:r w:rsidR="003F00EF">
        <w:t>8</w:t>
      </w:r>
      <w:r w:rsidRPr="00061A7B">
        <w:t xml:space="preserve"> procent, má právo od smlouvy odstoupit a získat zpět zaplacené prostředky bez sankce.</w:t>
      </w:r>
    </w:p>
    <w:p w14:paraId="1AE2E921" w14:textId="77777777" w:rsidR="003D3361" w:rsidRPr="00061A7B" w:rsidRDefault="003D3361" w:rsidP="003D3361">
      <w:pPr>
        <w:spacing w:after="160" w:line="278" w:lineRule="auto"/>
      </w:pPr>
      <w:r w:rsidRPr="00061A7B">
        <w:t>Z pohledu cestovního pojištění je ale klíčové, že samotné zdražení zájezdu nebo letenky standardně není pojistnou událostí. Totéž platí pro palivový příplatek nebo poplatek za změnu trasy. Jde o obchodní vztah mezi klientem a cestovní kanceláří, aerolinkou nebo jiným dodavatelem služby.</w:t>
      </w:r>
    </w:p>
    <w:p w14:paraId="0E165BB3" w14:textId="77777777" w:rsidR="003D3361" w:rsidRPr="00061A7B" w:rsidRDefault="003D3361" w:rsidP="003D3361">
      <w:pPr>
        <w:spacing w:after="160" w:line="278" w:lineRule="auto"/>
      </w:pPr>
      <w:r w:rsidRPr="00061A7B">
        <w:t>Cestovní pojištění tedy nefunguje jako ochrana proti tomu, že se po zaplacení změní cena.</w:t>
      </w:r>
    </w:p>
    <w:p w14:paraId="0AC8AB29" w14:textId="77777777" w:rsidR="003D3361" w:rsidRPr="00061A7B" w:rsidRDefault="003D3361" w:rsidP="003D3361">
      <w:pPr>
        <w:spacing w:after="160" w:line="278" w:lineRule="auto"/>
        <w:rPr>
          <w:b/>
          <w:bCs/>
        </w:rPr>
      </w:pPr>
      <w:r w:rsidRPr="00061A7B">
        <w:rPr>
          <w:b/>
          <w:bCs/>
        </w:rPr>
        <w:t>5. Zrušený let neznamená automaticky nárok na úhradu dražší náhradní dopravy</w:t>
      </w:r>
    </w:p>
    <w:p w14:paraId="4F5B0229" w14:textId="77777777" w:rsidR="003D3361" w:rsidRPr="00061A7B" w:rsidRDefault="003D3361" w:rsidP="003D3361">
      <w:pPr>
        <w:spacing w:after="160" w:line="278" w:lineRule="auto"/>
      </w:pPr>
      <w:r w:rsidRPr="00061A7B">
        <w:t>Jedním z nejčastějších dotazů klientů podle Klik.cz je požadavek na stornování pojištění kvůli tomu, že se jim zrušil let. I tady je důležité rozlišovat, co řeší dopravce, co cestovní kancelář a co pojišťovna.</w:t>
      </w:r>
    </w:p>
    <w:p w14:paraId="716EB68F" w14:textId="77777777" w:rsidR="003D3361" w:rsidRPr="00061A7B" w:rsidRDefault="003D3361" w:rsidP="003D3361">
      <w:pPr>
        <w:spacing w:after="160" w:line="278" w:lineRule="auto"/>
      </w:pPr>
      <w:r w:rsidRPr="00061A7B">
        <w:t>Pokud je let zrušen a náhradní spojení je výrazně dražší, pojištění nemusí automaticky hradit samotný rozdíl v ceně. Může ale podle konkrétní pojistky pomoci s asistencí, organizací řešení nebo někdy s ubytováním při čekání.</w:t>
      </w:r>
    </w:p>
    <w:p w14:paraId="3F5E79B8" w14:textId="4A066386" w:rsidR="003D3361" w:rsidRDefault="003D3361" w:rsidP="003D3361">
      <w:pPr>
        <w:spacing w:after="160" w:line="278" w:lineRule="auto"/>
      </w:pPr>
      <w:r w:rsidRPr="00061A7B">
        <w:t xml:space="preserve">Jinak řečeno: pojištění může být užitečné při komplikacích v dopravě, ale neznamená to, že vždy </w:t>
      </w:r>
      <w:r w:rsidR="00DE1593">
        <w:t xml:space="preserve">hradí </w:t>
      </w:r>
      <w:r w:rsidRPr="00061A7B">
        <w:t>jakékoli dodatečné náklady, které cestujícímu vzniknou.</w:t>
      </w:r>
    </w:p>
    <w:p w14:paraId="5214F081" w14:textId="77777777" w:rsidR="00C43721" w:rsidRPr="00061A7B" w:rsidRDefault="00C43721" w:rsidP="003D3361">
      <w:pPr>
        <w:spacing w:after="160" w:line="278" w:lineRule="auto"/>
      </w:pPr>
    </w:p>
    <w:p w14:paraId="267065BB" w14:textId="77777777" w:rsidR="003D3361" w:rsidRPr="00061A7B" w:rsidRDefault="003D3361" w:rsidP="003D3361">
      <w:pPr>
        <w:spacing w:after="160" w:line="278" w:lineRule="auto"/>
        <w:rPr>
          <w:b/>
          <w:bCs/>
        </w:rPr>
      </w:pPr>
      <w:r w:rsidRPr="00061A7B">
        <w:rPr>
          <w:b/>
          <w:bCs/>
        </w:rPr>
        <w:t>6. Při změně destinace je potřeba změnit i pojištění</w:t>
      </w:r>
    </w:p>
    <w:p w14:paraId="40FB8143" w14:textId="77777777" w:rsidR="003D3361" w:rsidRPr="00061A7B" w:rsidRDefault="003D3361" w:rsidP="003D3361">
      <w:pPr>
        <w:spacing w:after="160" w:line="278" w:lineRule="auto"/>
      </w:pPr>
      <w:r w:rsidRPr="00061A7B">
        <w:t>Častou chybou je také představa, že když si člověk jednou sjednal cestovní pojištění, platí stejně bez ohledu na to, kam nakonec pojede. To ale nemusí být pravda.</w:t>
      </w:r>
    </w:p>
    <w:p w14:paraId="5D24F705" w14:textId="62A17708" w:rsidR="00DE1593" w:rsidRDefault="003D3361" w:rsidP="003D3361">
      <w:pPr>
        <w:spacing w:after="160" w:line="278" w:lineRule="auto"/>
      </w:pPr>
      <w:r w:rsidRPr="00061A7B">
        <w:lastRenderedPageBreak/>
        <w:t>Pokud se změní destinace, je potřeba změnu promítnout i do pojištění. Rozhoduje územní zóna, typ cesty i další specifika. V případě pojistné události může být rozdíl v územním krytí zásadní.</w:t>
      </w:r>
      <w:r w:rsidR="008E0B2E">
        <w:t xml:space="preserve"> Podívejme se na to v rámci modelového příkladu:</w:t>
      </w:r>
    </w:p>
    <w:p w14:paraId="14A704F8" w14:textId="67604CC3" w:rsidR="003D3361" w:rsidRPr="00061A7B" w:rsidRDefault="00F55013" w:rsidP="003D3361">
      <w:pPr>
        <w:spacing w:after="160" w:line="278" w:lineRule="auto"/>
      </w:pPr>
      <w:r w:rsidRPr="00F55013">
        <w:rPr>
          <w:i/>
          <w:iCs/>
        </w:rPr>
        <w:t>„</w:t>
      </w:r>
      <w:r w:rsidR="008F49CD" w:rsidRPr="00F55013">
        <w:rPr>
          <w:i/>
          <w:iCs/>
        </w:rPr>
        <w:t>Např. r</w:t>
      </w:r>
      <w:r w:rsidR="00A20BA6" w:rsidRPr="00F55013">
        <w:rPr>
          <w:i/>
          <w:iCs/>
        </w:rPr>
        <w:t>odin</w:t>
      </w:r>
      <w:r w:rsidR="008F49CD" w:rsidRPr="00F55013">
        <w:rPr>
          <w:i/>
          <w:iCs/>
        </w:rPr>
        <w:t>ě</w:t>
      </w:r>
      <w:r w:rsidR="00CF43AA" w:rsidRPr="00F55013">
        <w:rPr>
          <w:i/>
          <w:iCs/>
        </w:rPr>
        <w:t>, která si</w:t>
      </w:r>
      <w:r w:rsidR="003D3361" w:rsidRPr="00F55013">
        <w:rPr>
          <w:i/>
          <w:iCs/>
        </w:rPr>
        <w:t xml:space="preserve"> v lednu rezervovala zájezd do Jordánska s odletem na začátku května</w:t>
      </w:r>
      <w:r w:rsidR="008F49CD" w:rsidRPr="00F55013">
        <w:rPr>
          <w:i/>
          <w:iCs/>
        </w:rPr>
        <w:t>, cestovní kancelář v návaznosti na</w:t>
      </w:r>
      <w:r w:rsidR="003D3361" w:rsidRPr="00F55013">
        <w:rPr>
          <w:i/>
          <w:iCs/>
        </w:rPr>
        <w:t xml:space="preserve"> zhoršení situace na Blízkém východě zájezd zrušila a nabídla náhradní cestu ve stejném termínu do Řecka. Protože se změnila lokalita, bylo potřeba aktualizovat i cestovní pojištění. </w:t>
      </w:r>
      <w:r w:rsidRPr="00F55013">
        <w:rPr>
          <w:i/>
          <w:iCs/>
        </w:rPr>
        <w:t xml:space="preserve">Daná rodina tedy </w:t>
      </w:r>
      <w:r w:rsidR="003D3361" w:rsidRPr="00F55013">
        <w:rPr>
          <w:i/>
          <w:iCs/>
        </w:rPr>
        <w:t>původní smlouvu zruši</w:t>
      </w:r>
      <w:r w:rsidRPr="00F55013">
        <w:rPr>
          <w:i/>
          <w:iCs/>
        </w:rPr>
        <w:t xml:space="preserve">la </w:t>
      </w:r>
      <w:r w:rsidR="003D3361" w:rsidRPr="00F55013">
        <w:rPr>
          <w:i/>
          <w:iCs/>
        </w:rPr>
        <w:t>a sjedna</w:t>
      </w:r>
      <w:r w:rsidRPr="00F55013">
        <w:rPr>
          <w:i/>
          <w:iCs/>
        </w:rPr>
        <w:t>la si</w:t>
      </w:r>
      <w:r w:rsidR="003D3361" w:rsidRPr="00F55013">
        <w:rPr>
          <w:i/>
          <w:iCs/>
        </w:rPr>
        <w:t xml:space="preserve"> novou, včetně připojištění storna.</w:t>
      </w:r>
      <w:r w:rsidRPr="00F55013">
        <w:rPr>
          <w:i/>
          <w:iCs/>
        </w:rPr>
        <w:t xml:space="preserve"> </w:t>
      </w:r>
      <w:r w:rsidR="003D3361" w:rsidRPr="00F55013">
        <w:rPr>
          <w:i/>
          <w:iCs/>
        </w:rPr>
        <w:t>Díky tomu, že změna proběhla s dostatečným předstihem, mohla nová pojistka zahrnout i návazné krytí.</w:t>
      </w:r>
      <w:r>
        <w:t xml:space="preserve"> </w:t>
      </w:r>
      <w:r w:rsidR="003D3361" w:rsidRPr="00CF010F">
        <w:rPr>
          <w:i/>
          <w:iCs/>
        </w:rPr>
        <w:t>Aktualizace pojištění online zabere pár minut. Pokud ale pojištění neodpovídá skutečné destinaci, může to být při pojistné události zásadní problém,</w:t>
      </w:r>
      <w:r w:rsidR="003D3361" w:rsidRPr="00061A7B">
        <w:t xml:space="preserve">“ </w:t>
      </w:r>
      <w:r>
        <w:t xml:space="preserve">uvádí </w:t>
      </w:r>
      <w:r w:rsidR="003D3361" w:rsidRPr="00061A7B">
        <w:t>Šultes.</w:t>
      </w:r>
    </w:p>
    <w:p w14:paraId="66764AAD" w14:textId="77777777" w:rsidR="003D3361" w:rsidRPr="00061A7B" w:rsidRDefault="003D3361" w:rsidP="003D3361">
      <w:pPr>
        <w:spacing w:after="160" w:line="278" w:lineRule="auto"/>
        <w:rPr>
          <w:b/>
          <w:bCs/>
        </w:rPr>
      </w:pPr>
      <w:r w:rsidRPr="00061A7B">
        <w:rPr>
          <w:b/>
          <w:bCs/>
        </w:rPr>
        <w:t>7. Nejlevnější varianta nemusí stačit pro každou cestu</w:t>
      </w:r>
    </w:p>
    <w:p w14:paraId="631BAB9B" w14:textId="77777777" w:rsidR="003D3361" w:rsidRPr="00061A7B" w:rsidRDefault="003D3361" w:rsidP="003D3361">
      <w:pPr>
        <w:spacing w:after="160" w:line="278" w:lineRule="auto"/>
      </w:pPr>
      <w:r w:rsidRPr="00061A7B">
        <w:t>Češi jsou zvyklí porovnávat ceny letenek, hotelů a zájezdů. U cestovního pojištění ale často sledují hlavně konečnou cenu a méně už rozsah krytí, limity nebo výluky.</w:t>
      </w:r>
    </w:p>
    <w:p w14:paraId="37935491" w14:textId="77777777" w:rsidR="003D3361" w:rsidRPr="00061A7B" w:rsidRDefault="003D3361" w:rsidP="003D3361">
      <w:pPr>
        <w:spacing w:after="160" w:line="278" w:lineRule="auto"/>
      </w:pPr>
      <w:r w:rsidRPr="00061A7B">
        <w:t>Přitom právě u pojištění může být rozdíl mezi jednotlivými variantami podstatný. Levnější pojistka může být dostačující pro krátkou cestu po Evropě, ale nemusí odpovídat delší, vzdálenější nebo dražší cestě. Jiná rizika řeší víkendový pobyt v evropském městě a jiná několikatýdenní cesta do Latinské Ameriky, USA, Japonska nebo na Aljašku.</w:t>
      </w:r>
    </w:p>
    <w:p w14:paraId="2A2010CD" w14:textId="77777777" w:rsidR="003D3361" w:rsidRPr="00061A7B" w:rsidRDefault="003D3361" w:rsidP="003D3361">
      <w:pPr>
        <w:spacing w:after="160" w:line="278" w:lineRule="auto"/>
      </w:pPr>
      <w:r w:rsidRPr="00061A7B">
        <w:t>Lidé by proto měli porovnávat nejen cenu, ale také limity léčebných výloh, storno, krytí zavazadel, připojištění letecké dopravy, asistenci, výluky a územní platnost.</w:t>
      </w:r>
    </w:p>
    <w:p w14:paraId="2B313EF2" w14:textId="47023519" w:rsidR="003D3361" w:rsidRPr="00061A7B" w:rsidRDefault="003D3361" w:rsidP="003D3361">
      <w:pPr>
        <w:spacing w:after="160" w:line="278" w:lineRule="auto"/>
      </w:pPr>
      <w:r w:rsidRPr="00061A7B">
        <w:t>„</w:t>
      </w:r>
      <w:r w:rsidRPr="00CF010F">
        <w:rPr>
          <w:i/>
          <w:iCs/>
        </w:rPr>
        <w:t xml:space="preserve">Nejde o to vybírat automaticky nejdražší variantu. Jde o to vybrat takové pojištění, které </w:t>
      </w:r>
      <w:r w:rsidR="00C52093">
        <w:rPr>
          <w:i/>
          <w:iCs/>
        </w:rPr>
        <w:t xml:space="preserve">nejlépe odpovídá vašim potřebám a </w:t>
      </w:r>
      <w:r w:rsidRPr="00CF010F">
        <w:rPr>
          <w:i/>
          <w:iCs/>
        </w:rPr>
        <w:t>konkrétní cestě,</w:t>
      </w:r>
      <w:r w:rsidRPr="00061A7B">
        <w:t>“ dodává Šultes.</w:t>
      </w:r>
    </w:p>
    <w:p w14:paraId="1B48A5C7" w14:textId="77777777" w:rsidR="003D3361" w:rsidRPr="00061A7B" w:rsidRDefault="003D3361" w:rsidP="003D3361">
      <w:pPr>
        <w:spacing w:after="160" w:line="278" w:lineRule="auto"/>
        <w:rPr>
          <w:b/>
          <w:bCs/>
        </w:rPr>
      </w:pPr>
      <w:r w:rsidRPr="00061A7B">
        <w:rPr>
          <w:b/>
          <w:bCs/>
        </w:rPr>
        <w:t>Co si ověřit před odjezdem</w:t>
      </w:r>
    </w:p>
    <w:p w14:paraId="4D0C914B" w14:textId="77777777" w:rsidR="003D3361" w:rsidRPr="00061A7B" w:rsidRDefault="003D3361" w:rsidP="003D3361">
      <w:pPr>
        <w:spacing w:after="160" w:line="278" w:lineRule="auto"/>
      </w:pPr>
      <w:r w:rsidRPr="00061A7B">
        <w:t>Před zaplacením dovolené nebo nejpozději před sjednáním pojištění se vyplatí ověřit několik základních věcí: aktuální doporučení pro cílovou destinaci, podmínky storna, územní platnost pojistky, výluky, limity léčebných výloh a to, zda pojištění zahrnuje i komplikace v dopravě.</w:t>
      </w:r>
    </w:p>
    <w:p w14:paraId="762EC774" w14:textId="349E7DE9" w:rsidR="003D3361" w:rsidRPr="00061A7B" w:rsidRDefault="003D3361" w:rsidP="003D3361">
      <w:pPr>
        <w:spacing w:after="160" w:line="278" w:lineRule="auto"/>
      </w:pPr>
      <w:r w:rsidRPr="00061A7B">
        <w:t>Zvlášť důležité je neodkládat sjednání pojištění</w:t>
      </w:r>
      <w:r w:rsidR="00C52093">
        <w:t xml:space="preserve"> až</w:t>
      </w:r>
      <w:r w:rsidRPr="00061A7B">
        <w:t xml:space="preserve"> na poslední chvíli. Pokud má člověk zájem o storno, může být den nebo dva před odjezdem už pozdě.</w:t>
      </w:r>
    </w:p>
    <w:p w14:paraId="17E6B437" w14:textId="39AA4DD9" w:rsidR="003D3361" w:rsidRPr="003D3361" w:rsidRDefault="00C52093" w:rsidP="003D3361">
      <w:pPr>
        <w:tabs>
          <w:tab w:val="left" w:pos="8440"/>
        </w:tabs>
        <w:spacing w:before="100" w:beforeAutospacing="1" w:after="120"/>
        <w:rPr>
          <w:sz w:val="20"/>
          <w:szCs w:val="20"/>
        </w:rPr>
      </w:pPr>
      <w:r w:rsidRPr="00C52093">
        <w:rPr>
          <w:i/>
          <w:iCs/>
        </w:rPr>
        <w:t>„</w:t>
      </w:r>
      <w:r w:rsidR="003D3361" w:rsidRPr="00C52093">
        <w:rPr>
          <w:i/>
          <w:iCs/>
        </w:rPr>
        <w:t>Letošní sezóna tak neznamená, že by lidé měli cestovat méně. Spíš ukazuje, že by měli cestovat informovaněji. Cestovní pojištění má největší smysl tehdy, když odpovídá skutečné cestě, skutečné destinaci a skutečným rizikům. A právě proto by nemělo být poslední formalitou před odjezdem, ale běžnou součástí plánování dovolené</w:t>
      </w:r>
      <w:r w:rsidRPr="00C52093">
        <w:rPr>
          <w:i/>
          <w:iCs/>
        </w:rPr>
        <w:t>,“</w:t>
      </w:r>
      <w:r>
        <w:t xml:space="preserve"> uzavírá Šultes</w:t>
      </w:r>
      <w:r w:rsidR="006F547A">
        <w:t>.</w:t>
      </w:r>
    </w:p>
    <w:p w14:paraId="0CF95C73" w14:textId="067D9C63" w:rsidR="00E267C6" w:rsidRDefault="00E267C6" w:rsidP="00E267C6">
      <w:pPr>
        <w:pStyle w:val="Zkladntext"/>
        <w:spacing w:before="240" w:line="276" w:lineRule="auto"/>
        <w:jc w:val="left"/>
      </w:pPr>
      <w:r>
        <w:br/>
      </w:r>
      <w:r>
        <w:br/>
      </w:r>
      <w:r>
        <w:br/>
      </w:r>
      <w:r w:rsidR="003F092A">
        <w:rPr>
          <w:noProof/>
          <w:lang w:eastAsia="cs-CZ"/>
        </w:rPr>
        <mc:AlternateContent>
          <mc:Choice Requires="wps">
            <w:drawing>
              <wp:anchor distT="0" distB="0" distL="0" distR="0" simplePos="0" relativeHeight="251659264" behindDoc="1" locked="0" layoutInCell="1" allowOverlap="1" wp14:anchorId="5CFC9241" wp14:editId="06388FE5">
                <wp:simplePos x="0" y="0"/>
                <wp:positionH relativeFrom="page">
                  <wp:posOffset>698381</wp:posOffset>
                </wp:positionH>
                <wp:positionV relativeFrom="paragraph">
                  <wp:posOffset>242522</wp:posOffset>
                </wp:positionV>
                <wp:extent cx="1960880" cy="1270"/>
                <wp:effectExtent l="10160" t="12065" r="10160" b="5715"/>
                <wp:wrapTopAndBottom/>
                <wp:docPr id="577979920"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0880" cy="1270"/>
                        </a:xfrm>
                        <a:custGeom>
                          <a:avLst/>
                          <a:gdLst>
                            <a:gd name="T0" fmla="*/ 0 w 1960880"/>
                            <a:gd name="T1" fmla="*/ 0 h 1270"/>
                            <a:gd name="T2" fmla="*/ 1960452 w 1960880"/>
                            <a:gd name="T3" fmla="*/ 0 h 1270"/>
                          </a:gdLst>
                          <a:ahLst/>
                          <a:cxnLst>
                            <a:cxn ang="0">
                              <a:pos x="T0" y="T1"/>
                            </a:cxn>
                            <a:cxn ang="0">
                              <a:pos x="T2" y="T3"/>
                            </a:cxn>
                          </a:cxnLst>
                          <a:rect l="0" t="0" r="r" b="b"/>
                          <a:pathLst>
                            <a:path w="1960880" h="1270">
                              <a:moveTo>
                                <a:pt x="0" y="0"/>
                              </a:moveTo>
                              <a:lnTo>
                                <a:pt x="1960452"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BBEFD" id="Graphic 18" o:spid="_x0000_s1026" style="position:absolute;margin-left:55pt;margin-top:19.1pt;width:154.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6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" path="m,l1960452,e" filled="f" strokeweight=".22817mm">
                <v:path arrowok="t" o:connecttype="custom" o:connectlocs="0,0;1960452,0" o:connectangles="0,0"/>
                <w10:wrap type="topAndBottom" anchorx="page"/>
              </v:shape>
            </w:pict>
          </mc:Fallback>
        </mc:AlternateContent>
      </w:r>
    </w:p>
    <w:p w14:paraId="3AADBF0C" w14:textId="042BE400" w:rsidR="00476614" w:rsidRPr="00A011E4" w:rsidRDefault="00592469" w:rsidP="00E267C6">
      <w:pPr>
        <w:pStyle w:val="Zkladntext"/>
        <w:spacing w:before="240" w:line="276" w:lineRule="auto"/>
        <w:jc w:val="left"/>
      </w:pPr>
      <w:r w:rsidRPr="00592469">
        <w:rPr>
          <w:b/>
          <w:bCs/>
          <w:u w:val="single"/>
        </w:rPr>
        <w:lastRenderedPageBreak/>
        <w:t>Kontakt pro média:</w:t>
      </w:r>
      <w:r>
        <w:rPr>
          <w:b/>
          <w:bCs/>
        </w:rPr>
        <w:br/>
      </w:r>
      <w:r w:rsidR="00476614">
        <w:rPr>
          <w:b/>
          <w:bCs/>
        </w:rPr>
        <w:t>Vladimíra Kolaříková</w:t>
      </w:r>
      <w:r w:rsidR="00476614">
        <w:rPr>
          <w:b/>
          <w:bCs/>
        </w:rPr>
        <w:br/>
      </w:r>
      <w:r w:rsidR="00476614" w:rsidRPr="00A011E4">
        <w:t xml:space="preserve">PR </w:t>
      </w:r>
      <w:r w:rsidR="00476614">
        <w:t>M</w:t>
      </w:r>
      <w:r w:rsidR="00476614" w:rsidRPr="00A011E4">
        <w:t>anager</w:t>
      </w:r>
      <w:r w:rsidR="00476614">
        <w:t>,</w:t>
      </w:r>
      <w:r w:rsidR="00476614" w:rsidRPr="00A011E4">
        <w:t xml:space="preserve"> Skupina Klik.cz</w:t>
      </w:r>
      <w:r w:rsidR="00476614">
        <w:br/>
        <w:t>tel.:</w:t>
      </w:r>
      <w:r w:rsidR="00476614">
        <w:rPr>
          <w:spacing w:val="-5"/>
        </w:rPr>
        <w:t xml:space="preserve"> </w:t>
      </w:r>
      <w:r w:rsidR="00476614">
        <w:t>+420</w:t>
      </w:r>
      <w:r w:rsidR="00476614">
        <w:rPr>
          <w:spacing w:val="-4"/>
        </w:rPr>
        <w:t xml:space="preserve"> </w:t>
      </w:r>
      <w:r w:rsidR="00476614">
        <w:t>602</w:t>
      </w:r>
      <w:r w:rsidR="00476614">
        <w:rPr>
          <w:spacing w:val="-1"/>
        </w:rPr>
        <w:t xml:space="preserve"> </w:t>
      </w:r>
      <w:r w:rsidR="00476614">
        <w:t>408</w:t>
      </w:r>
      <w:r w:rsidR="00476614">
        <w:rPr>
          <w:spacing w:val="-6"/>
        </w:rPr>
        <w:t> </w:t>
      </w:r>
      <w:r w:rsidR="00476614">
        <w:rPr>
          <w:spacing w:val="-5"/>
        </w:rPr>
        <w:t>539</w:t>
      </w:r>
      <w:r w:rsidR="00476614">
        <w:br/>
        <w:t>e-mail:</w:t>
      </w:r>
      <w:r w:rsidR="00476614">
        <w:rPr>
          <w:spacing w:val="-6"/>
        </w:rPr>
        <w:t xml:space="preserve"> </w:t>
      </w:r>
      <w:hyperlink r:id="rId7">
        <w:r w:rsidR="00476614">
          <w:rPr>
            <w:spacing w:val="-2"/>
            <w:u w:val="single"/>
          </w:rPr>
          <w:t>vladimira.kolarikova@klik.cz</w:t>
        </w:r>
      </w:hyperlink>
    </w:p>
    <w:p w14:paraId="368712B7" w14:textId="77777777" w:rsidR="00476614" w:rsidRDefault="00476614" w:rsidP="00476614">
      <w:pPr>
        <w:pStyle w:val="Zkladntext"/>
        <w:spacing w:line="276" w:lineRule="auto"/>
        <w:rPr>
          <w:b/>
          <w:bCs/>
        </w:rPr>
      </w:pPr>
    </w:p>
    <w:p w14:paraId="4AF12E32" w14:textId="77777777" w:rsidR="00476614" w:rsidRPr="00970E6D" w:rsidRDefault="00476614" w:rsidP="00476614">
      <w:pPr>
        <w:pStyle w:val="Zkladntext"/>
        <w:spacing w:line="276" w:lineRule="auto"/>
        <w:rPr>
          <w:b/>
          <w:bCs/>
          <w:szCs w:val="18"/>
        </w:rPr>
      </w:pPr>
      <w:r w:rsidRPr="00970E6D">
        <w:rPr>
          <w:b/>
          <w:bCs/>
          <w:szCs w:val="18"/>
        </w:rPr>
        <w:t>Skupina Klik.cz</w:t>
      </w:r>
    </w:p>
    <w:p w14:paraId="21861E58" w14:textId="77777777" w:rsidR="00476614" w:rsidRPr="00970E6D" w:rsidRDefault="00476614" w:rsidP="00476614">
      <w:pPr>
        <w:pStyle w:val="Zkladntext"/>
        <w:spacing w:before="120" w:line="276" w:lineRule="auto"/>
        <w:rPr>
          <w:szCs w:val="18"/>
        </w:rPr>
      </w:pPr>
      <w:r w:rsidRPr="00970E6D">
        <w:rPr>
          <w:szCs w:val="18"/>
        </w:rPr>
        <w:t>Sdružujeme přední české internetové srovnávače, díky kterým nabízíme poradenství a sjednávání produktů tak, abychom co nejlépe pomohli šetřit rodinné finance. Exkluzivní partnerství se všemi klíčovými finančními institucemi na českém trhu nám umožňuje nabídnout zákazníkům to nejvýhodnější řešení při zřizování povinného ručení, havarijního pojištění, pojištění domácnosti a nemovitosti, cestovního pojištění, životního pojištění, ale i při volbě půjček, hypoték a energií. To vše z</w:t>
      </w:r>
      <w:r>
        <w:rPr>
          <w:szCs w:val="18"/>
        </w:rPr>
        <w:t> </w:t>
      </w:r>
      <w:r w:rsidRPr="00970E6D">
        <w:rPr>
          <w:szCs w:val="18"/>
        </w:rPr>
        <w:t>pohodlí jejich domovů.</w:t>
      </w:r>
    </w:p>
    <w:p w14:paraId="3146C8D9" w14:textId="5220BC20" w:rsidR="00476614" w:rsidRPr="00970E6D" w:rsidRDefault="00476614" w:rsidP="00476614">
      <w:pPr>
        <w:pStyle w:val="Zkladntext"/>
        <w:spacing w:before="120" w:line="264" w:lineRule="auto"/>
        <w:rPr>
          <w:szCs w:val="18"/>
        </w:rPr>
      </w:pPr>
      <w:r w:rsidRPr="00970E6D">
        <w:rPr>
          <w:szCs w:val="18"/>
        </w:rPr>
        <w:t>Naše srovnávače vystupují jako samostatní zprostředkovatelé dle zákona o distribuci pojištění. Řídíme se zákonem o energetice a</w:t>
      </w:r>
      <w:r>
        <w:rPr>
          <w:szCs w:val="18"/>
        </w:rPr>
        <w:t> </w:t>
      </w:r>
      <w:r w:rsidRPr="00970E6D">
        <w:rPr>
          <w:szCs w:val="18"/>
        </w:rPr>
        <w:t>předpisy Energetického regulačního úřadu. Plníme roli objektivního a</w:t>
      </w:r>
      <w:r>
        <w:rPr>
          <w:szCs w:val="18"/>
        </w:rPr>
        <w:t> </w:t>
      </w:r>
      <w:r w:rsidRPr="00970E6D">
        <w:rPr>
          <w:szCs w:val="18"/>
        </w:rPr>
        <w:t>transparentního prostředníka, který je motivován k</w:t>
      </w:r>
      <w:r>
        <w:rPr>
          <w:szCs w:val="18"/>
        </w:rPr>
        <w:t> </w:t>
      </w:r>
      <w:r w:rsidRPr="00970E6D">
        <w:rPr>
          <w:szCs w:val="18"/>
        </w:rPr>
        <w:t>propagaci nejvhodnějšího produktu pro klienta bez ohledu na konečný výběr značky pojišťovny.</w:t>
      </w:r>
    </w:p>
    <w:p w14:paraId="6D4310B3" w14:textId="3B91D3CE" w:rsidR="00667EE5" w:rsidRPr="00667EE5" w:rsidRDefault="00476614" w:rsidP="00C30F1C">
      <w:pPr>
        <w:pStyle w:val="Zkladntext"/>
        <w:spacing w:before="120" w:line="264" w:lineRule="auto"/>
      </w:pPr>
      <w:r w:rsidRPr="00970E6D">
        <w:rPr>
          <w:szCs w:val="18"/>
        </w:rPr>
        <w:t>Součástí Skupiny Klik.cz jsou tyto klíčové srovnávače: Klik.cz, Srovnejto.cz, ePojisteni.cz, Tarifomat a</w:t>
      </w:r>
      <w:r>
        <w:rPr>
          <w:szCs w:val="18"/>
        </w:rPr>
        <w:t> </w:t>
      </w:r>
      <w:r w:rsidRPr="00970E6D">
        <w:rPr>
          <w:szCs w:val="18"/>
        </w:rPr>
        <w:t>Porovnej24.cz. Jsme součástí mezinárodní skupiny Netrisk Group, která kromě Česka provozuje srovnávače v</w:t>
      </w:r>
      <w:r>
        <w:rPr>
          <w:szCs w:val="18"/>
        </w:rPr>
        <w:t> </w:t>
      </w:r>
      <w:r w:rsidRPr="00970E6D">
        <w:rPr>
          <w:szCs w:val="18"/>
        </w:rPr>
        <w:t>dalších pěti evropských zemích</w:t>
      </w:r>
      <w:r>
        <w:rPr>
          <w:szCs w:val="18"/>
        </w:rPr>
        <w:t>:</w:t>
      </w:r>
      <w:r w:rsidRPr="00970E6D">
        <w:rPr>
          <w:szCs w:val="18"/>
        </w:rPr>
        <w:t xml:space="preserve"> na Slovensku, v</w:t>
      </w:r>
      <w:r>
        <w:rPr>
          <w:szCs w:val="18"/>
        </w:rPr>
        <w:t> </w:t>
      </w:r>
      <w:r w:rsidRPr="00970E6D">
        <w:rPr>
          <w:szCs w:val="18"/>
        </w:rPr>
        <w:t>Rakousku, Maďarsku, Polsku a Litvě.</w:t>
      </w:r>
      <w:r w:rsidR="00667EE5">
        <w:tab/>
      </w:r>
    </w:p>
    <w:sectPr w:rsidR="00667EE5" w:rsidRPr="00667EE5" w:rsidSect="005E69BE">
      <w:headerReference w:type="default" r:id="rId8"/>
      <w:footerReference w:type="default" r:id="rId9"/>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67D9C" w14:textId="77777777" w:rsidR="00A747D6" w:rsidRDefault="00A747D6" w:rsidP="005E69BE">
      <w:pPr>
        <w:spacing w:line="240" w:lineRule="auto"/>
      </w:pPr>
      <w:r>
        <w:separator/>
      </w:r>
    </w:p>
  </w:endnote>
  <w:endnote w:type="continuationSeparator" w:id="0">
    <w:p w14:paraId="1A33E119" w14:textId="77777777" w:rsidR="00A747D6" w:rsidRDefault="00A747D6" w:rsidP="005E6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charset w:val="EE"/>
    <w:family w:val="auto"/>
    <w:pitch w:val="variable"/>
    <w:sig w:usb0="00008007" w:usb1="00000000" w:usb2="00000000" w:usb3="00000000" w:csb0="00000093" w:csb1="00000000"/>
  </w:font>
  <w:font w:name="Poppins Bold">
    <w:altName w:val="Poppins"/>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edra Sans Alt Std Light">
    <w:altName w:val="Calibri"/>
    <w:panose1 w:val="00000000000000000000"/>
    <w:charset w:val="00"/>
    <w:family w:val="modern"/>
    <w:notTrueType/>
    <w:pitch w:val="variable"/>
    <w:sig w:usb0="A000003F" w:usb1="5001E4FB" w:usb2="00000000" w:usb3="00000000" w:csb0="00000093" w:csb1="00000000"/>
  </w:font>
  <w:font w:name="Calibri">
    <w:panose1 w:val="020F0502020204030204"/>
    <w:charset w:val="EE"/>
    <w:family w:val="swiss"/>
    <w:pitch w:val="variable"/>
    <w:sig w:usb0="E4002EFF" w:usb1="C200247B" w:usb2="00000009" w:usb3="00000000" w:csb0="000001FF" w:csb1="00000000"/>
  </w:font>
  <w:font w:name="Fedra Sans Alt Std Medium">
    <w:altName w:val="Calibri"/>
    <w:panose1 w:val="00000000000000000000"/>
    <w:charset w:val="00"/>
    <w:family w:val="modern"/>
    <w:notTrueType/>
    <w:pitch w:val="variable"/>
    <w:sig w:usb0="E00002FF" w:usb1="5001E4FB" w:usb2="00000000" w:usb3="00000000" w:csb0="0000019F" w:csb1="00000000"/>
  </w:font>
  <w:font w:name="Quicksand">
    <w:altName w:val="Calibri"/>
    <w:charset w:val="EE"/>
    <w:family w:val="auto"/>
    <w:pitch w:val="variable"/>
    <w:sig w:usb0="2000000F" w:usb1="00000001"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4184" w14:textId="72FCEC31" w:rsidR="009F16E3" w:rsidRPr="009F16E3" w:rsidRDefault="005C02ED" w:rsidP="009F16E3">
    <w:pPr>
      <w:pStyle w:val="Zpat"/>
      <w:jc w:val="center"/>
      <w:rPr>
        <w:sz w:val="16"/>
        <w:szCs w:val="20"/>
      </w:rPr>
    </w:pPr>
    <w:r w:rsidRPr="005C02ED">
      <w:rPr>
        <w:noProof/>
      </w:rPr>
      <w:drawing>
        <wp:anchor distT="0" distB="0" distL="114300" distR="114300" simplePos="0" relativeHeight="251664384" behindDoc="0" locked="0" layoutInCell="1" allowOverlap="1" wp14:anchorId="6BFDF74E" wp14:editId="7813F33E">
          <wp:simplePos x="0" y="0"/>
          <wp:positionH relativeFrom="margin">
            <wp:posOffset>-19050</wp:posOffset>
          </wp:positionH>
          <wp:positionV relativeFrom="paragraph">
            <wp:posOffset>-204899</wp:posOffset>
          </wp:positionV>
          <wp:extent cx="6157722" cy="190445"/>
          <wp:effectExtent l="0" t="0" r="0" b="635"/>
          <wp:wrapNone/>
          <wp:docPr id="128720431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04318" name=""/>
                  <pic:cNvPicPr/>
                </pic:nvPicPr>
                <pic:blipFill>
                  <a:blip r:embed="rId1">
                    <a:extLst>
                      <a:ext uri="{96DAC541-7B7A-43D3-8B79-37D633B846F1}">
                        <asvg:svgBlip xmlns:asvg="http://schemas.microsoft.com/office/drawing/2016/SVG/main" r:embed="rId2"/>
                      </a:ext>
                    </a:extLst>
                  </a:blip>
                  <a:stretch>
                    <a:fillRect/>
                  </a:stretch>
                </pic:blipFill>
                <pic:spPr>
                  <a:xfrm>
                    <a:off x="0" y="0"/>
                    <a:ext cx="6157722" cy="190445"/>
                  </a:xfrm>
                  <a:prstGeom prst="rect">
                    <a:avLst/>
                  </a:prstGeom>
                </pic:spPr>
              </pic:pic>
            </a:graphicData>
          </a:graphic>
          <wp14:sizeRelH relativeFrom="margin">
            <wp14:pctWidth>0</wp14:pctWidth>
          </wp14:sizeRelH>
          <wp14:sizeRelV relativeFrom="margin">
            <wp14:pctHeight>0</wp14:pctHeight>
          </wp14:sizeRelV>
        </wp:anchor>
      </w:drawing>
    </w:r>
    <w:r w:rsidR="009F16E3" w:rsidRPr="009F16E3">
      <w:rPr>
        <w:sz w:val="16"/>
        <w:szCs w:val="20"/>
      </w:rPr>
      <w:t>Rohanské nábřeží 678/29, 186 00 Praha 8 - Karlín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4258A" w14:textId="77777777" w:rsidR="00A747D6" w:rsidRDefault="00A747D6" w:rsidP="005E69BE">
      <w:pPr>
        <w:spacing w:line="240" w:lineRule="auto"/>
      </w:pPr>
      <w:r>
        <w:separator/>
      </w:r>
    </w:p>
  </w:footnote>
  <w:footnote w:type="continuationSeparator" w:id="0">
    <w:p w14:paraId="1F50E629" w14:textId="77777777" w:rsidR="00A747D6" w:rsidRDefault="00A747D6" w:rsidP="005E69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318336367"/>
      <w:docPartObj>
        <w:docPartGallery w:val="Page Numbers (Top of Page)"/>
        <w:docPartUnique/>
      </w:docPartObj>
    </w:sdtPr>
    <w:sdtEndPr/>
    <w:sdtContent>
      <w:p w14:paraId="7DF950EC" w14:textId="368D1022" w:rsidR="002C02E4" w:rsidRPr="005C02ED" w:rsidRDefault="00C61BB3">
        <w:pPr>
          <w:pStyle w:val="Zhlav"/>
          <w:jc w:val="right"/>
          <w:rPr>
            <w:szCs w:val="18"/>
          </w:rPr>
        </w:pPr>
        <w:r w:rsidRPr="005C02ED">
          <w:rPr>
            <w:noProof/>
            <w:szCs w:val="18"/>
          </w:rPr>
          <w:drawing>
            <wp:anchor distT="0" distB="0" distL="114300" distR="114300" simplePos="0" relativeHeight="251663360" behindDoc="0" locked="0" layoutInCell="1" allowOverlap="1" wp14:anchorId="6BA586DA" wp14:editId="24084EB8">
              <wp:simplePos x="0" y="0"/>
              <wp:positionH relativeFrom="column">
                <wp:posOffset>10700</wp:posOffset>
              </wp:positionH>
              <wp:positionV relativeFrom="paragraph">
                <wp:posOffset>194310</wp:posOffset>
              </wp:positionV>
              <wp:extent cx="1490205" cy="184150"/>
              <wp:effectExtent l="0" t="0" r="0" b="6350"/>
              <wp:wrapNone/>
              <wp:docPr id="45326295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295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90205" cy="184150"/>
                      </a:xfrm>
                      <a:prstGeom prst="rect">
                        <a:avLst/>
                      </a:prstGeom>
                    </pic:spPr>
                  </pic:pic>
                </a:graphicData>
              </a:graphic>
              <wp14:sizeRelH relativeFrom="margin">
                <wp14:pctWidth>0</wp14:pctWidth>
              </wp14:sizeRelH>
              <wp14:sizeRelV relativeFrom="margin">
                <wp14:pctHeight>0</wp14:pctHeight>
              </wp14:sizeRelV>
            </wp:anchor>
          </w:drawing>
        </w:r>
      </w:p>
      <w:p w14:paraId="509FE4CA" w14:textId="705CE368" w:rsidR="00862E1A" w:rsidRPr="005C02ED" w:rsidRDefault="00862E1A">
        <w:pPr>
          <w:pStyle w:val="Zhlav"/>
          <w:jc w:val="right"/>
          <w:rPr>
            <w:szCs w:val="18"/>
          </w:rPr>
        </w:pPr>
        <w:r w:rsidRPr="005C02ED">
          <w:rPr>
            <w:szCs w:val="18"/>
          </w:rPr>
          <w:fldChar w:fldCharType="begin"/>
        </w:r>
        <w:r w:rsidRPr="005C02ED">
          <w:rPr>
            <w:szCs w:val="18"/>
          </w:rPr>
          <w:instrText>PAGE</w:instrText>
        </w:r>
        <w:r w:rsidRPr="005C02ED">
          <w:rPr>
            <w:szCs w:val="18"/>
          </w:rPr>
          <w:fldChar w:fldCharType="separate"/>
        </w:r>
        <w:r w:rsidRPr="005C02ED">
          <w:rPr>
            <w:szCs w:val="18"/>
          </w:rPr>
          <w:t>2</w:t>
        </w:r>
        <w:r w:rsidRPr="005C02ED">
          <w:rPr>
            <w:szCs w:val="18"/>
          </w:rPr>
          <w:fldChar w:fldCharType="end"/>
        </w:r>
        <w:r w:rsidRPr="005C02ED">
          <w:rPr>
            <w:color w:val="E5087D"/>
            <w:szCs w:val="18"/>
          </w:rPr>
          <w:t>/</w:t>
        </w:r>
        <w:r w:rsidRPr="005C02ED">
          <w:rPr>
            <w:szCs w:val="18"/>
          </w:rPr>
          <w:fldChar w:fldCharType="begin"/>
        </w:r>
        <w:r w:rsidRPr="005C02ED">
          <w:rPr>
            <w:szCs w:val="18"/>
          </w:rPr>
          <w:instrText>NUMPAGES</w:instrText>
        </w:r>
        <w:r w:rsidRPr="005C02ED">
          <w:rPr>
            <w:szCs w:val="18"/>
          </w:rPr>
          <w:fldChar w:fldCharType="separate"/>
        </w:r>
        <w:r w:rsidRPr="005C02ED">
          <w:rPr>
            <w:szCs w:val="18"/>
          </w:rPr>
          <w:t>2</w:t>
        </w:r>
        <w:r w:rsidRPr="005C02ED">
          <w:rPr>
            <w:szCs w:val="18"/>
          </w:rPr>
          <w:fldChar w:fldCharType="end"/>
        </w:r>
      </w:p>
    </w:sdtContent>
  </w:sdt>
  <w:p w14:paraId="29DBBA6B" w14:textId="03CFDAEB" w:rsidR="005E69BE" w:rsidRPr="005C02ED" w:rsidRDefault="005E69BE">
    <w:pPr>
      <w:pStyle w:val="Zhlav"/>
      <w:rPr>
        <w:sz w:val="2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11C13"/>
    <w:multiLevelType w:val="multilevel"/>
    <w:tmpl w:val="032CFAA6"/>
    <w:lvl w:ilvl="0">
      <w:start w:val="1"/>
      <w:numFmt w:val="decimal"/>
      <w:pStyle w:val="Odrka1"/>
      <w:lvlText w:val="%1."/>
      <w:lvlJc w:val="left"/>
      <w:pPr>
        <w:ind w:left="360" w:hanging="360"/>
      </w:pPr>
      <w:rPr>
        <w:rFonts w:hint="default"/>
        <w:b/>
        <w:bCs/>
        <w:caps w:val="0"/>
        <w:strike w:val="0"/>
        <w:dstrike w:val="0"/>
        <w:color w:val="E5087D"/>
        <w:sz w:val="20"/>
        <w:szCs w:val="20"/>
        <w:vertAlign w:val="baseli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F01D69"/>
    <w:multiLevelType w:val="multilevel"/>
    <w:tmpl w:val="152C7B84"/>
    <w:lvl w:ilvl="0">
      <w:start w:val="1"/>
      <w:numFmt w:val="decimal"/>
      <w:lvlText w:val="%1."/>
      <w:lvlJc w:val="left"/>
      <w:pPr>
        <w:tabs>
          <w:tab w:val="num" w:pos="720"/>
        </w:tabs>
        <w:ind w:left="720" w:hanging="720"/>
      </w:pPr>
    </w:lvl>
    <w:lvl w:ilvl="1">
      <w:start w:val="1"/>
      <w:numFmt w:val="decimal"/>
      <w:pStyle w:val="Odrk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9F11D4"/>
    <w:multiLevelType w:val="hybridMultilevel"/>
    <w:tmpl w:val="6CEE69D4"/>
    <w:lvl w:ilvl="0" w:tplc="5A5874D6">
      <w:start w:val="1"/>
      <w:numFmt w:val="bullet"/>
      <w:lvlText w:val=""/>
      <w:lvlJc w:val="left"/>
      <w:pPr>
        <w:ind w:left="360" w:hanging="360"/>
      </w:pPr>
      <w:rPr>
        <w:rFonts w:ascii="Wingdings" w:hAnsi="Wingdings" w:hint="default"/>
        <w:color w:val="B8A875"/>
        <w:sz w:val="10"/>
      </w:rPr>
    </w:lvl>
    <w:lvl w:ilvl="1" w:tplc="FFFFFFFF" w:tentative="1">
      <w:start w:val="1"/>
      <w:numFmt w:val="bullet"/>
      <w:lvlText w:val="o"/>
      <w:lvlJc w:val="left"/>
      <w:pPr>
        <w:ind w:left="796" w:hanging="360"/>
      </w:pPr>
      <w:rPr>
        <w:rFonts w:ascii="Courier New" w:hAnsi="Courier New" w:cs="Courier New" w:hint="default"/>
      </w:rPr>
    </w:lvl>
    <w:lvl w:ilvl="2" w:tplc="FFFFFFFF" w:tentative="1">
      <w:start w:val="1"/>
      <w:numFmt w:val="bullet"/>
      <w:lvlText w:val=""/>
      <w:lvlJc w:val="left"/>
      <w:pPr>
        <w:ind w:left="1516" w:hanging="360"/>
      </w:pPr>
      <w:rPr>
        <w:rFonts w:ascii="Wingdings" w:hAnsi="Wingdings" w:hint="default"/>
      </w:rPr>
    </w:lvl>
    <w:lvl w:ilvl="3" w:tplc="FFFFFFFF" w:tentative="1">
      <w:start w:val="1"/>
      <w:numFmt w:val="bullet"/>
      <w:lvlText w:val=""/>
      <w:lvlJc w:val="left"/>
      <w:pPr>
        <w:ind w:left="2236" w:hanging="360"/>
      </w:pPr>
      <w:rPr>
        <w:rFonts w:ascii="Symbol" w:hAnsi="Symbol" w:hint="default"/>
      </w:rPr>
    </w:lvl>
    <w:lvl w:ilvl="4" w:tplc="FFFFFFFF" w:tentative="1">
      <w:start w:val="1"/>
      <w:numFmt w:val="bullet"/>
      <w:lvlText w:val="o"/>
      <w:lvlJc w:val="left"/>
      <w:pPr>
        <w:ind w:left="2956" w:hanging="360"/>
      </w:pPr>
      <w:rPr>
        <w:rFonts w:ascii="Courier New" w:hAnsi="Courier New" w:cs="Courier New" w:hint="default"/>
      </w:rPr>
    </w:lvl>
    <w:lvl w:ilvl="5" w:tplc="FFFFFFFF" w:tentative="1">
      <w:start w:val="1"/>
      <w:numFmt w:val="bullet"/>
      <w:lvlText w:val=""/>
      <w:lvlJc w:val="left"/>
      <w:pPr>
        <w:ind w:left="3676" w:hanging="360"/>
      </w:pPr>
      <w:rPr>
        <w:rFonts w:ascii="Wingdings" w:hAnsi="Wingdings" w:hint="default"/>
      </w:rPr>
    </w:lvl>
    <w:lvl w:ilvl="6" w:tplc="FFFFFFFF" w:tentative="1">
      <w:start w:val="1"/>
      <w:numFmt w:val="bullet"/>
      <w:lvlText w:val=""/>
      <w:lvlJc w:val="left"/>
      <w:pPr>
        <w:ind w:left="4396" w:hanging="360"/>
      </w:pPr>
      <w:rPr>
        <w:rFonts w:ascii="Symbol" w:hAnsi="Symbol" w:hint="default"/>
      </w:rPr>
    </w:lvl>
    <w:lvl w:ilvl="7" w:tplc="FFFFFFFF" w:tentative="1">
      <w:start w:val="1"/>
      <w:numFmt w:val="bullet"/>
      <w:lvlText w:val="o"/>
      <w:lvlJc w:val="left"/>
      <w:pPr>
        <w:ind w:left="5116" w:hanging="360"/>
      </w:pPr>
      <w:rPr>
        <w:rFonts w:ascii="Courier New" w:hAnsi="Courier New" w:cs="Courier New" w:hint="default"/>
      </w:rPr>
    </w:lvl>
    <w:lvl w:ilvl="8" w:tplc="FFFFFFFF" w:tentative="1">
      <w:start w:val="1"/>
      <w:numFmt w:val="bullet"/>
      <w:lvlText w:val=""/>
      <w:lvlJc w:val="left"/>
      <w:pPr>
        <w:ind w:left="5836" w:hanging="360"/>
      </w:pPr>
      <w:rPr>
        <w:rFonts w:ascii="Wingdings" w:hAnsi="Wingdings" w:hint="default"/>
      </w:rPr>
    </w:lvl>
  </w:abstractNum>
  <w:abstractNum w:abstractNumId="3" w15:restartNumberingAfterBreak="0">
    <w:nsid w:val="6B072B96"/>
    <w:multiLevelType w:val="multilevel"/>
    <w:tmpl w:val="820A2B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140664">
    <w:abstractNumId w:val="2"/>
  </w:num>
  <w:num w:numId="2" w16cid:durableId="229508072">
    <w:abstractNumId w:val="0"/>
  </w:num>
  <w:num w:numId="3" w16cid:durableId="1338994047">
    <w:abstractNumId w:val="3"/>
  </w:num>
  <w:num w:numId="4" w16cid:durableId="1826235833">
    <w:abstractNumId w:val="1"/>
  </w:num>
  <w:num w:numId="5" w16cid:durableId="41675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BE"/>
    <w:rsid w:val="00005889"/>
    <w:rsid w:val="00012325"/>
    <w:rsid w:val="0001378D"/>
    <w:rsid w:val="00014FE6"/>
    <w:rsid w:val="00024B7C"/>
    <w:rsid w:val="000727FA"/>
    <w:rsid w:val="000B5210"/>
    <w:rsid w:val="000D638B"/>
    <w:rsid w:val="000F2FAD"/>
    <w:rsid w:val="000F312C"/>
    <w:rsid w:val="000F3CBF"/>
    <w:rsid w:val="000F566A"/>
    <w:rsid w:val="00102822"/>
    <w:rsid w:val="00124D95"/>
    <w:rsid w:val="00136C71"/>
    <w:rsid w:val="00141E8C"/>
    <w:rsid w:val="00150989"/>
    <w:rsid w:val="00153EA4"/>
    <w:rsid w:val="00154C0B"/>
    <w:rsid w:val="00183791"/>
    <w:rsid w:val="00184EC9"/>
    <w:rsid w:val="001D498C"/>
    <w:rsid w:val="001D63B2"/>
    <w:rsid w:val="001E53B3"/>
    <w:rsid w:val="001F379C"/>
    <w:rsid w:val="001F3C9D"/>
    <w:rsid w:val="001F6F3D"/>
    <w:rsid w:val="00221B15"/>
    <w:rsid w:val="002263AE"/>
    <w:rsid w:val="0023452C"/>
    <w:rsid w:val="00237E61"/>
    <w:rsid w:val="00243B93"/>
    <w:rsid w:val="00254AD9"/>
    <w:rsid w:val="0025681B"/>
    <w:rsid w:val="002616EA"/>
    <w:rsid w:val="00264EFD"/>
    <w:rsid w:val="00266E8A"/>
    <w:rsid w:val="002746E9"/>
    <w:rsid w:val="00277A2B"/>
    <w:rsid w:val="0029306C"/>
    <w:rsid w:val="002B48FB"/>
    <w:rsid w:val="002C02E4"/>
    <w:rsid w:val="002C0B40"/>
    <w:rsid w:val="002C39AB"/>
    <w:rsid w:val="002D0EF0"/>
    <w:rsid w:val="002D4DF8"/>
    <w:rsid w:val="002D75C4"/>
    <w:rsid w:val="002F07ED"/>
    <w:rsid w:val="002F1D20"/>
    <w:rsid w:val="00352F3E"/>
    <w:rsid w:val="003642DB"/>
    <w:rsid w:val="0037378C"/>
    <w:rsid w:val="0037528B"/>
    <w:rsid w:val="00384513"/>
    <w:rsid w:val="00397EA4"/>
    <w:rsid w:val="003A6678"/>
    <w:rsid w:val="003B2065"/>
    <w:rsid w:val="003B3DBC"/>
    <w:rsid w:val="003B50D5"/>
    <w:rsid w:val="003C5CA3"/>
    <w:rsid w:val="003D0CFC"/>
    <w:rsid w:val="003D3361"/>
    <w:rsid w:val="003D4504"/>
    <w:rsid w:val="003D6864"/>
    <w:rsid w:val="003E5D8D"/>
    <w:rsid w:val="003F00EF"/>
    <w:rsid w:val="003F092A"/>
    <w:rsid w:val="004354CE"/>
    <w:rsid w:val="004500AC"/>
    <w:rsid w:val="00453087"/>
    <w:rsid w:val="004649A8"/>
    <w:rsid w:val="00476614"/>
    <w:rsid w:val="00480A3E"/>
    <w:rsid w:val="004A025C"/>
    <w:rsid w:val="004A5D93"/>
    <w:rsid w:val="004B602B"/>
    <w:rsid w:val="004B6AB1"/>
    <w:rsid w:val="004C201A"/>
    <w:rsid w:val="004D1F7F"/>
    <w:rsid w:val="004E38AD"/>
    <w:rsid w:val="004E5842"/>
    <w:rsid w:val="004E63FA"/>
    <w:rsid w:val="00521F96"/>
    <w:rsid w:val="005317AB"/>
    <w:rsid w:val="005426F0"/>
    <w:rsid w:val="0055296C"/>
    <w:rsid w:val="00554509"/>
    <w:rsid w:val="00563969"/>
    <w:rsid w:val="00564F72"/>
    <w:rsid w:val="00577C4F"/>
    <w:rsid w:val="0058172B"/>
    <w:rsid w:val="00584CB1"/>
    <w:rsid w:val="005851A3"/>
    <w:rsid w:val="00586BDF"/>
    <w:rsid w:val="00592469"/>
    <w:rsid w:val="005A2E02"/>
    <w:rsid w:val="005C02ED"/>
    <w:rsid w:val="005D45E6"/>
    <w:rsid w:val="005E69BE"/>
    <w:rsid w:val="005F2A31"/>
    <w:rsid w:val="005F6445"/>
    <w:rsid w:val="006075DC"/>
    <w:rsid w:val="0061046D"/>
    <w:rsid w:val="00615CD9"/>
    <w:rsid w:val="00615FB3"/>
    <w:rsid w:val="00623D4C"/>
    <w:rsid w:val="0062767F"/>
    <w:rsid w:val="00641C4C"/>
    <w:rsid w:val="00662AE2"/>
    <w:rsid w:val="00667EE5"/>
    <w:rsid w:val="006714D6"/>
    <w:rsid w:val="00673F12"/>
    <w:rsid w:val="00673F61"/>
    <w:rsid w:val="00686EC2"/>
    <w:rsid w:val="00691111"/>
    <w:rsid w:val="006976B0"/>
    <w:rsid w:val="006B22F0"/>
    <w:rsid w:val="006D6EC5"/>
    <w:rsid w:val="006F547A"/>
    <w:rsid w:val="006F7955"/>
    <w:rsid w:val="00706951"/>
    <w:rsid w:val="00707657"/>
    <w:rsid w:val="00707DDA"/>
    <w:rsid w:val="0071371F"/>
    <w:rsid w:val="00727CC8"/>
    <w:rsid w:val="00735552"/>
    <w:rsid w:val="007763FC"/>
    <w:rsid w:val="007827A5"/>
    <w:rsid w:val="0079134B"/>
    <w:rsid w:val="007A168F"/>
    <w:rsid w:val="007B4565"/>
    <w:rsid w:val="007C0DD5"/>
    <w:rsid w:val="007D0BCB"/>
    <w:rsid w:val="007E10D7"/>
    <w:rsid w:val="007E5663"/>
    <w:rsid w:val="0080431D"/>
    <w:rsid w:val="0080699E"/>
    <w:rsid w:val="00817FBE"/>
    <w:rsid w:val="00836E9F"/>
    <w:rsid w:val="00844D51"/>
    <w:rsid w:val="00862E1A"/>
    <w:rsid w:val="00870AF4"/>
    <w:rsid w:val="00877505"/>
    <w:rsid w:val="008825CB"/>
    <w:rsid w:val="00890436"/>
    <w:rsid w:val="00895EB1"/>
    <w:rsid w:val="008A3532"/>
    <w:rsid w:val="008D0865"/>
    <w:rsid w:val="008E0B2E"/>
    <w:rsid w:val="008F49CD"/>
    <w:rsid w:val="00914398"/>
    <w:rsid w:val="009665AD"/>
    <w:rsid w:val="00971B8F"/>
    <w:rsid w:val="00974974"/>
    <w:rsid w:val="00985BC7"/>
    <w:rsid w:val="00987ACC"/>
    <w:rsid w:val="0099599E"/>
    <w:rsid w:val="009A0639"/>
    <w:rsid w:val="009A5269"/>
    <w:rsid w:val="009B66E9"/>
    <w:rsid w:val="009D7975"/>
    <w:rsid w:val="009D79FE"/>
    <w:rsid w:val="009D7BD2"/>
    <w:rsid w:val="009E2C41"/>
    <w:rsid w:val="009F16E3"/>
    <w:rsid w:val="009F6EE2"/>
    <w:rsid w:val="00A07DF6"/>
    <w:rsid w:val="00A12BB3"/>
    <w:rsid w:val="00A20BA6"/>
    <w:rsid w:val="00A23506"/>
    <w:rsid w:val="00A444B9"/>
    <w:rsid w:val="00A63241"/>
    <w:rsid w:val="00A66334"/>
    <w:rsid w:val="00A6791F"/>
    <w:rsid w:val="00A72B6E"/>
    <w:rsid w:val="00A72CD5"/>
    <w:rsid w:val="00A747D6"/>
    <w:rsid w:val="00A76B8A"/>
    <w:rsid w:val="00AC4F16"/>
    <w:rsid w:val="00AD162F"/>
    <w:rsid w:val="00AE120D"/>
    <w:rsid w:val="00AE5323"/>
    <w:rsid w:val="00AF7387"/>
    <w:rsid w:val="00B00BED"/>
    <w:rsid w:val="00B063DD"/>
    <w:rsid w:val="00B21FE1"/>
    <w:rsid w:val="00B431BF"/>
    <w:rsid w:val="00B75F88"/>
    <w:rsid w:val="00B80DA2"/>
    <w:rsid w:val="00BA12AA"/>
    <w:rsid w:val="00BA260C"/>
    <w:rsid w:val="00BC6523"/>
    <w:rsid w:val="00BC66FA"/>
    <w:rsid w:val="00BC7B01"/>
    <w:rsid w:val="00BD4306"/>
    <w:rsid w:val="00BE5BBB"/>
    <w:rsid w:val="00BF51D2"/>
    <w:rsid w:val="00C2483C"/>
    <w:rsid w:val="00C2676B"/>
    <w:rsid w:val="00C27D3E"/>
    <w:rsid w:val="00C30F1C"/>
    <w:rsid w:val="00C33A41"/>
    <w:rsid w:val="00C429F9"/>
    <w:rsid w:val="00C43721"/>
    <w:rsid w:val="00C4690F"/>
    <w:rsid w:val="00C52093"/>
    <w:rsid w:val="00C52A49"/>
    <w:rsid w:val="00C600A6"/>
    <w:rsid w:val="00C61BB3"/>
    <w:rsid w:val="00C62CE4"/>
    <w:rsid w:val="00CA68FE"/>
    <w:rsid w:val="00CB39D8"/>
    <w:rsid w:val="00CC1FDF"/>
    <w:rsid w:val="00CD375E"/>
    <w:rsid w:val="00CE50B6"/>
    <w:rsid w:val="00CF43AA"/>
    <w:rsid w:val="00CF475A"/>
    <w:rsid w:val="00D00F18"/>
    <w:rsid w:val="00D01A60"/>
    <w:rsid w:val="00D05DE1"/>
    <w:rsid w:val="00D10236"/>
    <w:rsid w:val="00D123A7"/>
    <w:rsid w:val="00D43CE8"/>
    <w:rsid w:val="00D57F02"/>
    <w:rsid w:val="00D63B2A"/>
    <w:rsid w:val="00D81F44"/>
    <w:rsid w:val="00D87995"/>
    <w:rsid w:val="00D94210"/>
    <w:rsid w:val="00DB6325"/>
    <w:rsid w:val="00DC552D"/>
    <w:rsid w:val="00DD244B"/>
    <w:rsid w:val="00DE1593"/>
    <w:rsid w:val="00DE75D0"/>
    <w:rsid w:val="00E0582C"/>
    <w:rsid w:val="00E060E6"/>
    <w:rsid w:val="00E267C6"/>
    <w:rsid w:val="00E30557"/>
    <w:rsid w:val="00E54129"/>
    <w:rsid w:val="00E6213C"/>
    <w:rsid w:val="00E64602"/>
    <w:rsid w:val="00E876C9"/>
    <w:rsid w:val="00EA0801"/>
    <w:rsid w:val="00EA5FED"/>
    <w:rsid w:val="00EA7D0D"/>
    <w:rsid w:val="00EB4773"/>
    <w:rsid w:val="00EC173C"/>
    <w:rsid w:val="00EC29AA"/>
    <w:rsid w:val="00EC7498"/>
    <w:rsid w:val="00EF3907"/>
    <w:rsid w:val="00F05BD1"/>
    <w:rsid w:val="00F10FA8"/>
    <w:rsid w:val="00F1232F"/>
    <w:rsid w:val="00F30238"/>
    <w:rsid w:val="00F36F3C"/>
    <w:rsid w:val="00F37CA4"/>
    <w:rsid w:val="00F40DDD"/>
    <w:rsid w:val="00F416B3"/>
    <w:rsid w:val="00F53639"/>
    <w:rsid w:val="00F55013"/>
    <w:rsid w:val="00F6009F"/>
    <w:rsid w:val="00F6515F"/>
    <w:rsid w:val="00F7548A"/>
    <w:rsid w:val="00F755DA"/>
    <w:rsid w:val="00F75B96"/>
    <w:rsid w:val="00F773DE"/>
    <w:rsid w:val="00F818B3"/>
    <w:rsid w:val="00F94AF7"/>
    <w:rsid w:val="00F9758D"/>
    <w:rsid w:val="00FA18A5"/>
    <w:rsid w:val="00FB1628"/>
    <w:rsid w:val="00FC0035"/>
    <w:rsid w:val="00FD5810"/>
    <w:rsid w:val="00FE24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6DD4E"/>
  <w15:chartTrackingRefBased/>
  <w15:docId w15:val="{71611C4C-38E9-4F4C-B56B-087F9E09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6E3"/>
    <w:pPr>
      <w:spacing w:line="320" w:lineRule="exact"/>
      <w:jc w:val="both"/>
    </w:pPr>
    <w:rPr>
      <w:rFonts w:ascii="Poppins" w:hAnsi="Poppins"/>
      <w:color w:val="3F3F3F"/>
      <w:kern w:val="0"/>
      <w:sz w:val="18"/>
    </w:rPr>
  </w:style>
  <w:style w:type="paragraph" w:styleId="Nadpis1">
    <w:name w:val="heading 1"/>
    <w:link w:val="Nadpis1Char"/>
    <w:uiPriority w:val="9"/>
    <w:qFormat/>
    <w:rsid w:val="009F16E3"/>
    <w:pPr>
      <w:keepNext/>
      <w:keepLines/>
      <w:spacing w:before="200" w:after="100"/>
      <w:contextualSpacing/>
      <w:outlineLvl w:val="0"/>
    </w:pPr>
    <w:rPr>
      <w:rFonts w:ascii="Poppins Bold" w:eastAsiaTheme="majorEastAsia" w:hAnsi="Poppins Bold" w:cstheme="majorBidi"/>
      <w:color w:val="000000" w:themeColor="text1"/>
      <w:sz w:val="32"/>
      <w:szCs w:val="40"/>
    </w:rPr>
  </w:style>
  <w:style w:type="paragraph" w:styleId="Nadpis2">
    <w:name w:val="heading 2"/>
    <w:basedOn w:val="Nadpis1"/>
    <w:next w:val="Normln"/>
    <w:link w:val="Nadpis2Char"/>
    <w:uiPriority w:val="9"/>
    <w:unhideWhenUsed/>
    <w:qFormat/>
    <w:rsid w:val="002C02E4"/>
    <w:pPr>
      <w:spacing w:after="0"/>
      <w:outlineLvl w:val="1"/>
    </w:pPr>
    <w:rPr>
      <w:sz w:val="24"/>
      <w:szCs w:val="32"/>
    </w:rPr>
  </w:style>
  <w:style w:type="paragraph" w:styleId="Nadpis3">
    <w:name w:val="heading 3"/>
    <w:basedOn w:val="Normln"/>
    <w:next w:val="Normln"/>
    <w:link w:val="Nadpis3Char"/>
    <w:uiPriority w:val="9"/>
    <w:semiHidden/>
    <w:unhideWhenUsed/>
    <w:rsid w:val="005E69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E69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E69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E69B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E69B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E69B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E69B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ulka">
    <w:name w:val="Tabulka"/>
    <w:basedOn w:val="Normlntabulka"/>
    <w:uiPriority w:val="99"/>
    <w:rsid w:val="00BC66FA"/>
    <w:rPr>
      <w:rFonts w:ascii="Calibri Light" w:hAnsi="Calibri Light"/>
      <w:kern w:val="0"/>
      <w:sz w:val="16"/>
      <w:lang w:val="en-US"/>
      <w14:ligatures w14:val="none"/>
    </w:rPr>
    <w:tblPr>
      <w:tblStyleRowBandSize w:val="1"/>
      <w:tblStyleColBandSize w:val="1"/>
      <w:jc w:val="center"/>
      <w:tblBorders>
        <w:bottom w:val="single" w:sz="8" w:space="0" w:color="B8A875"/>
      </w:tblBorders>
    </w:tblPr>
    <w:trPr>
      <w:jc w:val="center"/>
    </w:trPr>
    <w:tcPr>
      <w:shd w:val="clear" w:color="auto" w:fill="auto"/>
      <w:vAlign w:val="center"/>
    </w:tcPr>
    <w:tblStylePr w:type="firstRow">
      <w:rPr>
        <w:rFonts w:ascii="Calibri Light" w:hAnsi="Calibri Light"/>
        <w:b/>
        <w:color w:val="FFFFFF" w:themeColor="background1"/>
        <w:sz w:val="16"/>
      </w:rPr>
      <w:tblPr/>
      <w:tcPr>
        <w:shd w:val="clear" w:color="auto" w:fill="B8A875"/>
      </w:tcPr>
    </w:tblStylePr>
    <w:tblStylePr w:type="lastRow">
      <w:tblPr/>
      <w:tcPr>
        <w:shd w:val="clear" w:color="auto" w:fill="auto"/>
      </w:tcPr>
    </w:tblStylePr>
    <w:tblStylePr w:type="firstCol">
      <w:tblPr/>
      <w:tcPr>
        <w:shd w:val="clear" w:color="auto" w:fill="auto"/>
      </w:tcPr>
    </w:tblStylePr>
    <w:tblStylePr w:type="lastCol">
      <w:tblPr/>
      <w:tcPr>
        <w:shd w:val="clear" w:color="auto" w:fill="auto"/>
      </w:tcPr>
    </w:tblStylePr>
  </w:style>
  <w:style w:type="table" w:customStyle="1" w:styleId="TabulkaJTBanka">
    <w:name w:val="Tabulka J&amp;T Banka"/>
    <w:basedOn w:val="Normlntabulka"/>
    <w:uiPriority w:val="99"/>
    <w:rsid w:val="004B6AB1"/>
    <w:rPr>
      <w:rFonts w:ascii="Calibri Light" w:hAnsi="Calibri Light"/>
      <w:kern w:val="0"/>
      <w:sz w:val="16"/>
      <w:lang w:val="en-US"/>
      <w14:ligatures w14:val="none"/>
    </w:rPr>
    <w:tblPr>
      <w:tblStyleRowBandSize w:val="1"/>
      <w:tblStyleColBandSize w:val="1"/>
      <w:jc w:val="center"/>
    </w:tblPr>
    <w:trPr>
      <w:jc w:val="center"/>
    </w:trPr>
    <w:tcPr>
      <w:shd w:val="clear" w:color="auto" w:fill="auto"/>
      <w:vAlign w:val="center"/>
    </w:tcPr>
    <w:tblStylePr w:type="firstRow">
      <w:rPr>
        <w:rFonts w:ascii="Calibri Light" w:hAnsi="Calibri Light"/>
        <w:b/>
        <w:color w:val="FFFFFF" w:themeColor="background1"/>
        <w:sz w:val="18"/>
      </w:rPr>
      <w:tblPr/>
      <w:tcPr>
        <w:tcBorders>
          <w:top w:val="nil"/>
          <w:left w:val="nil"/>
          <w:bottom w:val="nil"/>
          <w:right w:val="nil"/>
          <w:insideH w:val="nil"/>
          <w:insideV w:val="nil"/>
          <w:tl2br w:val="nil"/>
          <w:tr2bl w:val="nil"/>
        </w:tcBorders>
        <w:shd w:val="clear" w:color="auto" w:fill="B8A875"/>
      </w:tcPr>
    </w:tblStylePr>
    <w:tblStylePr w:type="lastRow">
      <w:pPr>
        <w:jc w:val="left"/>
      </w:pPr>
      <w:rPr>
        <w:rFonts w:ascii="Calibri Light" w:hAnsi="Calibri Light"/>
        <w:sz w:val="16"/>
      </w:rPr>
      <w:tblPr/>
      <w:tcPr>
        <w:tcBorders>
          <w:top w:val="nil"/>
          <w:left w:val="nil"/>
          <w:bottom w:val="single" w:sz="8" w:space="0" w:color="156082" w:themeColor="accent1"/>
          <w:right w:val="nil"/>
          <w:insideH w:val="nil"/>
          <w:insideV w:val="nil"/>
          <w:tl2br w:val="nil"/>
          <w:tr2bl w:val="nil"/>
        </w:tcBorders>
        <w:shd w:val="clear" w:color="auto" w:fill="auto"/>
      </w:tcPr>
    </w:tblStylePr>
    <w:tblStylePr w:type="firstCol">
      <w:tblPr/>
      <w:tcPr>
        <w:shd w:val="clear" w:color="auto" w:fill="FFFFFF" w:themeFill="background1"/>
      </w:tcPr>
    </w:tblStylePr>
    <w:tblStylePr w:type="lastCol">
      <w:tblPr/>
      <w:tcPr>
        <w:shd w:val="clear" w:color="auto" w:fill="C1E4F5" w:themeFill="accent1" w:themeFillTint="33"/>
      </w:tcPr>
    </w:tblStylePr>
    <w:tblStylePr w:type="band1Horz">
      <w:pPr>
        <w:jc w:val="left"/>
      </w:pPr>
      <w:tblPr/>
      <w:tcPr>
        <w:shd w:val="clear" w:color="auto" w:fill="FFFFFF" w:themeFill="background1"/>
      </w:tcPr>
    </w:tblStylePr>
    <w:tblStylePr w:type="band2Horz">
      <w:tblPr/>
      <w:tcPr>
        <w:shd w:val="clear" w:color="auto" w:fill="C1E4F5" w:themeFill="accent1" w:themeFillTint="33"/>
      </w:tcPr>
    </w:tblStylePr>
  </w:style>
  <w:style w:type="table" w:styleId="Tabulkasmkou4zvraznn1">
    <w:name w:val="Grid Table 4 Accent 1"/>
    <w:aliases w:val="J&amp;T Banka"/>
    <w:basedOn w:val="Normlntabulka"/>
    <w:uiPriority w:val="99"/>
    <w:rsid w:val="00C27D3E"/>
    <w:rPr>
      <w:rFonts w:ascii="Calibri Light" w:hAnsi="Calibri Light"/>
      <w:kern w:val="0"/>
      <w:sz w:val="18"/>
      <w:lang w:val="en-US"/>
      <w14:ligatures w14:val="none"/>
    </w:rPr>
    <w:tblPr>
      <w:tblStyleRowBandSize w:val="1"/>
      <w:tblStyleCol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cPr>
      <w:shd w:val="clear" w:color="auto" w:fill="DFDBCD"/>
      <w:vAlign w:val="center"/>
    </w:tcPr>
    <w:tblStylePr w:type="firstRow">
      <w:pPr>
        <w:jc w:val="left"/>
      </w:pPr>
      <w:rPr>
        <w:rFonts w:ascii="Calibri Light" w:hAnsi="Calibri Light"/>
        <w:b/>
        <w:color w:val="FFFFFF" w:themeColor="background1"/>
        <w:sz w:val="18"/>
      </w:rPr>
      <w:tblPr/>
      <w:tcPr>
        <w:shd w:val="clear" w:color="auto" w:fill="005F55"/>
      </w:tcPr>
    </w:tblStylePr>
    <w:tblStylePr w:type="lastRow">
      <w:pPr>
        <w:jc w:val="left"/>
      </w:pPr>
      <w:rPr>
        <w:rFonts w:ascii="Calibri Light" w:hAnsi="Calibri Light"/>
        <w:sz w:val="16"/>
      </w:rPr>
    </w:tblStylePr>
    <w:tblStylePr w:type="band1Horz">
      <w:pPr>
        <w:jc w:val="left"/>
      </w:pPr>
      <w:tblPr/>
      <w:tcPr>
        <w:shd w:val="clear" w:color="auto" w:fill="FFFFFF" w:themeFill="background1"/>
      </w:tcPr>
    </w:tblStylePr>
    <w:tblStylePr w:type="band2Horz">
      <w:pPr>
        <w:jc w:val="left"/>
      </w:pPr>
      <w:tblPr/>
      <w:tcPr>
        <w:shd w:val="clear" w:color="auto" w:fill="DFDBCD"/>
      </w:tcPr>
    </w:tblStylePr>
  </w:style>
  <w:style w:type="table" w:customStyle="1" w:styleId="JTBANKA">
    <w:name w:val="J&amp;T BANKA"/>
    <w:basedOn w:val="Normlntabulka"/>
    <w:uiPriority w:val="99"/>
    <w:rsid w:val="00577C4F"/>
    <w:rPr>
      <w:rFonts w:ascii="Calibri Light" w:hAnsi="Calibri Light"/>
      <w:kern w:val="0"/>
      <w:sz w:val="16"/>
      <w:lang w:val="en-US"/>
      <w14:ligatures w14:val="none"/>
    </w:rPr>
    <w:tblPr/>
    <w:tblStylePr w:type="firstRow">
      <w:rPr>
        <w:rFonts w:ascii="Calibri Light" w:hAnsi="Calibri Light"/>
        <w:b/>
        <w:color w:val="FFFFFF" w:themeColor="background1"/>
        <w:sz w:val="16"/>
      </w:rPr>
      <w:tblPr/>
      <w:trPr>
        <w:cantSplit/>
      </w:trPr>
      <w:tcPr>
        <w:shd w:val="clear" w:color="auto" w:fill="156082" w:themeFill="accent1"/>
        <w:vAlign w:val="center"/>
      </w:tcPr>
    </w:tblStylePr>
  </w:style>
  <w:style w:type="paragraph" w:customStyle="1" w:styleId="Odrka1">
    <w:name w:val="Odrážka 1"/>
    <w:link w:val="Odrka1Char"/>
    <w:autoRedefine/>
    <w:qFormat/>
    <w:rsid w:val="004354CE"/>
    <w:pPr>
      <w:widowControl w:val="0"/>
      <w:numPr>
        <w:numId w:val="2"/>
      </w:numPr>
      <w:tabs>
        <w:tab w:val="left" w:pos="284"/>
      </w:tabs>
      <w:autoSpaceDE w:val="0"/>
      <w:autoSpaceDN w:val="0"/>
      <w:spacing w:line="300" w:lineRule="exact"/>
    </w:pPr>
    <w:rPr>
      <w:rFonts w:ascii="Poppins" w:hAnsi="Poppins" w:cs="Calibri Light"/>
      <w:b/>
      <w:bCs/>
      <w:kern w:val="0"/>
      <w:sz w:val="18"/>
    </w:rPr>
  </w:style>
  <w:style w:type="character" w:customStyle="1" w:styleId="Odrka1Char">
    <w:name w:val="Odrážka 1 Char"/>
    <w:basedOn w:val="Standardnpsmoodstavce"/>
    <w:link w:val="Odrka1"/>
    <w:rsid w:val="004354CE"/>
    <w:rPr>
      <w:rFonts w:ascii="Poppins" w:hAnsi="Poppins" w:cs="Calibri Light"/>
      <w:b/>
      <w:bCs/>
      <w:kern w:val="0"/>
      <w:sz w:val="18"/>
    </w:rPr>
  </w:style>
  <w:style w:type="paragraph" w:customStyle="1" w:styleId="Odrka3">
    <w:name w:val="Odrážka 3"/>
    <w:basedOn w:val="Zkladntext"/>
    <w:link w:val="Odrka3Char"/>
    <w:rsid w:val="00CD375E"/>
    <w:pPr>
      <w:widowControl w:val="0"/>
      <w:numPr>
        <w:ilvl w:val="1"/>
        <w:numId w:val="4"/>
      </w:numPr>
      <w:autoSpaceDE w:val="0"/>
      <w:autoSpaceDN w:val="0"/>
      <w:spacing w:before="60" w:after="60"/>
      <w:ind w:left="454" w:hanging="454"/>
    </w:pPr>
    <w:rPr>
      <w:rFonts w:ascii="Calibri Light" w:eastAsia="Fedra Sans Alt Std Light" w:hAnsi="Calibri Light" w:cs="Fedra Sans Alt Std Light"/>
      <w:szCs w:val="18"/>
      <w:u w:color="000000"/>
    </w:rPr>
  </w:style>
  <w:style w:type="character" w:customStyle="1" w:styleId="Odrka3Char">
    <w:name w:val="Odrážka 3 Char"/>
    <w:basedOn w:val="ZkladntextChar"/>
    <w:link w:val="Odrka3"/>
    <w:rsid w:val="00CD375E"/>
    <w:rPr>
      <w:rFonts w:ascii="Calibri Light" w:eastAsia="Fedra Sans Alt Std Light" w:hAnsi="Calibri Light" w:cs="Fedra Sans Alt Std Light"/>
      <w:sz w:val="18"/>
      <w:szCs w:val="18"/>
      <w:u w:color="000000"/>
    </w:rPr>
  </w:style>
  <w:style w:type="paragraph" w:styleId="Zkladntext">
    <w:name w:val="Body Text"/>
    <w:basedOn w:val="Normln"/>
    <w:link w:val="ZkladntextChar"/>
    <w:uiPriority w:val="99"/>
    <w:unhideWhenUsed/>
    <w:rsid w:val="00CD375E"/>
    <w:pPr>
      <w:spacing w:after="120"/>
    </w:pPr>
  </w:style>
  <w:style w:type="character" w:customStyle="1" w:styleId="ZkladntextChar">
    <w:name w:val="Základní text Char"/>
    <w:basedOn w:val="Standardnpsmoodstavce"/>
    <w:link w:val="Zkladntext"/>
    <w:uiPriority w:val="99"/>
    <w:rsid w:val="00CD375E"/>
  </w:style>
  <w:style w:type="paragraph" w:styleId="Nzev">
    <w:name w:val="Title"/>
    <w:basedOn w:val="Normln"/>
    <w:link w:val="NzevChar"/>
    <w:autoRedefine/>
    <w:uiPriority w:val="27"/>
    <w:rsid w:val="00CB39D8"/>
    <w:pPr>
      <w:widowControl w:val="0"/>
      <w:autoSpaceDE w:val="0"/>
      <w:autoSpaceDN w:val="0"/>
      <w:spacing w:after="200"/>
      <w:contextualSpacing/>
    </w:pPr>
    <w:rPr>
      <w:rFonts w:ascii="Calibri" w:eastAsia="Fedra Sans Alt Std Medium" w:hAnsi="Calibri" w:cs="Fedra Sans Alt Std Medium"/>
      <w:b/>
      <w:sz w:val="30"/>
      <w:szCs w:val="30"/>
      <w:lang w:val="en-GB"/>
    </w:rPr>
  </w:style>
  <w:style w:type="character" w:customStyle="1" w:styleId="NzevChar">
    <w:name w:val="Název Char"/>
    <w:basedOn w:val="Standardnpsmoodstavce"/>
    <w:link w:val="Nzev"/>
    <w:uiPriority w:val="27"/>
    <w:rsid w:val="00CB39D8"/>
    <w:rPr>
      <w:rFonts w:ascii="Calibri" w:eastAsia="Fedra Sans Alt Std Medium" w:hAnsi="Calibri" w:cs="Fedra Sans Alt Std Medium"/>
      <w:b/>
      <w:sz w:val="30"/>
      <w:szCs w:val="30"/>
      <w:lang w:val="en-GB"/>
    </w:rPr>
  </w:style>
  <w:style w:type="character" w:customStyle="1" w:styleId="Nadpis1Char">
    <w:name w:val="Nadpis 1 Char"/>
    <w:basedOn w:val="Standardnpsmoodstavce"/>
    <w:link w:val="Nadpis1"/>
    <w:uiPriority w:val="9"/>
    <w:rsid w:val="009F16E3"/>
    <w:rPr>
      <w:rFonts w:ascii="Poppins Bold" w:eastAsiaTheme="majorEastAsia" w:hAnsi="Poppins Bold" w:cstheme="majorBidi"/>
      <w:color w:val="000000" w:themeColor="text1"/>
      <w:sz w:val="32"/>
      <w:szCs w:val="40"/>
    </w:rPr>
  </w:style>
  <w:style w:type="character" w:customStyle="1" w:styleId="Nadpis2Char">
    <w:name w:val="Nadpis 2 Char"/>
    <w:basedOn w:val="Standardnpsmoodstavce"/>
    <w:link w:val="Nadpis2"/>
    <w:uiPriority w:val="9"/>
    <w:rsid w:val="002C02E4"/>
    <w:rPr>
      <w:rFonts w:ascii="Quicksand" w:eastAsiaTheme="majorEastAsia" w:hAnsi="Quicksand" w:cstheme="majorBidi"/>
      <w:b/>
      <w:color w:val="E5087D"/>
      <w:sz w:val="24"/>
      <w:szCs w:val="32"/>
    </w:rPr>
  </w:style>
  <w:style w:type="character" w:customStyle="1" w:styleId="Nadpis3Char">
    <w:name w:val="Nadpis 3 Char"/>
    <w:basedOn w:val="Standardnpsmoodstavce"/>
    <w:link w:val="Nadpis3"/>
    <w:uiPriority w:val="9"/>
    <w:semiHidden/>
    <w:rsid w:val="005E69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69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69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69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69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69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69BE"/>
    <w:rPr>
      <w:rFonts w:eastAsiaTheme="majorEastAsia" w:cstheme="majorBidi"/>
      <w:color w:val="272727" w:themeColor="text1" w:themeTint="D8"/>
    </w:rPr>
  </w:style>
  <w:style w:type="paragraph" w:styleId="Podnadpis">
    <w:name w:val="Subtitle"/>
    <w:basedOn w:val="Nadpis2"/>
    <w:next w:val="Normln"/>
    <w:link w:val="PodnadpisChar"/>
    <w:uiPriority w:val="11"/>
    <w:qFormat/>
    <w:rsid w:val="0058172B"/>
    <w:pPr>
      <w:numPr>
        <w:ilvl w:val="1"/>
      </w:numPr>
    </w:pPr>
    <w:rPr>
      <w:color w:val="595959" w:themeColor="text1" w:themeTint="A6"/>
      <w:kern w:val="0"/>
      <w:szCs w:val="28"/>
    </w:rPr>
  </w:style>
  <w:style w:type="character" w:customStyle="1" w:styleId="PodnadpisChar">
    <w:name w:val="Podnadpis Char"/>
    <w:basedOn w:val="Standardnpsmoodstavce"/>
    <w:link w:val="Podnadpis"/>
    <w:uiPriority w:val="11"/>
    <w:rsid w:val="0058172B"/>
    <w:rPr>
      <w:rFonts w:ascii="Quicksand" w:eastAsiaTheme="majorEastAsia" w:hAnsi="Quicksand" w:cstheme="majorBidi"/>
      <w:b/>
      <w:color w:val="595959" w:themeColor="text1" w:themeTint="A6"/>
      <w:kern w:val="0"/>
      <w:sz w:val="24"/>
      <w:szCs w:val="28"/>
    </w:rPr>
  </w:style>
  <w:style w:type="paragraph" w:styleId="Citt">
    <w:name w:val="Quote"/>
    <w:basedOn w:val="Normln"/>
    <w:next w:val="Normln"/>
    <w:link w:val="CittChar"/>
    <w:uiPriority w:val="29"/>
    <w:rsid w:val="005E69BE"/>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E69BE"/>
    <w:rPr>
      <w:i/>
      <w:iCs/>
      <w:color w:val="404040" w:themeColor="text1" w:themeTint="BF"/>
    </w:rPr>
  </w:style>
  <w:style w:type="paragraph" w:styleId="Odstavecseseznamem">
    <w:name w:val="List Paragraph"/>
    <w:basedOn w:val="Normln"/>
    <w:uiPriority w:val="34"/>
    <w:rsid w:val="005E69BE"/>
    <w:pPr>
      <w:ind w:left="720"/>
      <w:contextualSpacing/>
    </w:pPr>
  </w:style>
  <w:style w:type="character" w:styleId="Zdraznnintenzivn">
    <w:name w:val="Intense Emphasis"/>
    <w:basedOn w:val="Standardnpsmoodstavce"/>
    <w:uiPriority w:val="21"/>
    <w:rsid w:val="005E69BE"/>
    <w:rPr>
      <w:i/>
      <w:iCs/>
      <w:color w:val="0F4761" w:themeColor="accent1" w:themeShade="BF"/>
    </w:rPr>
  </w:style>
  <w:style w:type="paragraph" w:styleId="Vrazncitt">
    <w:name w:val="Intense Quote"/>
    <w:basedOn w:val="Normln"/>
    <w:next w:val="Normln"/>
    <w:link w:val="VrazncittChar"/>
    <w:uiPriority w:val="30"/>
    <w:rsid w:val="005E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E69BE"/>
    <w:rPr>
      <w:i/>
      <w:iCs/>
      <w:color w:val="0F4761" w:themeColor="accent1" w:themeShade="BF"/>
    </w:rPr>
  </w:style>
  <w:style w:type="character" w:styleId="Odkazintenzivn">
    <w:name w:val="Intense Reference"/>
    <w:basedOn w:val="Standardnpsmoodstavce"/>
    <w:uiPriority w:val="32"/>
    <w:rsid w:val="005E69BE"/>
    <w:rPr>
      <w:b/>
      <w:bCs/>
      <w:smallCaps/>
      <w:color w:val="0F4761" w:themeColor="accent1" w:themeShade="BF"/>
      <w:spacing w:val="5"/>
    </w:rPr>
  </w:style>
  <w:style w:type="paragraph" w:styleId="Zhlav">
    <w:name w:val="header"/>
    <w:basedOn w:val="Normln"/>
    <w:link w:val="ZhlavChar"/>
    <w:uiPriority w:val="99"/>
    <w:unhideWhenUsed/>
    <w:rsid w:val="005E69BE"/>
    <w:pPr>
      <w:tabs>
        <w:tab w:val="center" w:pos="4536"/>
        <w:tab w:val="right" w:pos="9072"/>
      </w:tabs>
    </w:pPr>
  </w:style>
  <w:style w:type="character" w:customStyle="1" w:styleId="ZhlavChar">
    <w:name w:val="Záhlaví Char"/>
    <w:basedOn w:val="Standardnpsmoodstavce"/>
    <w:link w:val="Zhlav"/>
    <w:uiPriority w:val="99"/>
    <w:rsid w:val="005E69BE"/>
  </w:style>
  <w:style w:type="paragraph" w:styleId="Zpat">
    <w:name w:val="footer"/>
    <w:basedOn w:val="Normln"/>
    <w:link w:val="ZpatChar"/>
    <w:uiPriority w:val="99"/>
    <w:unhideWhenUsed/>
    <w:rsid w:val="005E69BE"/>
    <w:pPr>
      <w:tabs>
        <w:tab w:val="center" w:pos="4536"/>
        <w:tab w:val="right" w:pos="9072"/>
      </w:tabs>
    </w:pPr>
  </w:style>
  <w:style w:type="character" w:customStyle="1" w:styleId="ZpatChar">
    <w:name w:val="Zápatí Char"/>
    <w:basedOn w:val="Standardnpsmoodstavce"/>
    <w:link w:val="Zpat"/>
    <w:uiPriority w:val="99"/>
    <w:rsid w:val="005E69BE"/>
  </w:style>
  <w:style w:type="character" w:styleId="Zdraznn">
    <w:name w:val="Emphasis"/>
    <w:basedOn w:val="Standardnpsmoodstavce"/>
    <w:uiPriority w:val="20"/>
    <w:qFormat/>
    <w:rsid w:val="009F16E3"/>
    <w:rPr>
      <w:rFonts w:ascii="Poppins" w:hAnsi="Poppins"/>
      <w:i/>
      <w:iCs/>
      <w:color w:val="3F3F3F"/>
      <w:sz w:val="18"/>
    </w:rPr>
  </w:style>
  <w:style w:type="character" w:styleId="Siln">
    <w:name w:val="Strong"/>
    <w:basedOn w:val="Standardnpsmoodstavce"/>
    <w:uiPriority w:val="22"/>
    <w:qFormat/>
    <w:rsid w:val="009F16E3"/>
    <w:rPr>
      <w:rFonts w:ascii="Poppins" w:hAnsi="Poppins"/>
      <w:b/>
      <w:bCs/>
      <w:sz w:val="18"/>
    </w:rPr>
  </w:style>
  <w:style w:type="character" w:styleId="Odkazjemn">
    <w:name w:val="Subtle Reference"/>
    <w:basedOn w:val="Standardnpsmoodstavce"/>
    <w:uiPriority w:val="31"/>
    <w:qFormat/>
    <w:rsid w:val="009F16E3"/>
    <w:rPr>
      <w:rFonts w:ascii="Poppins" w:hAnsi="Poppins"/>
      <w:i/>
      <w:caps w:val="0"/>
      <w:smallCaps w:val="0"/>
      <w:strike w:val="0"/>
      <w:dstrike w:val="0"/>
      <w:vanish w:val="0"/>
      <w:color w:val="E5087D"/>
      <w:sz w:val="18"/>
      <w:u w:val="single"/>
      <w:vertAlign w:val="baseline"/>
    </w:rPr>
  </w:style>
  <w:style w:type="paragraph" w:styleId="Revize">
    <w:name w:val="Revision"/>
    <w:hidden/>
    <w:uiPriority w:val="99"/>
    <w:semiHidden/>
    <w:rsid w:val="001F3C9D"/>
    <w:rPr>
      <w:rFonts w:ascii="Poppins" w:hAnsi="Poppins"/>
      <w:color w:val="3F3F3F"/>
      <w:kern w:val="0"/>
      <w:sz w:val="18"/>
    </w:rPr>
  </w:style>
  <w:style w:type="character" w:styleId="Odkaznakoment">
    <w:name w:val="annotation reference"/>
    <w:basedOn w:val="Standardnpsmoodstavce"/>
    <w:uiPriority w:val="99"/>
    <w:semiHidden/>
    <w:unhideWhenUsed/>
    <w:rsid w:val="00BC7B01"/>
    <w:rPr>
      <w:sz w:val="16"/>
      <w:szCs w:val="16"/>
    </w:rPr>
  </w:style>
  <w:style w:type="paragraph" w:styleId="Textkomente">
    <w:name w:val="annotation text"/>
    <w:basedOn w:val="Normln"/>
    <w:link w:val="TextkomenteChar"/>
    <w:uiPriority w:val="99"/>
    <w:unhideWhenUsed/>
    <w:rsid w:val="00BC7B01"/>
    <w:pPr>
      <w:spacing w:line="240" w:lineRule="auto"/>
    </w:pPr>
    <w:rPr>
      <w:sz w:val="20"/>
      <w:szCs w:val="20"/>
    </w:rPr>
  </w:style>
  <w:style w:type="character" w:customStyle="1" w:styleId="TextkomenteChar">
    <w:name w:val="Text komentáře Char"/>
    <w:basedOn w:val="Standardnpsmoodstavce"/>
    <w:link w:val="Textkomente"/>
    <w:uiPriority w:val="99"/>
    <w:rsid w:val="00BC7B01"/>
    <w:rPr>
      <w:rFonts w:ascii="Poppins" w:hAnsi="Poppins"/>
      <w:color w:val="3F3F3F"/>
      <w:kern w:val="0"/>
      <w:sz w:val="20"/>
      <w:szCs w:val="20"/>
    </w:rPr>
  </w:style>
  <w:style w:type="paragraph" w:styleId="Pedmtkomente">
    <w:name w:val="annotation subject"/>
    <w:basedOn w:val="Textkomente"/>
    <w:next w:val="Textkomente"/>
    <w:link w:val="PedmtkomenteChar"/>
    <w:uiPriority w:val="99"/>
    <w:semiHidden/>
    <w:unhideWhenUsed/>
    <w:rsid w:val="00BC7B01"/>
    <w:rPr>
      <w:b/>
      <w:bCs/>
    </w:rPr>
  </w:style>
  <w:style w:type="character" w:customStyle="1" w:styleId="PedmtkomenteChar">
    <w:name w:val="Předmět komentáře Char"/>
    <w:basedOn w:val="TextkomenteChar"/>
    <w:link w:val="Pedmtkomente"/>
    <w:uiPriority w:val="99"/>
    <w:semiHidden/>
    <w:rsid w:val="00BC7B01"/>
    <w:rPr>
      <w:rFonts w:ascii="Poppins" w:hAnsi="Poppins"/>
      <w:b/>
      <w:bCs/>
      <w:color w:val="3F3F3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ladimira.kolarikova@kli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1377</Words>
  <Characters>8125</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Vladimíra Kolaříková</cp:lastModifiedBy>
  <cp:revision>3</cp:revision>
  <dcterms:created xsi:type="dcterms:W3CDTF">2026-05-20T07:50:00Z</dcterms:created>
  <dcterms:modified xsi:type="dcterms:W3CDTF">2026-07-23T09:54:00Z</dcterms:modified>
</cp:coreProperties>
</file>