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37DFF" w14:textId="77777777" w:rsidR="00651FA0" w:rsidRPr="00DF3C37" w:rsidRDefault="00651FA0" w:rsidP="00903362">
      <w:pPr>
        <w:spacing w:before="120"/>
        <w:jc w:val="left"/>
        <w:rPr>
          <w:rFonts w:cs="Poppins"/>
          <w:b/>
          <w:bCs/>
          <w:sz w:val="32"/>
          <w:szCs w:val="32"/>
        </w:rPr>
      </w:pPr>
      <w:r>
        <w:rPr>
          <w:rFonts w:cs="Poppins"/>
          <w:b/>
          <w:bCs/>
          <w:sz w:val="32"/>
          <w:szCs w:val="32"/>
        </w:rPr>
        <w:t>Češi šetří na cestovním pojištění. Platí za něj méně než Slováci i Poláci</w:t>
      </w:r>
    </w:p>
    <w:p w14:paraId="0D654C4C" w14:textId="77777777" w:rsidR="00651FA0" w:rsidRPr="00864A5D" w:rsidRDefault="00651FA0" w:rsidP="00651FA0">
      <w:pPr>
        <w:rPr>
          <w:rFonts w:cs="Poppins"/>
          <w:sz w:val="22"/>
        </w:rPr>
      </w:pPr>
    </w:p>
    <w:p w14:paraId="022CBCFB" w14:textId="4DE55734" w:rsidR="00651FA0" w:rsidRPr="00100926" w:rsidRDefault="00651FA0" w:rsidP="00651FA0">
      <w:pPr>
        <w:rPr>
          <w:rFonts w:cs="Poppins"/>
          <w:b/>
          <w:bCs/>
          <w:szCs w:val="18"/>
        </w:rPr>
      </w:pPr>
      <w:r>
        <w:rPr>
          <w:rFonts w:cs="Poppins"/>
          <w:szCs w:val="18"/>
        </w:rPr>
        <w:t xml:space="preserve">Praha, </w:t>
      </w:r>
      <w:r w:rsidR="008F2CB5">
        <w:rPr>
          <w:rFonts w:cs="Poppins"/>
          <w:szCs w:val="18"/>
        </w:rPr>
        <w:t>3</w:t>
      </w:r>
      <w:r>
        <w:rPr>
          <w:rFonts w:cs="Poppins"/>
          <w:szCs w:val="18"/>
        </w:rPr>
        <w:t>. července 2026</w:t>
      </w:r>
      <w:r>
        <w:rPr>
          <w:rFonts w:cs="Poppins"/>
          <w:b/>
          <w:bCs/>
          <w:szCs w:val="18"/>
        </w:rPr>
        <w:t xml:space="preserve"> – Češi vyrážejí do zahraničí stále častěji, za cestovní pojištění ale utrácejí méně než většina našich sousedů. Čeští cestovatelé zaplatili v roce 2025 za den v průměru méně než Slováci, Poláci nebo Maďaři. Vyplývá to z analýzy Společnosti Klik.cz, která porovnávala data okolních zemí. </w:t>
      </w:r>
    </w:p>
    <w:p w14:paraId="095A9399" w14:textId="77777777" w:rsidR="00651FA0" w:rsidRPr="00100926" w:rsidRDefault="00651FA0" w:rsidP="00651FA0">
      <w:pPr>
        <w:rPr>
          <w:rFonts w:cs="Poppins"/>
          <w:szCs w:val="18"/>
        </w:rPr>
      </w:pPr>
      <w:r>
        <w:rPr>
          <w:noProof/>
        </w:rPr>
        <w:drawing>
          <wp:anchor distT="0" distB="0" distL="114300" distR="114300" simplePos="0" relativeHeight="251659264" behindDoc="0" locked="0" layoutInCell="1" allowOverlap="1" wp14:anchorId="6E20E20E" wp14:editId="143F3EA5">
            <wp:simplePos x="0" y="0"/>
            <wp:positionH relativeFrom="margin">
              <wp:posOffset>1098550</wp:posOffset>
            </wp:positionH>
            <wp:positionV relativeFrom="paragraph">
              <wp:posOffset>582930</wp:posOffset>
            </wp:positionV>
            <wp:extent cx="4191000" cy="1885950"/>
            <wp:effectExtent l="0" t="0" r="0" b="0"/>
            <wp:wrapTopAndBottom/>
            <wp:docPr id="134045814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91000" cy="18859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Poppins"/>
          <w:szCs w:val="18"/>
        </w:rPr>
        <w:t>Průměrná cena cestovního pojištění na den a osobu sjednané přes přední české online srovnávače byla v roce 2025:</w:t>
      </w:r>
    </w:p>
    <w:p w14:paraId="72DD00B7" w14:textId="77777777" w:rsidR="00651FA0" w:rsidRDefault="00651FA0" w:rsidP="00651FA0">
      <w:pPr>
        <w:rPr>
          <w:rFonts w:cs="Poppins"/>
          <w:b/>
          <w:bCs/>
          <w:szCs w:val="18"/>
        </w:rPr>
      </w:pPr>
    </w:p>
    <w:p w14:paraId="23715CCA" w14:textId="77777777" w:rsidR="00651FA0" w:rsidRPr="00100926" w:rsidRDefault="00651FA0" w:rsidP="00651FA0">
      <w:pPr>
        <w:rPr>
          <w:rFonts w:cs="Poppins"/>
          <w:b/>
          <w:bCs/>
          <w:szCs w:val="18"/>
        </w:rPr>
      </w:pPr>
      <w:r>
        <w:rPr>
          <w:rFonts w:cs="Poppins"/>
          <w:b/>
          <w:bCs/>
          <w:szCs w:val="18"/>
        </w:rPr>
        <w:t>Cena není všechno</w:t>
      </w:r>
    </w:p>
    <w:p w14:paraId="4F0186BA" w14:textId="77777777" w:rsidR="00651FA0" w:rsidRPr="00100926" w:rsidRDefault="00651FA0" w:rsidP="00651FA0">
      <w:pPr>
        <w:rPr>
          <w:rFonts w:cs="Poppins"/>
          <w:szCs w:val="18"/>
        </w:rPr>
      </w:pPr>
      <w:r>
        <w:rPr>
          <w:rFonts w:cs="Poppins"/>
          <w:szCs w:val="18"/>
        </w:rPr>
        <w:t>Zájem o absolutně nejlevnější varianty postupně klesá. Zatímco v roce 2024 zvolilo nejlevnější dostupné pojištění 13 % klientů, v roce 2025 to bylo 11 % a v prvním pololetí roku 2026 to bylo už jen 8 %.</w:t>
      </w:r>
    </w:p>
    <w:p w14:paraId="089A6324" w14:textId="77777777" w:rsidR="00651FA0" w:rsidRDefault="00651FA0" w:rsidP="00651FA0">
      <w:pPr>
        <w:rPr>
          <w:rFonts w:cs="Poppins"/>
          <w:b/>
          <w:bCs/>
          <w:szCs w:val="18"/>
        </w:rPr>
      </w:pPr>
      <w:r>
        <w:rPr>
          <w:rFonts w:cs="Poppins"/>
          <w:i/>
          <w:iCs/>
          <w:szCs w:val="18"/>
        </w:rPr>
        <w:t>„Češi jsou při sjednávání cestovního pojištění stále velmi citliví na cenu. Nicméně většina klientů už porovnává nejen cenu, ale i rozsah krytí. Náklady na zdravotní péči v zahraničí rostou a lidé si uvědomují, že nejlevnější pojištění nemusí být vždy tou nejlepší volbou. Při cestách mimo Evropu, u exotických destinací nebo aktivní dovolené by měla být kvalita pojištění důležitější než rozdíl několika desítek korun v ceně,“</w:t>
      </w:r>
      <w:r>
        <w:rPr>
          <w:rFonts w:cs="Poppins"/>
          <w:szCs w:val="18"/>
        </w:rPr>
        <w:t xml:space="preserve"> říká </w:t>
      </w:r>
      <w:r>
        <w:rPr>
          <w:rFonts w:cs="Poppins"/>
          <w:b/>
          <w:bCs/>
          <w:szCs w:val="18"/>
        </w:rPr>
        <w:t>Karel </w:t>
      </w:r>
      <w:proofErr w:type="spellStart"/>
      <w:r>
        <w:rPr>
          <w:rFonts w:cs="Poppins"/>
          <w:b/>
          <w:bCs/>
          <w:szCs w:val="18"/>
        </w:rPr>
        <w:t>Šultes</w:t>
      </w:r>
      <w:proofErr w:type="spellEnd"/>
      <w:r>
        <w:rPr>
          <w:rFonts w:cs="Poppins"/>
          <w:b/>
          <w:bCs/>
          <w:szCs w:val="18"/>
        </w:rPr>
        <w:t xml:space="preserve">, ředitel produktu a datové analýzy Skupina Klik.cz  </w:t>
      </w:r>
    </w:p>
    <w:p w14:paraId="4F96EAA2" w14:textId="77777777" w:rsidR="00981CA9" w:rsidRPr="0040158F" w:rsidRDefault="00981CA9" w:rsidP="00651FA0">
      <w:pPr>
        <w:rPr>
          <w:rFonts w:cs="Poppins"/>
          <w:b/>
          <w:bCs/>
          <w:szCs w:val="18"/>
        </w:rPr>
      </w:pPr>
    </w:p>
    <w:p w14:paraId="25DA2031" w14:textId="77777777" w:rsidR="00651FA0" w:rsidRPr="00100926" w:rsidRDefault="00651FA0" w:rsidP="00651FA0">
      <w:pPr>
        <w:rPr>
          <w:rFonts w:cs="Poppins"/>
          <w:b/>
          <w:bCs/>
          <w:szCs w:val="18"/>
        </w:rPr>
      </w:pPr>
      <w:r>
        <w:rPr>
          <w:rFonts w:cs="Poppins"/>
          <w:b/>
          <w:bCs/>
          <w:szCs w:val="18"/>
        </w:rPr>
        <w:t>Chorvatsko vládne létu</w:t>
      </w:r>
    </w:p>
    <w:p w14:paraId="0D886D19" w14:textId="60A6DE86" w:rsidR="00651FA0" w:rsidRDefault="00651FA0" w:rsidP="00651FA0">
      <w:pPr>
        <w:rPr>
          <w:rFonts w:cs="Poppins"/>
          <w:szCs w:val="18"/>
        </w:rPr>
      </w:pPr>
      <w:r>
        <w:rPr>
          <w:rFonts w:cs="Poppins"/>
          <w:szCs w:val="18"/>
        </w:rPr>
        <w:t xml:space="preserve">Nejoblíbenější letní destinací českých cestovatelů zůstává Chorvatsko, následované Slovenskem, Polskem a Itálií. </w:t>
      </w:r>
      <w:r w:rsidRPr="009A2383">
        <w:rPr>
          <w:rFonts w:cs="Poppins"/>
          <w:szCs w:val="18"/>
        </w:rPr>
        <w:t>Zajímavostí je, že jen na loňské léto si Češi sjednali přes srovnávače naší skupiny cestovní pojištění na 96 424 zahraničních cest, zatímco Slováci na 50 788. Čísla odrážejí nejen velikost obou trhů, ale i to, do jaké míry lidé v dané zemi srovnávače využívají.</w:t>
      </w:r>
      <w:r>
        <w:rPr>
          <w:rFonts w:cs="Poppins"/>
          <w:szCs w:val="18"/>
        </w:rPr>
        <w:t xml:space="preserve"> Přes 37 % všech sjednaných cestovních pojistek připadá na letní měsíce, zatímco na jaře a v zimě je zájem podstatně nižší.</w:t>
      </w:r>
    </w:p>
    <w:p w14:paraId="76D4E6CB" w14:textId="77777777" w:rsidR="00981CA9" w:rsidRPr="00100926" w:rsidRDefault="00981CA9" w:rsidP="00651FA0">
      <w:pPr>
        <w:rPr>
          <w:rFonts w:cs="Poppins"/>
          <w:szCs w:val="18"/>
        </w:rPr>
      </w:pPr>
    </w:p>
    <w:p w14:paraId="45CE0663" w14:textId="34D7C1E7" w:rsidR="00651FA0" w:rsidRPr="00100926" w:rsidRDefault="00651FA0" w:rsidP="00651FA0">
      <w:pPr>
        <w:rPr>
          <w:rFonts w:cs="Poppins"/>
          <w:b/>
          <w:bCs/>
          <w:szCs w:val="18"/>
        </w:rPr>
      </w:pPr>
      <w:r>
        <w:rPr>
          <w:rFonts w:cs="Poppins"/>
          <w:b/>
          <w:bCs/>
          <w:szCs w:val="18"/>
        </w:rPr>
        <w:t>Po propadu opět růst</w:t>
      </w:r>
    </w:p>
    <w:p w14:paraId="0BD7E78C" w14:textId="3F57F4F1" w:rsidR="00651FA0" w:rsidRDefault="00651FA0" w:rsidP="00651FA0">
      <w:pPr>
        <w:spacing w:after="200"/>
        <w:rPr>
          <w:rFonts w:cs="Poppins"/>
          <w:szCs w:val="18"/>
        </w:rPr>
      </w:pPr>
      <w:r>
        <w:rPr>
          <w:rFonts w:cs="Poppins"/>
          <w:szCs w:val="18"/>
        </w:rPr>
        <w:t xml:space="preserve">Český online trh s cestovním pojištěním zažil v roce 2024 výrazný </w:t>
      </w:r>
      <w:r w:rsidR="00453A7C">
        <w:rPr>
          <w:rFonts w:cs="Poppins"/>
          <w:szCs w:val="18"/>
        </w:rPr>
        <w:t>propad – počet</w:t>
      </w:r>
      <w:r>
        <w:rPr>
          <w:rFonts w:cs="Poppins"/>
          <w:szCs w:val="18"/>
        </w:rPr>
        <w:t xml:space="preserve"> pojistek sjednaných přes srovnávače klesl o 11,3 %. V roce 2025 se trh vrátil k růstu a bylo sjednáno přibližně 233 tisíc pojistek, tedy o 2,4 % více než v předchozím roce. Slovenský trh přitom ve stejném období rostl téměř čtyřikrát rychleji, a to o 9,4 %. Česko však stále tvoří výrazně větší online </w:t>
      </w:r>
      <w:r w:rsidR="00453A7C">
        <w:rPr>
          <w:rFonts w:cs="Poppins"/>
          <w:szCs w:val="18"/>
        </w:rPr>
        <w:t>trh – přes</w:t>
      </w:r>
      <w:r>
        <w:rPr>
          <w:rFonts w:cs="Poppins"/>
          <w:szCs w:val="18"/>
        </w:rPr>
        <w:t xml:space="preserve"> srovnávače se u nás uzavře více než dvojnásobek cestovních pojistek než na Slovensku.</w:t>
      </w:r>
    </w:p>
    <w:p w14:paraId="121BAF8F" w14:textId="77777777" w:rsidR="00981CA9" w:rsidRPr="00100926" w:rsidRDefault="00981CA9" w:rsidP="00651FA0">
      <w:pPr>
        <w:spacing w:after="200"/>
        <w:rPr>
          <w:rFonts w:cs="Poppins"/>
          <w:szCs w:val="18"/>
        </w:rPr>
      </w:pPr>
    </w:p>
    <w:p w14:paraId="74DAA8B1" w14:textId="77777777" w:rsidR="00651FA0" w:rsidRPr="00DF3C37" w:rsidRDefault="00651FA0" w:rsidP="00651FA0">
      <w:pPr>
        <w:rPr>
          <w:rFonts w:cs="Poppins"/>
          <w:b/>
          <w:bCs/>
          <w:szCs w:val="18"/>
        </w:rPr>
      </w:pPr>
      <w:r>
        <w:rPr>
          <w:rFonts w:cs="Poppins"/>
          <w:b/>
          <w:bCs/>
          <w:szCs w:val="18"/>
        </w:rPr>
        <w:t>Hlavní zjištění analýzy</w:t>
      </w:r>
    </w:p>
    <w:p w14:paraId="03868F68" w14:textId="77777777" w:rsidR="00651FA0" w:rsidRPr="00DF3C37" w:rsidRDefault="00651FA0" w:rsidP="00651FA0">
      <w:pPr>
        <w:pStyle w:val="Odstavecseseznamem"/>
        <w:numPr>
          <w:ilvl w:val="0"/>
          <w:numId w:val="5"/>
        </w:numPr>
        <w:spacing w:after="160" w:line="278" w:lineRule="auto"/>
        <w:rPr>
          <w:rFonts w:cs="Poppins"/>
          <w:szCs w:val="18"/>
        </w:rPr>
      </w:pPr>
      <w:r>
        <w:rPr>
          <w:rFonts w:cs="Poppins"/>
          <w:szCs w:val="18"/>
        </w:rPr>
        <w:t>Češi platí za cestovní pojištění méně než Slováci i Poláci.</w:t>
      </w:r>
    </w:p>
    <w:p w14:paraId="5C383B0F" w14:textId="77777777" w:rsidR="00651FA0" w:rsidRPr="00DF3C37" w:rsidRDefault="00651FA0" w:rsidP="00651FA0">
      <w:pPr>
        <w:pStyle w:val="Odstavecseseznamem"/>
        <w:numPr>
          <w:ilvl w:val="0"/>
          <w:numId w:val="5"/>
        </w:numPr>
        <w:spacing w:after="160" w:line="278" w:lineRule="auto"/>
        <w:rPr>
          <w:rFonts w:cs="Poppins"/>
          <w:szCs w:val="18"/>
        </w:rPr>
      </w:pPr>
      <w:r>
        <w:rPr>
          <w:rFonts w:cs="Poppins"/>
          <w:szCs w:val="18"/>
        </w:rPr>
        <w:t>Počet sjednaných pojistek v Česku vzrostl v roce 2025 o 2,4 %.</w:t>
      </w:r>
    </w:p>
    <w:p w14:paraId="743E83B7" w14:textId="77777777" w:rsidR="00651FA0" w:rsidRPr="00DF3C37" w:rsidRDefault="00651FA0" w:rsidP="00651FA0">
      <w:pPr>
        <w:pStyle w:val="Odstavecseseznamem"/>
        <w:numPr>
          <w:ilvl w:val="0"/>
          <w:numId w:val="5"/>
        </w:numPr>
        <w:spacing w:after="160" w:line="278" w:lineRule="auto"/>
        <w:rPr>
          <w:rFonts w:cs="Poppins"/>
          <w:szCs w:val="18"/>
        </w:rPr>
      </w:pPr>
      <w:r>
        <w:rPr>
          <w:rFonts w:cs="Poppins"/>
          <w:szCs w:val="18"/>
        </w:rPr>
        <w:t>Nejpopulárnější letní destinací zůstává Chorvatsko.</w:t>
      </w:r>
    </w:p>
    <w:p w14:paraId="1D4FF872" w14:textId="77777777" w:rsidR="00651FA0" w:rsidRDefault="00651FA0" w:rsidP="00651FA0">
      <w:pPr>
        <w:pStyle w:val="Odstavecseseznamem"/>
        <w:numPr>
          <w:ilvl w:val="0"/>
          <w:numId w:val="5"/>
        </w:numPr>
        <w:spacing w:after="160" w:line="278" w:lineRule="auto"/>
        <w:rPr>
          <w:rFonts w:cs="Poppins"/>
          <w:szCs w:val="18"/>
        </w:rPr>
      </w:pPr>
      <w:r>
        <w:rPr>
          <w:rFonts w:cs="Poppins"/>
          <w:szCs w:val="18"/>
        </w:rPr>
        <w:t>Slovenský online trh s cestovním pojištěním roste téměř 4x rychleji než český, i přesto zůstává zhruba na půlce českého trhu.</w:t>
      </w:r>
    </w:p>
    <w:p w14:paraId="1FFAF5B9" w14:textId="77777777" w:rsidR="00651FA0" w:rsidRDefault="00651FA0" w:rsidP="00651FA0">
      <w:pPr>
        <w:rPr>
          <w:rFonts w:cs="Poppins"/>
          <w:szCs w:val="18"/>
        </w:rPr>
      </w:pPr>
    </w:p>
    <w:p w14:paraId="79B1788B" w14:textId="77777777" w:rsidR="00651FA0" w:rsidRPr="000F249D" w:rsidRDefault="00651FA0" w:rsidP="00651FA0">
      <w:pPr>
        <w:pStyle w:val="paragraph"/>
        <w:spacing w:before="0" w:beforeAutospacing="0" w:after="0" w:afterAutospacing="0"/>
        <w:jc w:val="both"/>
        <w:textAlignment w:val="baseline"/>
        <w:rPr>
          <w:rStyle w:val="normaltextrun"/>
          <w:rFonts w:ascii="Poppins" w:hAnsi="Poppins" w:cs="Poppins"/>
          <w:i/>
          <w:iCs/>
          <w:color w:val="3F3F3F"/>
          <w:sz w:val="18"/>
          <w:szCs w:val="18"/>
        </w:rPr>
      </w:pPr>
      <w:r>
        <w:rPr>
          <w:rStyle w:val="normaltextrun"/>
          <w:rFonts w:ascii="Poppins" w:hAnsi="Poppins" w:cs="Poppins"/>
          <w:b/>
          <w:bCs/>
          <w:i/>
          <w:iCs/>
          <w:color w:val="3F3F3F"/>
          <w:sz w:val="18"/>
          <w:szCs w:val="18"/>
        </w:rPr>
        <w:t>Tip odborníka</w:t>
      </w:r>
      <w:r>
        <w:rPr>
          <w:rStyle w:val="normaltextrun"/>
          <w:rFonts w:ascii="Poppins" w:hAnsi="Poppins" w:cs="Poppins"/>
          <w:i/>
          <w:iCs/>
          <w:color w:val="3F3F3F"/>
          <w:sz w:val="18"/>
          <w:szCs w:val="18"/>
        </w:rPr>
        <w:t>: Rozdíl mezi nejlevnějším a kvalitnějším cestovním pojištěním často představuje jen několik desítek korun za den. V případě úrazu nebo hospitalizace v zahraničí však může znamenat rozdíl mezi plně hrazenou péčí a výdaji z vlastní kapsy v řádu desítek až stovek tisíc korun.</w:t>
      </w:r>
    </w:p>
    <w:p w14:paraId="286A717F" w14:textId="77777777" w:rsidR="00651FA0" w:rsidRPr="000F249D" w:rsidRDefault="00651FA0" w:rsidP="00651FA0">
      <w:pPr>
        <w:rPr>
          <w:rFonts w:cs="Poppins"/>
          <w:szCs w:val="18"/>
        </w:rPr>
      </w:pPr>
    </w:p>
    <w:p w14:paraId="1690D880" w14:textId="77777777" w:rsidR="00651FA0" w:rsidRPr="009A5636" w:rsidRDefault="00651FA0" w:rsidP="00651FA0">
      <w:pPr>
        <w:pStyle w:val="paragraph"/>
        <w:spacing w:before="0" w:beforeAutospacing="0" w:after="0" w:afterAutospacing="0"/>
        <w:jc w:val="both"/>
        <w:textAlignment w:val="baseline"/>
        <w:rPr>
          <w:rStyle w:val="normaltextrun"/>
          <w:rFonts w:ascii="Poppins" w:hAnsi="Poppins" w:cs="Poppins"/>
          <w:b/>
          <w:bCs/>
          <w:color w:val="3F3F3F"/>
          <w:sz w:val="18"/>
          <w:szCs w:val="18"/>
        </w:rPr>
      </w:pPr>
      <w:r>
        <w:rPr>
          <w:rStyle w:val="normaltextrun"/>
          <w:rFonts w:ascii="Poppins" w:hAnsi="Poppins" w:cs="Poppins"/>
          <w:b/>
          <w:bCs/>
          <w:color w:val="3F3F3F"/>
          <w:sz w:val="18"/>
          <w:szCs w:val="18"/>
        </w:rPr>
        <w:t>Nejnižší cena není všechno. Co zkontrolovat před sjednáním cestovního pojištění</w:t>
      </w:r>
    </w:p>
    <w:p w14:paraId="4DCE654A" w14:textId="77777777" w:rsidR="00651FA0" w:rsidRPr="009A5636" w:rsidRDefault="00651FA0" w:rsidP="00651FA0">
      <w:pPr>
        <w:pStyle w:val="paragraph"/>
        <w:numPr>
          <w:ilvl w:val="0"/>
          <w:numId w:val="6"/>
        </w:numPr>
        <w:spacing w:after="0"/>
        <w:jc w:val="both"/>
        <w:textAlignment w:val="baseline"/>
        <w:rPr>
          <w:rStyle w:val="normaltextrun"/>
          <w:rFonts w:ascii="Poppins" w:hAnsi="Poppins" w:cs="Poppins"/>
          <w:color w:val="3F3F3F"/>
          <w:sz w:val="18"/>
          <w:szCs w:val="18"/>
        </w:rPr>
      </w:pPr>
      <w:r>
        <w:rPr>
          <w:rStyle w:val="normaltextrun"/>
          <w:rFonts w:ascii="Poppins" w:hAnsi="Poppins" w:cs="Poppins"/>
          <w:b/>
          <w:bCs/>
          <w:color w:val="3F3F3F"/>
          <w:sz w:val="18"/>
          <w:szCs w:val="18"/>
        </w:rPr>
        <w:t>Dostatečný limit léčebných výloh</w:t>
      </w:r>
      <w:r>
        <w:rPr>
          <w:rStyle w:val="normaltextrun"/>
          <w:rFonts w:ascii="Poppins" w:hAnsi="Poppins" w:cs="Poppins"/>
          <w:color w:val="3F3F3F"/>
          <w:sz w:val="18"/>
          <w:szCs w:val="18"/>
        </w:rPr>
        <w:t xml:space="preserve"> – pro cesty po Evropě alespoň 10 milionů Kč, mimo Evropu s vyšším limitem, ideálně bez omezení.</w:t>
      </w:r>
    </w:p>
    <w:p w14:paraId="0210A9F8" w14:textId="334BB5A5" w:rsidR="00651FA0" w:rsidRPr="009A5636" w:rsidRDefault="00651FA0" w:rsidP="00651FA0">
      <w:pPr>
        <w:pStyle w:val="paragraph"/>
        <w:numPr>
          <w:ilvl w:val="0"/>
          <w:numId w:val="6"/>
        </w:numPr>
        <w:spacing w:after="0"/>
        <w:jc w:val="both"/>
        <w:textAlignment w:val="baseline"/>
        <w:rPr>
          <w:rStyle w:val="normaltextrun"/>
          <w:rFonts w:ascii="Poppins" w:hAnsi="Poppins" w:cs="Poppins"/>
          <w:color w:val="3F3F3F"/>
          <w:sz w:val="18"/>
          <w:szCs w:val="18"/>
        </w:rPr>
      </w:pPr>
      <w:r>
        <w:rPr>
          <w:rStyle w:val="normaltextrun"/>
          <w:rFonts w:ascii="Poppins" w:hAnsi="Poppins" w:cs="Poppins"/>
          <w:b/>
          <w:bCs/>
          <w:color w:val="3F3F3F"/>
          <w:sz w:val="18"/>
          <w:szCs w:val="18"/>
        </w:rPr>
        <w:t>Pojištění odpovědnosti</w:t>
      </w:r>
      <w:r>
        <w:rPr>
          <w:rStyle w:val="normaltextrun"/>
          <w:rFonts w:ascii="Poppins" w:hAnsi="Poppins" w:cs="Poppins"/>
          <w:color w:val="3F3F3F"/>
          <w:sz w:val="18"/>
          <w:szCs w:val="18"/>
        </w:rPr>
        <w:t xml:space="preserve"> – doporučené připojištění, které pokryje škody, které nechtěně způsobíte jiným osobám nebo jejich majetku.</w:t>
      </w:r>
    </w:p>
    <w:p w14:paraId="545539A7" w14:textId="77777777" w:rsidR="00651FA0" w:rsidRPr="009A5636" w:rsidRDefault="00651FA0" w:rsidP="00651FA0">
      <w:pPr>
        <w:pStyle w:val="paragraph"/>
        <w:numPr>
          <w:ilvl w:val="0"/>
          <w:numId w:val="6"/>
        </w:numPr>
        <w:spacing w:after="0"/>
        <w:jc w:val="both"/>
        <w:textAlignment w:val="baseline"/>
        <w:rPr>
          <w:rStyle w:val="normaltextrun"/>
          <w:rFonts w:ascii="Poppins" w:hAnsi="Poppins" w:cs="Poppins"/>
          <w:color w:val="3F3F3F"/>
          <w:sz w:val="18"/>
          <w:szCs w:val="18"/>
        </w:rPr>
      </w:pPr>
      <w:r>
        <w:rPr>
          <w:rStyle w:val="normaltextrun"/>
          <w:rFonts w:ascii="Poppins" w:hAnsi="Poppins" w:cs="Poppins"/>
          <w:b/>
          <w:bCs/>
          <w:color w:val="3F3F3F"/>
          <w:sz w:val="18"/>
          <w:szCs w:val="18"/>
        </w:rPr>
        <w:t>Připojištění rizikových sportů</w:t>
      </w:r>
      <w:r>
        <w:rPr>
          <w:rStyle w:val="normaltextrun"/>
          <w:rFonts w:ascii="Poppins" w:hAnsi="Poppins" w:cs="Poppins"/>
          <w:color w:val="3F3F3F"/>
          <w:sz w:val="18"/>
          <w:szCs w:val="18"/>
        </w:rPr>
        <w:t xml:space="preserve"> – běžné pojištění nemusí zahrnovat potápění, vysokohorskou turistiku, </w:t>
      </w:r>
      <w:proofErr w:type="spellStart"/>
      <w:r>
        <w:rPr>
          <w:rStyle w:val="normaltextrun"/>
          <w:rFonts w:ascii="Poppins" w:hAnsi="Poppins" w:cs="Poppins"/>
          <w:color w:val="3F3F3F"/>
          <w:sz w:val="18"/>
          <w:szCs w:val="18"/>
        </w:rPr>
        <w:t>ferraty</w:t>
      </w:r>
      <w:proofErr w:type="spellEnd"/>
      <w:r>
        <w:rPr>
          <w:rStyle w:val="normaltextrun"/>
          <w:rFonts w:ascii="Poppins" w:hAnsi="Poppins" w:cs="Poppins"/>
          <w:color w:val="3F3F3F"/>
          <w:sz w:val="18"/>
          <w:szCs w:val="18"/>
        </w:rPr>
        <w:t xml:space="preserve"> nebo vodní sporty. Je nutné vždy ověřit v podmínkách.</w:t>
      </w:r>
    </w:p>
    <w:p w14:paraId="64919C1A" w14:textId="5368FA55" w:rsidR="00651FA0" w:rsidRPr="009A5636" w:rsidRDefault="00651FA0" w:rsidP="00651FA0">
      <w:pPr>
        <w:pStyle w:val="paragraph"/>
        <w:numPr>
          <w:ilvl w:val="0"/>
          <w:numId w:val="6"/>
        </w:numPr>
        <w:spacing w:after="0"/>
        <w:jc w:val="both"/>
        <w:textAlignment w:val="baseline"/>
        <w:rPr>
          <w:rStyle w:val="normaltextrun"/>
          <w:rFonts w:ascii="Poppins" w:hAnsi="Poppins" w:cs="Poppins"/>
          <w:color w:val="3F3F3F"/>
          <w:sz w:val="18"/>
          <w:szCs w:val="18"/>
        </w:rPr>
      </w:pPr>
      <w:r>
        <w:rPr>
          <w:rStyle w:val="normaltextrun"/>
          <w:rFonts w:ascii="Poppins" w:hAnsi="Poppins" w:cs="Poppins"/>
          <w:b/>
          <w:bCs/>
          <w:color w:val="3F3F3F"/>
          <w:sz w:val="18"/>
          <w:szCs w:val="18"/>
        </w:rPr>
        <w:t>Pojištění storna cesty</w:t>
      </w:r>
      <w:r>
        <w:rPr>
          <w:rStyle w:val="normaltextrun"/>
          <w:rFonts w:ascii="Poppins" w:hAnsi="Poppins" w:cs="Poppins"/>
          <w:color w:val="3F3F3F"/>
          <w:sz w:val="18"/>
          <w:szCs w:val="18"/>
        </w:rPr>
        <w:t xml:space="preserve"> – ochrání výdaje, pokud budete muset cestu z vážných důvodů zrušit. Nelze ho ale sjednat na poslední chvíli, většinou jde o 15 dní před odjezdem.</w:t>
      </w:r>
    </w:p>
    <w:p w14:paraId="411E7985" w14:textId="77777777" w:rsidR="00651FA0" w:rsidRPr="009A5636" w:rsidRDefault="00651FA0" w:rsidP="00651FA0">
      <w:pPr>
        <w:pStyle w:val="paragraph"/>
        <w:numPr>
          <w:ilvl w:val="0"/>
          <w:numId w:val="6"/>
        </w:numPr>
        <w:spacing w:after="0"/>
        <w:jc w:val="both"/>
        <w:textAlignment w:val="baseline"/>
        <w:rPr>
          <w:rStyle w:val="normaltextrun"/>
          <w:rFonts w:ascii="Poppins" w:hAnsi="Poppins" w:cs="Poppins"/>
          <w:color w:val="3F3F3F"/>
          <w:sz w:val="18"/>
          <w:szCs w:val="18"/>
        </w:rPr>
      </w:pPr>
      <w:r>
        <w:rPr>
          <w:rStyle w:val="normaltextrun"/>
          <w:rFonts w:ascii="Poppins" w:hAnsi="Poppins" w:cs="Poppins"/>
          <w:b/>
          <w:bCs/>
          <w:color w:val="3F3F3F"/>
          <w:sz w:val="18"/>
          <w:szCs w:val="18"/>
        </w:rPr>
        <w:t>Asistenční služby</w:t>
      </w:r>
      <w:r>
        <w:rPr>
          <w:rStyle w:val="normaltextrun"/>
          <w:rFonts w:ascii="Poppins" w:hAnsi="Poppins" w:cs="Poppins"/>
          <w:color w:val="3F3F3F"/>
          <w:sz w:val="18"/>
          <w:szCs w:val="18"/>
        </w:rPr>
        <w:t xml:space="preserve"> – praktická pomoc při zdravotních komplikacích, ztrátě dokladů, organizaci převozu nebo komunikaci se zdravotnickými zařízeními v zahraničí. </w:t>
      </w:r>
    </w:p>
    <w:p w14:paraId="2B64E28E" w14:textId="77777777" w:rsidR="00651FA0" w:rsidRDefault="00651FA0" w:rsidP="00651FA0">
      <w:pPr>
        <w:pStyle w:val="paragraph"/>
        <w:spacing w:before="0" w:beforeAutospacing="0" w:after="0" w:afterAutospacing="0"/>
        <w:textAlignment w:val="baseline"/>
        <w:rPr>
          <w:rStyle w:val="normaltextrun"/>
          <w:rFonts w:ascii="Poppins" w:hAnsi="Poppins" w:cs="Poppins"/>
          <w:b/>
          <w:bCs/>
          <w:color w:val="3F3F3F"/>
          <w:sz w:val="18"/>
          <w:szCs w:val="18"/>
          <w:u w:val="single"/>
        </w:rPr>
      </w:pPr>
    </w:p>
    <w:p w14:paraId="58541C67" w14:textId="77777777" w:rsidR="00651FA0" w:rsidRDefault="00651FA0" w:rsidP="00651FA0">
      <w:pPr>
        <w:pStyle w:val="paragraph"/>
        <w:spacing w:before="0" w:beforeAutospacing="0" w:after="0" w:afterAutospacing="0"/>
        <w:textAlignment w:val="baseline"/>
        <w:rPr>
          <w:rFonts w:ascii="Segoe UI" w:hAnsi="Segoe UI" w:cs="Segoe UI"/>
          <w:color w:val="3F3F3F"/>
          <w:sz w:val="18"/>
          <w:szCs w:val="18"/>
        </w:rPr>
      </w:pPr>
      <w:r>
        <w:rPr>
          <w:rStyle w:val="normaltextrun"/>
          <w:rFonts w:ascii="Poppins" w:hAnsi="Poppins" w:cs="Poppins"/>
          <w:b/>
          <w:bCs/>
          <w:color w:val="3F3F3F"/>
          <w:sz w:val="18"/>
          <w:szCs w:val="18"/>
          <w:u w:val="single"/>
        </w:rPr>
        <w:t>Kontakt pro média:</w:t>
      </w:r>
      <w:r>
        <w:rPr>
          <w:rStyle w:val="scxw71772280"/>
          <w:rFonts w:ascii="Poppins" w:hAnsi="Poppins" w:cs="Poppins"/>
          <w:color w:val="3F3F3F"/>
          <w:sz w:val="18"/>
          <w:szCs w:val="18"/>
        </w:rPr>
        <w:t> </w:t>
      </w:r>
      <w:r>
        <w:rPr>
          <w:rFonts w:ascii="Poppins" w:hAnsi="Poppins" w:cs="Poppins"/>
          <w:color w:val="3F3F3F"/>
          <w:sz w:val="18"/>
          <w:szCs w:val="18"/>
        </w:rPr>
        <w:br/>
      </w:r>
      <w:r>
        <w:rPr>
          <w:rStyle w:val="normaltextrun"/>
          <w:rFonts w:ascii="Poppins" w:hAnsi="Poppins" w:cs="Poppins"/>
          <w:b/>
          <w:bCs/>
          <w:color w:val="3F3F3F"/>
          <w:sz w:val="18"/>
          <w:szCs w:val="18"/>
        </w:rPr>
        <w:t>Vladimíra Kolaříková</w:t>
      </w:r>
      <w:r>
        <w:rPr>
          <w:rStyle w:val="scxw71772280"/>
          <w:rFonts w:ascii="Poppins" w:hAnsi="Poppins" w:cs="Poppins"/>
          <w:color w:val="3F3F3F"/>
          <w:sz w:val="18"/>
          <w:szCs w:val="18"/>
        </w:rPr>
        <w:t> </w:t>
      </w:r>
      <w:r>
        <w:rPr>
          <w:rFonts w:ascii="Poppins" w:hAnsi="Poppins" w:cs="Poppins"/>
          <w:color w:val="3F3F3F"/>
          <w:sz w:val="18"/>
          <w:szCs w:val="18"/>
        </w:rPr>
        <w:br/>
      </w:r>
      <w:r>
        <w:rPr>
          <w:rStyle w:val="normaltextrun"/>
          <w:rFonts w:ascii="Poppins" w:hAnsi="Poppins" w:cs="Poppins"/>
          <w:color w:val="3F3F3F"/>
          <w:sz w:val="18"/>
          <w:szCs w:val="18"/>
        </w:rPr>
        <w:t>PR Manager, Skupina Klik.cz</w:t>
      </w:r>
      <w:r>
        <w:rPr>
          <w:rStyle w:val="scxw71772280"/>
          <w:rFonts w:ascii="Poppins" w:hAnsi="Poppins" w:cs="Poppins"/>
          <w:color w:val="3F3F3F"/>
          <w:sz w:val="18"/>
          <w:szCs w:val="18"/>
        </w:rPr>
        <w:t> </w:t>
      </w:r>
      <w:r>
        <w:rPr>
          <w:rFonts w:ascii="Poppins" w:hAnsi="Poppins" w:cs="Poppins"/>
          <w:color w:val="3F3F3F"/>
          <w:sz w:val="18"/>
          <w:szCs w:val="18"/>
        </w:rPr>
        <w:br/>
      </w:r>
      <w:r>
        <w:rPr>
          <w:rStyle w:val="normaltextrun"/>
          <w:rFonts w:ascii="Poppins" w:hAnsi="Poppins" w:cs="Poppins"/>
          <w:color w:val="3F3F3F"/>
          <w:sz w:val="18"/>
          <w:szCs w:val="18"/>
        </w:rPr>
        <w:t>tel.: +420 602 408</w:t>
      </w:r>
      <w:r>
        <w:rPr>
          <w:rStyle w:val="normaltextrun"/>
          <w:color w:val="3F3F3F"/>
          <w:sz w:val="18"/>
          <w:szCs w:val="18"/>
        </w:rPr>
        <w:t> </w:t>
      </w:r>
      <w:r>
        <w:rPr>
          <w:rStyle w:val="normaltextrun"/>
          <w:rFonts w:ascii="Poppins" w:hAnsi="Poppins" w:cs="Poppins"/>
          <w:color w:val="3F3F3F"/>
          <w:sz w:val="18"/>
          <w:szCs w:val="18"/>
        </w:rPr>
        <w:t>539</w:t>
      </w:r>
      <w:r>
        <w:rPr>
          <w:rStyle w:val="scxw71772280"/>
          <w:rFonts w:ascii="Poppins" w:hAnsi="Poppins" w:cs="Poppins"/>
          <w:color w:val="3F3F3F"/>
          <w:sz w:val="18"/>
          <w:szCs w:val="18"/>
        </w:rPr>
        <w:t> </w:t>
      </w:r>
      <w:r>
        <w:rPr>
          <w:rFonts w:ascii="Poppins" w:hAnsi="Poppins" w:cs="Poppins"/>
          <w:color w:val="3F3F3F"/>
          <w:sz w:val="18"/>
          <w:szCs w:val="18"/>
        </w:rPr>
        <w:br/>
      </w:r>
      <w:r>
        <w:rPr>
          <w:rStyle w:val="normaltextrun"/>
          <w:rFonts w:ascii="Poppins" w:hAnsi="Poppins" w:cs="Poppins"/>
          <w:color w:val="3F3F3F"/>
          <w:sz w:val="18"/>
          <w:szCs w:val="18"/>
        </w:rPr>
        <w:t>e-mail: </w:t>
      </w:r>
      <w:hyperlink r:id="rId12" w:tgtFrame="_blank" w:history="1">
        <w:r>
          <w:rPr>
            <w:rStyle w:val="normaltextrun"/>
            <w:rFonts w:ascii="Poppins" w:hAnsi="Poppins" w:cs="Poppins"/>
            <w:color w:val="3F3F3F"/>
            <w:sz w:val="18"/>
            <w:szCs w:val="18"/>
            <w:u w:val="single"/>
          </w:rPr>
          <w:t>vladimira.kolarikova@klik.cz</w:t>
        </w:r>
      </w:hyperlink>
    </w:p>
    <w:p w14:paraId="2DD28BD0" w14:textId="77777777" w:rsidR="00651FA0" w:rsidRDefault="00651FA0" w:rsidP="00651FA0">
      <w:pPr>
        <w:pStyle w:val="paragraph"/>
        <w:spacing w:before="0" w:beforeAutospacing="0" w:after="0" w:afterAutospacing="0"/>
        <w:jc w:val="both"/>
        <w:textAlignment w:val="baseline"/>
        <w:rPr>
          <w:rFonts w:ascii="Segoe UI" w:hAnsi="Segoe UI" w:cs="Segoe UI"/>
          <w:color w:val="3F3F3F"/>
          <w:sz w:val="18"/>
          <w:szCs w:val="18"/>
        </w:rPr>
      </w:pPr>
    </w:p>
    <w:p w14:paraId="014A6FBA" w14:textId="77777777" w:rsidR="00651FA0" w:rsidRDefault="00651FA0" w:rsidP="00651FA0">
      <w:pPr>
        <w:pStyle w:val="paragraph"/>
        <w:spacing w:before="0" w:beforeAutospacing="0" w:after="0" w:afterAutospacing="0"/>
        <w:jc w:val="both"/>
        <w:textAlignment w:val="baseline"/>
        <w:rPr>
          <w:rFonts w:ascii="Segoe UI" w:hAnsi="Segoe UI" w:cs="Segoe UI"/>
          <w:color w:val="3F3F3F"/>
          <w:sz w:val="18"/>
          <w:szCs w:val="18"/>
        </w:rPr>
      </w:pPr>
      <w:r>
        <w:rPr>
          <w:rStyle w:val="normaltextrun"/>
          <w:rFonts w:ascii="Poppins" w:hAnsi="Poppins" w:cs="Poppins"/>
          <w:b/>
          <w:bCs/>
          <w:color w:val="3F3F3F"/>
          <w:sz w:val="18"/>
          <w:szCs w:val="18"/>
        </w:rPr>
        <w:t>Skupina Klik.cz</w:t>
      </w:r>
    </w:p>
    <w:p w14:paraId="1FACD8C9" w14:textId="77777777" w:rsidR="00651FA0" w:rsidRDefault="00651FA0" w:rsidP="00651FA0">
      <w:pPr>
        <w:pStyle w:val="paragraph"/>
        <w:spacing w:before="0" w:beforeAutospacing="0" w:after="0" w:afterAutospacing="0"/>
        <w:jc w:val="both"/>
        <w:textAlignment w:val="baseline"/>
        <w:rPr>
          <w:rFonts w:ascii="Segoe UI" w:hAnsi="Segoe UI" w:cs="Segoe UI"/>
          <w:color w:val="3F3F3F"/>
          <w:sz w:val="18"/>
          <w:szCs w:val="18"/>
        </w:rPr>
      </w:pPr>
      <w:r>
        <w:rPr>
          <w:rStyle w:val="normaltextrun"/>
          <w:rFonts w:ascii="Poppins" w:hAnsi="Poppins" w:cs="Poppins"/>
          <w:color w:val="3F3F3F"/>
          <w:sz w:val="18"/>
          <w:szCs w:val="18"/>
        </w:rPr>
        <w:t>Sdružujeme přední české internetové srovnávače, díky kterým nabízíme poradenství a sjednávání produktů tak, abychom co nejlépe pomohli šetřit rodinné finance. Exkluzivní partnerství se všemi klíčovými finančními institucemi na českém trhu nám umožňuje nabídnout zákazníkům to nejvýhodnější řešení při zřizování povinného ručení, havarijního pojištění, pojištění domácnosti a nemovitosti, cestovního pojištění, životního pojištění, ale i při volbě půjček, hypoték a</w:t>
      </w:r>
      <w:r>
        <w:rPr>
          <w:rStyle w:val="normaltextrun"/>
          <w:color w:val="3F3F3F"/>
          <w:sz w:val="18"/>
          <w:szCs w:val="18"/>
        </w:rPr>
        <w:t> </w:t>
      </w:r>
      <w:r>
        <w:rPr>
          <w:rStyle w:val="normaltextrun"/>
          <w:rFonts w:ascii="Poppins" w:hAnsi="Poppins" w:cs="Poppins"/>
          <w:color w:val="3F3F3F"/>
          <w:sz w:val="18"/>
          <w:szCs w:val="18"/>
        </w:rPr>
        <w:t>energií. To vše z</w:t>
      </w:r>
      <w:r>
        <w:rPr>
          <w:rStyle w:val="normaltextrun"/>
          <w:color w:val="3F3F3F"/>
          <w:sz w:val="18"/>
          <w:szCs w:val="18"/>
        </w:rPr>
        <w:t> </w:t>
      </w:r>
      <w:r>
        <w:rPr>
          <w:rStyle w:val="normaltextrun"/>
          <w:rFonts w:ascii="Poppins" w:hAnsi="Poppins" w:cs="Poppins"/>
          <w:color w:val="3F3F3F"/>
          <w:sz w:val="18"/>
          <w:szCs w:val="18"/>
        </w:rPr>
        <w:t>pohodlí jejich domovů.</w:t>
      </w:r>
    </w:p>
    <w:p w14:paraId="450562EC" w14:textId="77777777" w:rsidR="00651FA0" w:rsidRDefault="00651FA0" w:rsidP="00651FA0">
      <w:pPr>
        <w:pStyle w:val="paragraph"/>
        <w:spacing w:before="0" w:beforeAutospacing="0" w:after="0" w:afterAutospacing="0"/>
        <w:jc w:val="both"/>
        <w:textAlignment w:val="baseline"/>
        <w:rPr>
          <w:rFonts w:ascii="Segoe UI" w:hAnsi="Segoe UI" w:cs="Segoe UI"/>
          <w:color w:val="3F3F3F"/>
          <w:sz w:val="18"/>
          <w:szCs w:val="18"/>
        </w:rPr>
      </w:pPr>
      <w:r>
        <w:rPr>
          <w:rStyle w:val="normaltextrun"/>
          <w:rFonts w:ascii="Poppins" w:hAnsi="Poppins" w:cs="Poppins"/>
          <w:color w:val="3F3F3F"/>
          <w:sz w:val="18"/>
          <w:szCs w:val="18"/>
        </w:rPr>
        <w:t>Naše srovnávače vystupují jako samostatní zprostředkovatelé dle zákona o distribuci pojištění. Řídíme se zákonem o</w:t>
      </w:r>
      <w:r>
        <w:rPr>
          <w:rStyle w:val="normaltextrun"/>
          <w:color w:val="3F3F3F"/>
          <w:sz w:val="18"/>
          <w:szCs w:val="18"/>
        </w:rPr>
        <w:t> </w:t>
      </w:r>
      <w:r>
        <w:rPr>
          <w:rStyle w:val="normaltextrun"/>
          <w:rFonts w:ascii="Poppins" w:hAnsi="Poppins" w:cs="Poppins"/>
          <w:color w:val="3F3F3F"/>
          <w:sz w:val="18"/>
          <w:szCs w:val="18"/>
        </w:rPr>
        <w:t>energetice a</w:t>
      </w:r>
      <w:r>
        <w:rPr>
          <w:rStyle w:val="normaltextrun"/>
          <w:color w:val="3F3F3F"/>
          <w:sz w:val="18"/>
          <w:szCs w:val="18"/>
        </w:rPr>
        <w:t> </w:t>
      </w:r>
      <w:r>
        <w:rPr>
          <w:rStyle w:val="normaltextrun"/>
          <w:rFonts w:ascii="Poppins" w:hAnsi="Poppins" w:cs="Poppins"/>
          <w:color w:val="3F3F3F"/>
          <w:sz w:val="18"/>
          <w:szCs w:val="18"/>
        </w:rPr>
        <w:t>předpisy Energetického regulačního úřadu. Plníme roli objektivního a</w:t>
      </w:r>
      <w:r>
        <w:rPr>
          <w:rStyle w:val="normaltextrun"/>
          <w:color w:val="3F3F3F"/>
          <w:sz w:val="18"/>
          <w:szCs w:val="18"/>
        </w:rPr>
        <w:t> </w:t>
      </w:r>
      <w:r>
        <w:rPr>
          <w:rStyle w:val="normaltextrun"/>
          <w:rFonts w:ascii="Poppins" w:hAnsi="Poppins" w:cs="Poppins"/>
          <w:color w:val="3F3F3F"/>
          <w:sz w:val="18"/>
          <w:szCs w:val="18"/>
        </w:rPr>
        <w:t>transparentního prostředníka, který je motivován k</w:t>
      </w:r>
      <w:r>
        <w:rPr>
          <w:rStyle w:val="normaltextrun"/>
          <w:color w:val="3F3F3F"/>
          <w:sz w:val="18"/>
          <w:szCs w:val="18"/>
        </w:rPr>
        <w:t> </w:t>
      </w:r>
      <w:r>
        <w:rPr>
          <w:rStyle w:val="normaltextrun"/>
          <w:rFonts w:ascii="Poppins" w:hAnsi="Poppins" w:cs="Poppins"/>
          <w:color w:val="3F3F3F"/>
          <w:sz w:val="18"/>
          <w:szCs w:val="18"/>
        </w:rPr>
        <w:t>propagaci nejvhodnějšího produktu pro klienta bez ohledu na konečný výběr značky pojišťovny.</w:t>
      </w:r>
    </w:p>
    <w:p w14:paraId="6D4310B3" w14:textId="7AB0DD26" w:rsidR="00667EE5" w:rsidRPr="00667EE5" w:rsidRDefault="00651FA0" w:rsidP="00651FA0">
      <w:pPr>
        <w:tabs>
          <w:tab w:val="left" w:pos="2190"/>
        </w:tabs>
      </w:pPr>
      <w:r>
        <w:rPr>
          <w:rStyle w:val="normaltextrun"/>
          <w:rFonts w:cs="Poppins"/>
          <w:szCs w:val="18"/>
        </w:rPr>
        <w:t>Součástí Skupiny Klik.cz jsou tyto klíčové srovnávače: Klik.cz, Srovnejto.cz, ePojisteni.cz, </w:t>
      </w:r>
      <w:proofErr w:type="spellStart"/>
      <w:r>
        <w:rPr>
          <w:rStyle w:val="normaltextrun"/>
          <w:rFonts w:cs="Poppins"/>
          <w:szCs w:val="18"/>
        </w:rPr>
        <w:t>Tarifomat</w:t>
      </w:r>
      <w:proofErr w:type="spellEnd"/>
      <w:r>
        <w:rPr>
          <w:rStyle w:val="normaltextrun"/>
          <w:rFonts w:cs="Poppins"/>
          <w:szCs w:val="18"/>
        </w:rPr>
        <w:t> a</w:t>
      </w:r>
      <w:r>
        <w:rPr>
          <w:rStyle w:val="normaltextrun"/>
          <w:szCs w:val="18"/>
        </w:rPr>
        <w:t> </w:t>
      </w:r>
      <w:r>
        <w:rPr>
          <w:rStyle w:val="normaltextrun"/>
          <w:rFonts w:cs="Poppins"/>
          <w:szCs w:val="18"/>
        </w:rPr>
        <w:t>Porovnej24.cz. Jsme součástí mezinárodní skupiny </w:t>
      </w:r>
      <w:proofErr w:type="spellStart"/>
      <w:r>
        <w:rPr>
          <w:rStyle w:val="normaltextrun"/>
          <w:rFonts w:cs="Poppins"/>
          <w:szCs w:val="18"/>
        </w:rPr>
        <w:t>Netrisk</w:t>
      </w:r>
      <w:proofErr w:type="spellEnd"/>
      <w:r>
        <w:rPr>
          <w:rStyle w:val="normaltextrun"/>
          <w:rFonts w:cs="Poppins"/>
          <w:szCs w:val="18"/>
        </w:rPr>
        <w:t> Group, která kromě Česka provozuje srovnávače v</w:t>
      </w:r>
      <w:r>
        <w:rPr>
          <w:rStyle w:val="normaltextrun"/>
          <w:szCs w:val="18"/>
        </w:rPr>
        <w:t> </w:t>
      </w:r>
      <w:r>
        <w:rPr>
          <w:rStyle w:val="normaltextrun"/>
          <w:rFonts w:cs="Poppins"/>
          <w:szCs w:val="18"/>
        </w:rPr>
        <w:t>dalších pěti evropských zemích: na Slovensku, v</w:t>
      </w:r>
      <w:r>
        <w:rPr>
          <w:rStyle w:val="normaltextrun"/>
          <w:szCs w:val="18"/>
        </w:rPr>
        <w:t> </w:t>
      </w:r>
      <w:r>
        <w:rPr>
          <w:rStyle w:val="normaltextrun"/>
          <w:rFonts w:cs="Poppins"/>
          <w:szCs w:val="18"/>
        </w:rPr>
        <w:t>Rakousku, Maďarsku, Polsku a Litvě.</w:t>
      </w:r>
    </w:p>
    <w:sectPr w:rsidR="00667EE5" w:rsidRPr="00667EE5" w:rsidSect="005E69BE">
      <w:headerReference w:type="default" r:id="rId13"/>
      <w:footerReference w:type="default" r:id="rId14"/>
      <w:pgSz w:w="11906" w:h="16838"/>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E8EFA" w14:textId="77777777" w:rsidR="00ED7055" w:rsidRDefault="00ED7055" w:rsidP="005E69BE">
      <w:pPr>
        <w:spacing w:line="240" w:lineRule="auto"/>
      </w:pPr>
      <w:r>
        <w:separator/>
      </w:r>
    </w:p>
  </w:endnote>
  <w:endnote w:type="continuationSeparator" w:id="0">
    <w:p w14:paraId="334ADE85" w14:textId="77777777" w:rsidR="00ED7055" w:rsidRDefault="00ED7055" w:rsidP="005E69BE">
      <w:pPr>
        <w:spacing w:line="240" w:lineRule="auto"/>
      </w:pPr>
      <w:r>
        <w:continuationSeparator/>
      </w:r>
    </w:p>
  </w:endnote>
  <w:endnote w:type="continuationNotice" w:id="1">
    <w:p w14:paraId="01D297C7" w14:textId="77777777" w:rsidR="00ED7055" w:rsidRDefault="00ED705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Inter">
    <w:altName w:val="Calibri"/>
    <w:charset w:val="EE"/>
    <w:family w:val="auto"/>
    <w:pitch w:val="variable"/>
    <w:sig w:usb0="E00002FF" w:usb1="1200A1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oppins">
    <w:charset w:val="EE"/>
    <w:family w:val="auto"/>
    <w:pitch w:val="variable"/>
    <w:sig w:usb0="00008007" w:usb1="00000000" w:usb2="00000000" w:usb3="00000000" w:csb0="00000093" w:csb1="00000000"/>
  </w:font>
  <w:font w:name="Poppins Bold">
    <w:altName w:val="Poppins"/>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 w:name="Fedra Sans Alt Std Light">
    <w:altName w:val="Calibri"/>
    <w:panose1 w:val="00000000000000000000"/>
    <w:charset w:val="00"/>
    <w:family w:val="modern"/>
    <w:notTrueType/>
    <w:pitch w:val="variable"/>
    <w:sig w:usb0="A000003F" w:usb1="5001E4FB" w:usb2="00000000" w:usb3="00000000" w:csb0="00000093" w:csb1="00000000"/>
  </w:font>
  <w:font w:name="Calibri">
    <w:panose1 w:val="020F0502020204030204"/>
    <w:charset w:val="EE"/>
    <w:family w:val="swiss"/>
    <w:pitch w:val="variable"/>
    <w:sig w:usb0="E4002EFF" w:usb1="C200247B" w:usb2="00000009" w:usb3="00000000" w:csb0="000001FF" w:csb1="00000000"/>
  </w:font>
  <w:font w:name="Fedra Sans Alt Std Medium">
    <w:altName w:val="Calibri"/>
    <w:panose1 w:val="00000000000000000000"/>
    <w:charset w:val="00"/>
    <w:family w:val="modern"/>
    <w:notTrueType/>
    <w:pitch w:val="variable"/>
    <w:sig w:usb0="E00002FF" w:usb1="5001E4FB" w:usb2="00000000" w:usb3="00000000" w:csb0="0000019F" w:csb1="00000000"/>
  </w:font>
  <w:font w:name="Quicksand">
    <w:altName w:val="Calibri"/>
    <w:charset w:val="EE"/>
    <w:family w:val="auto"/>
    <w:pitch w:val="variable"/>
    <w:sig w:usb0="2000000F" w:usb1="00000001" w:usb2="00000000" w:usb3="00000000" w:csb0="00000193"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64184" w14:textId="0297CACB" w:rsidR="009F16E3" w:rsidRPr="009F16E3" w:rsidRDefault="005C02ED" w:rsidP="009F16E3">
    <w:pPr>
      <w:pStyle w:val="Zpat"/>
      <w:jc w:val="center"/>
      <w:rPr>
        <w:sz w:val="16"/>
        <w:szCs w:val="16"/>
      </w:rPr>
    </w:pPr>
    <w:r w:rsidRPr="005C02ED">
      <w:rPr>
        <w:noProof/>
      </w:rPr>
      <w:drawing>
        <wp:anchor distT="0" distB="0" distL="114300" distR="114300" simplePos="0" relativeHeight="251658241" behindDoc="0" locked="0" layoutInCell="1" allowOverlap="1" wp14:anchorId="6BFDF74E" wp14:editId="7813F33E">
          <wp:simplePos x="0" y="0"/>
          <wp:positionH relativeFrom="margin">
            <wp:posOffset>-19050</wp:posOffset>
          </wp:positionH>
          <wp:positionV relativeFrom="paragraph">
            <wp:posOffset>-204899</wp:posOffset>
          </wp:positionV>
          <wp:extent cx="6157722" cy="190445"/>
          <wp:effectExtent l="0" t="0" r="0" b="635"/>
          <wp:wrapNone/>
          <wp:docPr id="1287204318"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204318" name=""/>
                  <pic:cNvPicPr/>
                </pic:nvPicPr>
                <pic:blipFill>
                  <a:blip r:embed="rId1">
                    <a:extLst>
                      <a:ext uri="{96DAC541-7B7A-43D3-8B79-37D633B846F1}">
                        <asvg:svgBlip xmlns:asvg="http://schemas.microsoft.com/office/drawing/2016/SVG/main" r:embed="rId2"/>
                      </a:ext>
                    </a:extLst>
                  </a:blip>
                  <a:stretch>
                    <a:fillRect/>
                  </a:stretch>
                </pic:blipFill>
                <pic:spPr>
                  <a:xfrm>
                    <a:off x="0" y="0"/>
                    <a:ext cx="6157722" cy="190445"/>
                  </a:xfrm>
                  <a:prstGeom prst="rect">
                    <a:avLst/>
                  </a:prstGeom>
                </pic:spPr>
              </pic:pic>
            </a:graphicData>
          </a:graphic>
          <wp14:sizeRelH relativeFrom="margin">
            <wp14:pctWidth>0</wp14:pctWidth>
          </wp14:sizeRelH>
          <wp14:sizeRelV relativeFrom="margin">
            <wp14:pctHeight>0</wp14:pctHeight>
          </wp14:sizeRelV>
        </wp:anchor>
      </w:drawing>
    </w:r>
    <w:r w:rsidR="1C0DDF9F" w:rsidRPr="009F16E3">
      <w:rPr>
        <w:sz w:val="16"/>
        <w:szCs w:val="16"/>
      </w:rPr>
      <w:t xml:space="preserve">Rohanské nábřeží 678/29, 186 </w:t>
    </w:r>
    <w:bookmarkStart w:id="0" w:name="_Int_UzZbAyGY"/>
    <w:r w:rsidR="1C0DDF9F" w:rsidRPr="009F16E3">
      <w:rPr>
        <w:sz w:val="16"/>
        <w:szCs w:val="16"/>
      </w:rPr>
      <w:t>00  Praha</w:t>
    </w:r>
    <w:bookmarkEnd w:id="0"/>
    <w:r w:rsidR="1C0DDF9F" w:rsidRPr="009F16E3">
      <w:rPr>
        <w:sz w:val="16"/>
        <w:szCs w:val="16"/>
      </w:rPr>
      <w:t xml:space="preserve"> 8 - Karlín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BCA9E" w14:textId="77777777" w:rsidR="00ED7055" w:rsidRDefault="00ED7055" w:rsidP="005E69BE">
      <w:pPr>
        <w:spacing w:line="240" w:lineRule="auto"/>
      </w:pPr>
      <w:r>
        <w:separator/>
      </w:r>
    </w:p>
  </w:footnote>
  <w:footnote w:type="continuationSeparator" w:id="0">
    <w:p w14:paraId="49BD2BE7" w14:textId="77777777" w:rsidR="00ED7055" w:rsidRDefault="00ED7055" w:rsidP="005E69BE">
      <w:pPr>
        <w:spacing w:line="240" w:lineRule="auto"/>
      </w:pPr>
      <w:r>
        <w:continuationSeparator/>
      </w:r>
    </w:p>
  </w:footnote>
  <w:footnote w:type="continuationNotice" w:id="1">
    <w:p w14:paraId="2B54D6C5" w14:textId="77777777" w:rsidR="00ED7055" w:rsidRDefault="00ED705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18"/>
      </w:rPr>
      <w:id w:val="-1318336367"/>
      <w:docPartObj>
        <w:docPartGallery w:val="Page Numbers (Top of Page)"/>
        <w:docPartUnique/>
      </w:docPartObj>
    </w:sdtPr>
    <w:sdtContent>
      <w:p w14:paraId="7DF950EC" w14:textId="368D1022" w:rsidR="002C02E4" w:rsidRPr="005C02ED" w:rsidRDefault="00C61BB3">
        <w:pPr>
          <w:pStyle w:val="Zhlav"/>
          <w:jc w:val="right"/>
          <w:rPr>
            <w:szCs w:val="18"/>
          </w:rPr>
        </w:pPr>
        <w:r w:rsidRPr="005C02ED">
          <w:rPr>
            <w:noProof/>
            <w:szCs w:val="18"/>
          </w:rPr>
          <w:drawing>
            <wp:anchor distT="0" distB="0" distL="114300" distR="114300" simplePos="0" relativeHeight="251658240" behindDoc="0" locked="0" layoutInCell="1" allowOverlap="1" wp14:anchorId="6BA586DA" wp14:editId="24084EB8">
              <wp:simplePos x="0" y="0"/>
              <wp:positionH relativeFrom="column">
                <wp:posOffset>10700</wp:posOffset>
              </wp:positionH>
              <wp:positionV relativeFrom="paragraph">
                <wp:posOffset>194310</wp:posOffset>
              </wp:positionV>
              <wp:extent cx="1490205" cy="184150"/>
              <wp:effectExtent l="0" t="0" r="0" b="6350"/>
              <wp:wrapNone/>
              <wp:docPr id="453262952"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262952" name=""/>
                      <pic:cNvPicPr/>
                    </pic:nvPicPr>
                    <pic:blipFill>
                      <a:blip r:embed="rId1">
                        <a:extLst>
                          <a:ext uri="{96DAC541-7B7A-43D3-8B79-37D633B846F1}">
                            <asvg:svgBlip xmlns:asvg="http://schemas.microsoft.com/office/drawing/2016/SVG/main" r:embed="rId2"/>
                          </a:ext>
                        </a:extLst>
                      </a:blip>
                      <a:stretch>
                        <a:fillRect/>
                      </a:stretch>
                    </pic:blipFill>
                    <pic:spPr>
                      <a:xfrm>
                        <a:off x="0" y="0"/>
                        <a:ext cx="1490205" cy="184150"/>
                      </a:xfrm>
                      <a:prstGeom prst="rect">
                        <a:avLst/>
                      </a:prstGeom>
                    </pic:spPr>
                  </pic:pic>
                </a:graphicData>
              </a:graphic>
              <wp14:sizeRelH relativeFrom="margin">
                <wp14:pctWidth>0</wp14:pctWidth>
              </wp14:sizeRelH>
              <wp14:sizeRelV relativeFrom="margin">
                <wp14:pctHeight>0</wp14:pctHeight>
              </wp14:sizeRelV>
            </wp:anchor>
          </w:drawing>
        </w:r>
      </w:p>
      <w:p w14:paraId="509FE4CA" w14:textId="705CE368" w:rsidR="00862E1A" w:rsidRPr="005C02ED" w:rsidRDefault="00862E1A">
        <w:pPr>
          <w:pStyle w:val="Zhlav"/>
          <w:jc w:val="right"/>
          <w:rPr>
            <w:szCs w:val="18"/>
          </w:rPr>
        </w:pPr>
        <w:r w:rsidRPr="005C02ED">
          <w:rPr>
            <w:szCs w:val="18"/>
          </w:rPr>
          <w:fldChar w:fldCharType="begin"/>
        </w:r>
        <w:r w:rsidRPr="005C02ED">
          <w:rPr>
            <w:szCs w:val="18"/>
          </w:rPr>
          <w:instrText>PAGE</w:instrText>
        </w:r>
        <w:r w:rsidRPr="005C02ED">
          <w:rPr>
            <w:szCs w:val="18"/>
          </w:rPr>
          <w:fldChar w:fldCharType="separate"/>
        </w:r>
        <w:r w:rsidRPr="005C02ED">
          <w:rPr>
            <w:szCs w:val="18"/>
          </w:rPr>
          <w:t>2</w:t>
        </w:r>
        <w:r w:rsidRPr="005C02ED">
          <w:rPr>
            <w:szCs w:val="18"/>
          </w:rPr>
          <w:fldChar w:fldCharType="end"/>
        </w:r>
        <w:r w:rsidRPr="005C02ED">
          <w:rPr>
            <w:color w:val="E5087D"/>
            <w:szCs w:val="18"/>
          </w:rPr>
          <w:t>/</w:t>
        </w:r>
        <w:r w:rsidRPr="005C02ED">
          <w:rPr>
            <w:szCs w:val="18"/>
          </w:rPr>
          <w:fldChar w:fldCharType="begin"/>
        </w:r>
        <w:r w:rsidRPr="005C02ED">
          <w:rPr>
            <w:szCs w:val="18"/>
          </w:rPr>
          <w:instrText>NUMPAGES</w:instrText>
        </w:r>
        <w:r w:rsidRPr="005C02ED">
          <w:rPr>
            <w:szCs w:val="18"/>
          </w:rPr>
          <w:fldChar w:fldCharType="separate"/>
        </w:r>
        <w:r w:rsidRPr="005C02ED">
          <w:rPr>
            <w:szCs w:val="18"/>
          </w:rPr>
          <w:t>2</w:t>
        </w:r>
        <w:r w:rsidRPr="005C02ED">
          <w:rPr>
            <w:szCs w:val="18"/>
          </w:rPr>
          <w:fldChar w:fldCharType="end"/>
        </w:r>
      </w:p>
    </w:sdtContent>
  </w:sdt>
  <w:p w14:paraId="29DBBA6B" w14:textId="03CFDAEB" w:rsidR="005E69BE" w:rsidRPr="005C02ED" w:rsidRDefault="005E69BE">
    <w:pPr>
      <w:pStyle w:val="Zhlav"/>
      <w:rPr>
        <w:sz w:val="22"/>
        <w:szCs w:val="24"/>
      </w:rPr>
    </w:pPr>
  </w:p>
</w:hdr>
</file>

<file path=word/intelligence2.xml><?xml version="1.0" encoding="utf-8"?>
<int2:intelligence xmlns:int2="http://schemas.microsoft.com/office/intelligence/2020/intelligence" xmlns:oel="http://schemas.microsoft.com/office/2019/extlst">
  <int2:observations>
    <int2:bookmark int2:bookmarkName="_Int_UzZbAyGY" int2:invalidationBookmarkName="" int2:hashCode="vnCHo1Xc6NGPFg" int2:id="De1Gf6v7">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11C13"/>
    <w:multiLevelType w:val="multilevel"/>
    <w:tmpl w:val="8620F312"/>
    <w:lvl w:ilvl="0">
      <w:start w:val="1"/>
      <w:numFmt w:val="bullet"/>
      <w:pStyle w:val="Odrka1"/>
      <w:lvlText w:val="•"/>
      <w:lvlJc w:val="left"/>
      <w:pPr>
        <w:ind w:left="360" w:hanging="360"/>
      </w:pPr>
      <w:rPr>
        <w:rFonts w:ascii="Inter" w:hAnsi="Inter" w:hint="default"/>
        <w:caps w:val="0"/>
        <w:strike w:val="0"/>
        <w:dstrike w:val="0"/>
        <w:color w:val="E5087D"/>
        <w:sz w:val="16"/>
        <w:vertAlign w:val="baseline"/>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5F01D69"/>
    <w:multiLevelType w:val="multilevel"/>
    <w:tmpl w:val="152C7B84"/>
    <w:lvl w:ilvl="0">
      <w:start w:val="1"/>
      <w:numFmt w:val="decimal"/>
      <w:lvlText w:val="%1."/>
      <w:lvlJc w:val="left"/>
      <w:pPr>
        <w:tabs>
          <w:tab w:val="num" w:pos="720"/>
        </w:tabs>
        <w:ind w:left="720" w:hanging="720"/>
      </w:pPr>
    </w:lvl>
    <w:lvl w:ilvl="1">
      <w:start w:val="1"/>
      <w:numFmt w:val="decimal"/>
      <w:pStyle w:val="Odrka3"/>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A235ADD"/>
    <w:multiLevelType w:val="hybridMultilevel"/>
    <w:tmpl w:val="1A3262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D9F11D4"/>
    <w:multiLevelType w:val="hybridMultilevel"/>
    <w:tmpl w:val="6CEE69D4"/>
    <w:lvl w:ilvl="0" w:tplc="5A5874D6">
      <w:start w:val="1"/>
      <w:numFmt w:val="bullet"/>
      <w:lvlText w:val=""/>
      <w:lvlJc w:val="left"/>
      <w:pPr>
        <w:ind w:left="360" w:hanging="360"/>
      </w:pPr>
      <w:rPr>
        <w:rFonts w:ascii="Wingdings" w:hAnsi="Wingdings" w:hint="default"/>
        <w:color w:val="B8A875"/>
        <w:sz w:val="10"/>
      </w:rPr>
    </w:lvl>
    <w:lvl w:ilvl="1" w:tplc="FFFFFFFF" w:tentative="1">
      <w:start w:val="1"/>
      <w:numFmt w:val="bullet"/>
      <w:lvlText w:val="o"/>
      <w:lvlJc w:val="left"/>
      <w:pPr>
        <w:ind w:left="796" w:hanging="360"/>
      </w:pPr>
      <w:rPr>
        <w:rFonts w:ascii="Courier New" w:hAnsi="Courier New" w:cs="Courier New" w:hint="default"/>
      </w:rPr>
    </w:lvl>
    <w:lvl w:ilvl="2" w:tplc="FFFFFFFF" w:tentative="1">
      <w:start w:val="1"/>
      <w:numFmt w:val="bullet"/>
      <w:lvlText w:val=""/>
      <w:lvlJc w:val="left"/>
      <w:pPr>
        <w:ind w:left="1516" w:hanging="360"/>
      </w:pPr>
      <w:rPr>
        <w:rFonts w:ascii="Wingdings" w:hAnsi="Wingdings" w:hint="default"/>
      </w:rPr>
    </w:lvl>
    <w:lvl w:ilvl="3" w:tplc="FFFFFFFF" w:tentative="1">
      <w:start w:val="1"/>
      <w:numFmt w:val="bullet"/>
      <w:lvlText w:val=""/>
      <w:lvlJc w:val="left"/>
      <w:pPr>
        <w:ind w:left="2236" w:hanging="360"/>
      </w:pPr>
      <w:rPr>
        <w:rFonts w:ascii="Symbol" w:hAnsi="Symbol" w:hint="default"/>
      </w:rPr>
    </w:lvl>
    <w:lvl w:ilvl="4" w:tplc="FFFFFFFF" w:tentative="1">
      <w:start w:val="1"/>
      <w:numFmt w:val="bullet"/>
      <w:lvlText w:val="o"/>
      <w:lvlJc w:val="left"/>
      <w:pPr>
        <w:ind w:left="2956" w:hanging="360"/>
      </w:pPr>
      <w:rPr>
        <w:rFonts w:ascii="Courier New" w:hAnsi="Courier New" w:cs="Courier New" w:hint="default"/>
      </w:rPr>
    </w:lvl>
    <w:lvl w:ilvl="5" w:tplc="FFFFFFFF" w:tentative="1">
      <w:start w:val="1"/>
      <w:numFmt w:val="bullet"/>
      <w:lvlText w:val=""/>
      <w:lvlJc w:val="left"/>
      <w:pPr>
        <w:ind w:left="3676" w:hanging="360"/>
      </w:pPr>
      <w:rPr>
        <w:rFonts w:ascii="Wingdings" w:hAnsi="Wingdings" w:hint="default"/>
      </w:rPr>
    </w:lvl>
    <w:lvl w:ilvl="6" w:tplc="FFFFFFFF" w:tentative="1">
      <w:start w:val="1"/>
      <w:numFmt w:val="bullet"/>
      <w:lvlText w:val=""/>
      <w:lvlJc w:val="left"/>
      <w:pPr>
        <w:ind w:left="4396" w:hanging="360"/>
      </w:pPr>
      <w:rPr>
        <w:rFonts w:ascii="Symbol" w:hAnsi="Symbol" w:hint="default"/>
      </w:rPr>
    </w:lvl>
    <w:lvl w:ilvl="7" w:tplc="FFFFFFFF" w:tentative="1">
      <w:start w:val="1"/>
      <w:numFmt w:val="bullet"/>
      <w:lvlText w:val="o"/>
      <w:lvlJc w:val="left"/>
      <w:pPr>
        <w:ind w:left="5116" w:hanging="360"/>
      </w:pPr>
      <w:rPr>
        <w:rFonts w:ascii="Courier New" w:hAnsi="Courier New" w:cs="Courier New" w:hint="default"/>
      </w:rPr>
    </w:lvl>
    <w:lvl w:ilvl="8" w:tplc="FFFFFFFF" w:tentative="1">
      <w:start w:val="1"/>
      <w:numFmt w:val="bullet"/>
      <w:lvlText w:val=""/>
      <w:lvlJc w:val="left"/>
      <w:pPr>
        <w:ind w:left="5836" w:hanging="360"/>
      </w:pPr>
      <w:rPr>
        <w:rFonts w:ascii="Wingdings" w:hAnsi="Wingdings" w:hint="default"/>
      </w:rPr>
    </w:lvl>
  </w:abstractNum>
  <w:abstractNum w:abstractNumId="4" w15:restartNumberingAfterBreak="0">
    <w:nsid w:val="5B092D2F"/>
    <w:multiLevelType w:val="hybridMultilevel"/>
    <w:tmpl w:val="3342E8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6B072B96"/>
    <w:multiLevelType w:val="multilevel"/>
    <w:tmpl w:val="820A2B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140664">
    <w:abstractNumId w:val="3"/>
  </w:num>
  <w:num w:numId="2" w16cid:durableId="229508072">
    <w:abstractNumId w:val="0"/>
  </w:num>
  <w:num w:numId="3" w16cid:durableId="1338994047">
    <w:abstractNumId w:val="5"/>
  </w:num>
  <w:num w:numId="4" w16cid:durableId="1826235833">
    <w:abstractNumId w:val="1"/>
  </w:num>
  <w:num w:numId="5" w16cid:durableId="703364043">
    <w:abstractNumId w:val="4"/>
  </w:num>
  <w:num w:numId="6" w16cid:durableId="19666944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9BE"/>
    <w:rsid w:val="00014FE6"/>
    <w:rsid w:val="00024B7C"/>
    <w:rsid w:val="0002767C"/>
    <w:rsid w:val="000F566A"/>
    <w:rsid w:val="00154C0B"/>
    <w:rsid w:val="00177BF1"/>
    <w:rsid w:val="00184EC9"/>
    <w:rsid w:val="001B62A5"/>
    <w:rsid w:val="001D498C"/>
    <w:rsid w:val="001F379C"/>
    <w:rsid w:val="00221B15"/>
    <w:rsid w:val="00251883"/>
    <w:rsid w:val="002616EA"/>
    <w:rsid w:val="00264EFD"/>
    <w:rsid w:val="00277A2B"/>
    <w:rsid w:val="002B2E5E"/>
    <w:rsid w:val="002C02E4"/>
    <w:rsid w:val="002C5A1C"/>
    <w:rsid w:val="002D4DF8"/>
    <w:rsid w:val="00352F3E"/>
    <w:rsid w:val="0036124B"/>
    <w:rsid w:val="00384513"/>
    <w:rsid w:val="003B3DBC"/>
    <w:rsid w:val="003D4504"/>
    <w:rsid w:val="00453A7C"/>
    <w:rsid w:val="004B6AB1"/>
    <w:rsid w:val="004C201A"/>
    <w:rsid w:val="004E38AD"/>
    <w:rsid w:val="005237D9"/>
    <w:rsid w:val="005270CB"/>
    <w:rsid w:val="00554846"/>
    <w:rsid w:val="00564F72"/>
    <w:rsid w:val="00577C4F"/>
    <w:rsid w:val="0058172B"/>
    <w:rsid w:val="005C02ED"/>
    <w:rsid w:val="005E25D4"/>
    <w:rsid w:val="005E69BE"/>
    <w:rsid w:val="005F6445"/>
    <w:rsid w:val="00631981"/>
    <w:rsid w:val="00641C4C"/>
    <w:rsid w:val="006505AC"/>
    <w:rsid w:val="00651FA0"/>
    <w:rsid w:val="00667EE5"/>
    <w:rsid w:val="00686EC2"/>
    <w:rsid w:val="006933CC"/>
    <w:rsid w:val="006976B0"/>
    <w:rsid w:val="006F113E"/>
    <w:rsid w:val="00735552"/>
    <w:rsid w:val="007B4565"/>
    <w:rsid w:val="007C2292"/>
    <w:rsid w:val="00862D48"/>
    <w:rsid w:val="00862E1A"/>
    <w:rsid w:val="008F2CB5"/>
    <w:rsid w:val="00903362"/>
    <w:rsid w:val="0096138A"/>
    <w:rsid w:val="009665AD"/>
    <w:rsid w:val="0096679B"/>
    <w:rsid w:val="00981CA9"/>
    <w:rsid w:val="009A2383"/>
    <w:rsid w:val="009E068E"/>
    <w:rsid w:val="009F16E3"/>
    <w:rsid w:val="00A27122"/>
    <w:rsid w:val="00A63BAE"/>
    <w:rsid w:val="00A72CD5"/>
    <w:rsid w:val="00A7526D"/>
    <w:rsid w:val="00AC4F16"/>
    <w:rsid w:val="00B21FE1"/>
    <w:rsid w:val="00B431BF"/>
    <w:rsid w:val="00BC66FA"/>
    <w:rsid w:val="00C27D3E"/>
    <w:rsid w:val="00C61BB3"/>
    <w:rsid w:val="00CB39D8"/>
    <w:rsid w:val="00CD375E"/>
    <w:rsid w:val="00CE50B6"/>
    <w:rsid w:val="00D123A7"/>
    <w:rsid w:val="00D57F02"/>
    <w:rsid w:val="00D63B2A"/>
    <w:rsid w:val="00D94210"/>
    <w:rsid w:val="00EB4773"/>
    <w:rsid w:val="00ED7055"/>
    <w:rsid w:val="00F01CDB"/>
    <w:rsid w:val="00F36F3C"/>
    <w:rsid w:val="00F6515F"/>
    <w:rsid w:val="00FB1628"/>
    <w:rsid w:val="00FD5810"/>
    <w:rsid w:val="1C0DDF9F"/>
    <w:rsid w:val="1D8F7177"/>
    <w:rsid w:val="3ACA94AC"/>
    <w:rsid w:val="402F8FDA"/>
    <w:rsid w:val="530D128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16DD4E"/>
  <w15:chartTrackingRefBased/>
  <w15:docId w15:val="{77376C76-91E6-4A3C-8958-550411246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7"/>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F16E3"/>
    <w:pPr>
      <w:spacing w:line="320" w:lineRule="exact"/>
      <w:jc w:val="both"/>
    </w:pPr>
    <w:rPr>
      <w:rFonts w:ascii="Poppins" w:hAnsi="Poppins"/>
      <w:color w:val="3F3F3F"/>
      <w:kern w:val="0"/>
      <w:sz w:val="18"/>
    </w:rPr>
  </w:style>
  <w:style w:type="paragraph" w:styleId="Nadpis1">
    <w:name w:val="heading 1"/>
    <w:link w:val="Nadpis1Char"/>
    <w:uiPriority w:val="9"/>
    <w:qFormat/>
    <w:rsid w:val="009F16E3"/>
    <w:pPr>
      <w:keepNext/>
      <w:keepLines/>
      <w:spacing w:before="200" w:after="100"/>
      <w:contextualSpacing/>
      <w:outlineLvl w:val="0"/>
    </w:pPr>
    <w:rPr>
      <w:rFonts w:ascii="Poppins Bold" w:eastAsiaTheme="majorEastAsia" w:hAnsi="Poppins Bold" w:cstheme="majorBidi"/>
      <w:color w:val="000000" w:themeColor="text1"/>
      <w:sz w:val="32"/>
      <w:szCs w:val="40"/>
    </w:rPr>
  </w:style>
  <w:style w:type="paragraph" w:styleId="Nadpis2">
    <w:name w:val="heading 2"/>
    <w:basedOn w:val="Nadpis1"/>
    <w:next w:val="Normln"/>
    <w:link w:val="Nadpis2Char"/>
    <w:uiPriority w:val="9"/>
    <w:unhideWhenUsed/>
    <w:qFormat/>
    <w:rsid w:val="002C02E4"/>
    <w:pPr>
      <w:spacing w:after="0"/>
      <w:outlineLvl w:val="1"/>
    </w:pPr>
    <w:rPr>
      <w:sz w:val="24"/>
      <w:szCs w:val="32"/>
    </w:rPr>
  </w:style>
  <w:style w:type="paragraph" w:styleId="Nadpis3">
    <w:name w:val="heading 3"/>
    <w:basedOn w:val="Normln"/>
    <w:next w:val="Normln"/>
    <w:link w:val="Nadpis3Char"/>
    <w:uiPriority w:val="9"/>
    <w:semiHidden/>
    <w:unhideWhenUsed/>
    <w:rsid w:val="005E69BE"/>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5E69BE"/>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5E69BE"/>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5E69BE"/>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5E69BE"/>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5E69BE"/>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5E69BE"/>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ulka">
    <w:name w:val="Tabulka"/>
    <w:basedOn w:val="Normlntabulka"/>
    <w:uiPriority w:val="99"/>
    <w:rsid w:val="00BC66FA"/>
    <w:rPr>
      <w:rFonts w:ascii="Calibri Light" w:hAnsi="Calibri Light"/>
      <w:kern w:val="0"/>
      <w:sz w:val="16"/>
      <w:lang w:val="en-US"/>
      <w14:ligatures w14:val="none"/>
    </w:rPr>
    <w:tblPr>
      <w:tblStyleRowBandSize w:val="1"/>
      <w:tblStyleColBandSize w:val="1"/>
      <w:jc w:val="center"/>
      <w:tblBorders>
        <w:bottom w:val="single" w:sz="8" w:space="0" w:color="B8A875"/>
      </w:tblBorders>
    </w:tblPr>
    <w:trPr>
      <w:jc w:val="center"/>
    </w:trPr>
    <w:tcPr>
      <w:shd w:val="clear" w:color="auto" w:fill="auto"/>
      <w:vAlign w:val="center"/>
    </w:tcPr>
    <w:tblStylePr w:type="firstRow">
      <w:rPr>
        <w:rFonts w:ascii="Calibri Light" w:hAnsi="Calibri Light"/>
        <w:b/>
        <w:color w:val="FFFFFF" w:themeColor="background1"/>
        <w:sz w:val="16"/>
      </w:rPr>
      <w:tblPr/>
      <w:tcPr>
        <w:shd w:val="clear" w:color="auto" w:fill="B8A875"/>
      </w:tcPr>
    </w:tblStylePr>
    <w:tblStylePr w:type="lastRow">
      <w:tblPr/>
      <w:tcPr>
        <w:shd w:val="clear" w:color="auto" w:fill="auto"/>
      </w:tcPr>
    </w:tblStylePr>
    <w:tblStylePr w:type="firstCol">
      <w:tblPr/>
      <w:tcPr>
        <w:shd w:val="clear" w:color="auto" w:fill="auto"/>
      </w:tcPr>
    </w:tblStylePr>
    <w:tblStylePr w:type="lastCol">
      <w:tblPr/>
      <w:tcPr>
        <w:shd w:val="clear" w:color="auto" w:fill="auto"/>
      </w:tcPr>
    </w:tblStylePr>
  </w:style>
  <w:style w:type="table" w:customStyle="1" w:styleId="TabulkaJTBanka">
    <w:name w:val="Tabulka J&amp;T Banka"/>
    <w:basedOn w:val="Normlntabulka"/>
    <w:uiPriority w:val="99"/>
    <w:rsid w:val="004B6AB1"/>
    <w:rPr>
      <w:rFonts w:ascii="Calibri Light" w:hAnsi="Calibri Light"/>
      <w:kern w:val="0"/>
      <w:sz w:val="16"/>
      <w:lang w:val="en-US"/>
      <w14:ligatures w14:val="none"/>
    </w:rPr>
    <w:tblPr>
      <w:tblStyleRowBandSize w:val="1"/>
      <w:tblStyleColBandSize w:val="1"/>
      <w:jc w:val="center"/>
    </w:tblPr>
    <w:trPr>
      <w:jc w:val="center"/>
    </w:trPr>
    <w:tcPr>
      <w:shd w:val="clear" w:color="auto" w:fill="auto"/>
      <w:vAlign w:val="center"/>
    </w:tcPr>
    <w:tblStylePr w:type="firstRow">
      <w:rPr>
        <w:rFonts w:ascii="Calibri Light" w:hAnsi="Calibri Light"/>
        <w:b/>
        <w:color w:val="FFFFFF" w:themeColor="background1"/>
        <w:sz w:val="18"/>
      </w:rPr>
      <w:tblPr/>
      <w:tcPr>
        <w:tcBorders>
          <w:top w:val="nil"/>
          <w:left w:val="nil"/>
          <w:bottom w:val="nil"/>
          <w:right w:val="nil"/>
          <w:insideH w:val="nil"/>
          <w:insideV w:val="nil"/>
          <w:tl2br w:val="nil"/>
          <w:tr2bl w:val="nil"/>
        </w:tcBorders>
        <w:shd w:val="clear" w:color="auto" w:fill="B8A875"/>
      </w:tcPr>
    </w:tblStylePr>
    <w:tblStylePr w:type="lastRow">
      <w:pPr>
        <w:jc w:val="left"/>
      </w:pPr>
      <w:rPr>
        <w:rFonts w:ascii="Calibri Light" w:hAnsi="Calibri Light"/>
        <w:sz w:val="16"/>
      </w:rPr>
      <w:tblPr/>
      <w:tcPr>
        <w:tcBorders>
          <w:top w:val="nil"/>
          <w:left w:val="nil"/>
          <w:bottom w:val="single" w:sz="8" w:space="0" w:color="156082" w:themeColor="accent1"/>
          <w:right w:val="nil"/>
          <w:insideH w:val="nil"/>
          <w:insideV w:val="nil"/>
          <w:tl2br w:val="nil"/>
          <w:tr2bl w:val="nil"/>
        </w:tcBorders>
        <w:shd w:val="clear" w:color="auto" w:fill="auto"/>
      </w:tcPr>
    </w:tblStylePr>
    <w:tblStylePr w:type="firstCol">
      <w:tblPr/>
      <w:tcPr>
        <w:shd w:val="clear" w:color="auto" w:fill="FFFFFF" w:themeFill="background1"/>
      </w:tcPr>
    </w:tblStylePr>
    <w:tblStylePr w:type="lastCol">
      <w:tblPr/>
      <w:tcPr>
        <w:shd w:val="clear" w:color="auto" w:fill="C1E4F5" w:themeFill="accent1" w:themeFillTint="33"/>
      </w:tcPr>
    </w:tblStylePr>
    <w:tblStylePr w:type="band1Horz">
      <w:pPr>
        <w:jc w:val="left"/>
      </w:pPr>
      <w:tblPr/>
      <w:tcPr>
        <w:shd w:val="clear" w:color="auto" w:fill="FFFFFF" w:themeFill="background1"/>
      </w:tcPr>
    </w:tblStylePr>
    <w:tblStylePr w:type="band2Horz">
      <w:tblPr/>
      <w:tcPr>
        <w:shd w:val="clear" w:color="auto" w:fill="C1E4F5" w:themeFill="accent1" w:themeFillTint="33"/>
      </w:tcPr>
    </w:tblStylePr>
  </w:style>
  <w:style w:type="table" w:styleId="Tabulkasmkou4zvraznn1">
    <w:name w:val="Grid Table 4 Accent 1"/>
    <w:aliases w:val="J&amp;T Banka"/>
    <w:basedOn w:val="Normlntabulka"/>
    <w:uiPriority w:val="99"/>
    <w:rsid w:val="00C27D3E"/>
    <w:rPr>
      <w:rFonts w:ascii="Calibri Light" w:hAnsi="Calibri Light"/>
      <w:kern w:val="0"/>
      <w:sz w:val="18"/>
      <w:lang w:val="en-US"/>
      <w14:ligatures w14:val="none"/>
    </w:rPr>
    <w:tblPr>
      <w:tblStyleRowBandSize w:val="1"/>
      <w:tblStyleColBandSize w:val="1"/>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rPr>
      <w:jc w:val="center"/>
    </w:trPr>
    <w:tcPr>
      <w:shd w:val="clear" w:color="auto" w:fill="DFDBCD"/>
      <w:vAlign w:val="center"/>
    </w:tcPr>
    <w:tblStylePr w:type="firstRow">
      <w:pPr>
        <w:jc w:val="left"/>
      </w:pPr>
      <w:rPr>
        <w:rFonts w:ascii="Calibri Light" w:hAnsi="Calibri Light"/>
        <w:b/>
        <w:color w:val="FFFFFF" w:themeColor="background1"/>
        <w:sz w:val="18"/>
      </w:rPr>
      <w:tblPr/>
      <w:tcPr>
        <w:shd w:val="clear" w:color="auto" w:fill="005F55"/>
      </w:tcPr>
    </w:tblStylePr>
    <w:tblStylePr w:type="lastRow">
      <w:pPr>
        <w:jc w:val="left"/>
      </w:pPr>
      <w:rPr>
        <w:rFonts w:ascii="Calibri Light" w:hAnsi="Calibri Light"/>
        <w:sz w:val="16"/>
      </w:rPr>
    </w:tblStylePr>
    <w:tblStylePr w:type="band1Horz">
      <w:pPr>
        <w:jc w:val="left"/>
      </w:pPr>
      <w:tblPr/>
      <w:tcPr>
        <w:shd w:val="clear" w:color="auto" w:fill="FFFFFF" w:themeFill="background1"/>
      </w:tcPr>
    </w:tblStylePr>
    <w:tblStylePr w:type="band2Horz">
      <w:pPr>
        <w:jc w:val="left"/>
      </w:pPr>
      <w:tblPr/>
      <w:tcPr>
        <w:shd w:val="clear" w:color="auto" w:fill="DFDBCD"/>
      </w:tcPr>
    </w:tblStylePr>
  </w:style>
  <w:style w:type="table" w:customStyle="1" w:styleId="JTBANKA">
    <w:name w:val="J&amp;T BANKA"/>
    <w:basedOn w:val="Normlntabulka"/>
    <w:uiPriority w:val="99"/>
    <w:rsid w:val="00577C4F"/>
    <w:rPr>
      <w:rFonts w:ascii="Calibri Light" w:hAnsi="Calibri Light"/>
      <w:kern w:val="0"/>
      <w:sz w:val="16"/>
      <w:lang w:val="en-US"/>
      <w14:ligatures w14:val="none"/>
    </w:rPr>
    <w:tblPr/>
    <w:tblStylePr w:type="firstRow">
      <w:rPr>
        <w:rFonts w:ascii="Calibri Light" w:hAnsi="Calibri Light"/>
        <w:b/>
        <w:color w:val="FFFFFF" w:themeColor="background1"/>
        <w:sz w:val="16"/>
      </w:rPr>
      <w:tblPr/>
      <w:trPr>
        <w:cantSplit/>
      </w:trPr>
      <w:tcPr>
        <w:shd w:val="clear" w:color="auto" w:fill="156082" w:themeFill="accent1"/>
        <w:vAlign w:val="center"/>
      </w:tcPr>
    </w:tblStylePr>
  </w:style>
  <w:style w:type="paragraph" w:customStyle="1" w:styleId="Odrka1">
    <w:name w:val="Odrážka 1"/>
    <w:link w:val="Odrka1Char"/>
    <w:autoRedefine/>
    <w:qFormat/>
    <w:rsid w:val="009F16E3"/>
    <w:pPr>
      <w:widowControl w:val="0"/>
      <w:numPr>
        <w:numId w:val="2"/>
      </w:numPr>
      <w:tabs>
        <w:tab w:val="left" w:pos="284"/>
      </w:tabs>
      <w:autoSpaceDE w:val="0"/>
      <w:autoSpaceDN w:val="0"/>
      <w:spacing w:line="300" w:lineRule="exact"/>
      <w:ind w:left="57" w:firstLine="0"/>
    </w:pPr>
    <w:rPr>
      <w:rFonts w:ascii="Poppins" w:hAnsi="Poppins" w:cs="Calibri Light"/>
      <w:kern w:val="0"/>
      <w:sz w:val="18"/>
    </w:rPr>
  </w:style>
  <w:style w:type="character" w:customStyle="1" w:styleId="Odrka1Char">
    <w:name w:val="Odrážka 1 Char"/>
    <w:basedOn w:val="Standardnpsmoodstavce"/>
    <w:link w:val="Odrka1"/>
    <w:rsid w:val="009F16E3"/>
    <w:rPr>
      <w:rFonts w:ascii="Poppins" w:hAnsi="Poppins" w:cs="Calibri Light"/>
      <w:kern w:val="0"/>
      <w:sz w:val="18"/>
    </w:rPr>
  </w:style>
  <w:style w:type="paragraph" w:customStyle="1" w:styleId="Odrka3">
    <w:name w:val="Odrážka 3"/>
    <w:basedOn w:val="Zkladntext"/>
    <w:link w:val="Odrka3Char"/>
    <w:rsid w:val="00CD375E"/>
    <w:pPr>
      <w:widowControl w:val="0"/>
      <w:numPr>
        <w:ilvl w:val="1"/>
        <w:numId w:val="4"/>
      </w:numPr>
      <w:autoSpaceDE w:val="0"/>
      <w:autoSpaceDN w:val="0"/>
      <w:spacing w:before="60" w:after="60"/>
      <w:ind w:left="454" w:hanging="454"/>
    </w:pPr>
    <w:rPr>
      <w:rFonts w:ascii="Calibri Light" w:eastAsia="Fedra Sans Alt Std Light" w:hAnsi="Calibri Light" w:cs="Fedra Sans Alt Std Light"/>
      <w:szCs w:val="18"/>
      <w:u w:color="000000"/>
    </w:rPr>
  </w:style>
  <w:style w:type="character" w:customStyle="1" w:styleId="Odrka3Char">
    <w:name w:val="Odrážka 3 Char"/>
    <w:basedOn w:val="ZkladntextChar"/>
    <w:link w:val="Odrka3"/>
    <w:rsid w:val="00CD375E"/>
    <w:rPr>
      <w:rFonts w:ascii="Calibri Light" w:eastAsia="Fedra Sans Alt Std Light" w:hAnsi="Calibri Light" w:cs="Fedra Sans Alt Std Light"/>
      <w:sz w:val="18"/>
      <w:szCs w:val="18"/>
      <w:u w:color="000000"/>
    </w:rPr>
  </w:style>
  <w:style w:type="paragraph" w:styleId="Zkladntext">
    <w:name w:val="Body Text"/>
    <w:basedOn w:val="Normln"/>
    <w:link w:val="ZkladntextChar"/>
    <w:uiPriority w:val="99"/>
    <w:semiHidden/>
    <w:unhideWhenUsed/>
    <w:rsid w:val="00CD375E"/>
    <w:pPr>
      <w:spacing w:after="120"/>
    </w:pPr>
  </w:style>
  <w:style w:type="character" w:customStyle="1" w:styleId="ZkladntextChar">
    <w:name w:val="Základní text Char"/>
    <w:basedOn w:val="Standardnpsmoodstavce"/>
    <w:link w:val="Zkladntext"/>
    <w:uiPriority w:val="99"/>
    <w:semiHidden/>
    <w:rsid w:val="00CD375E"/>
  </w:style>
  <w:style w:type="paragraph" w:styleId="Nzev">
    <w:name w:val="Title"/>
    <w:basedOn w:val="Normln"/>
    <w:link w:val="NzevChar"/>
    <w:autoRedefine/>
    <w:uiPriority w:val="27"/>
    <w:rsid w:val="00CB39D8"/>
    <w:pPr>
      <w:widowControl w:val="0"/>
      <w:autoSpaceDE w:val="0"/>
      <w:autoSpaceDN w:val="0"/>
      <w:spacing w:after="200"/>
      <w:contextualSpacing/>
    </w:pPr>
    <w:rPr>
      <w:rFonts w:ascii="Calibri" w:eastAsia="Fedra Sans Alt Std Medium" w:hAnsi="Calibri" w:cs="Fedra Sans Alt Std Medium"/>
      <w:b/>
      <w:sz w:val="30"/>
      <w:szCs w:val="30"/>
      <w:lang w:val="en-GB"/>
    </w:rPr>
  </w:style>
  <w:style w:type="character" w:customStyle="1" w:styleId="NzevChar">
    <w:name w:val="Název Char"/>
    <w:basedOn w:val="Standardnpsmoodstavce"/>
    <w:link w:val="Nzev"/>
    <w:uiPriority w:val="27"/>
    <w:rsid w:val="00CB39D8"/>
    <w:rPr>
      <w:rFonts w:ascii="Calibri" w:eastAsia="Fedra Sans Alt Std Medium" w:hAnsi="Calibri" w:cs="Fedra Sans Alt Std Medium"/>
      <w:b/>
      <w:sz w:val="30"/>
      <w:szCs w:val="30"/>
      <w:lang w:val="en-GB"/>
    </w:rPr>
  </w:style>
  <w:style w:type="character" w:customStyle="1" w:styleId="Nadpis1Char">
    <w:name w:val="Nadpis 1 Char"/>
    <w:basedOn w:val="Standardnpsmoodstavce"/>
    <w:link w:val="Nadpis1"/>
    <w:uiPriority w:val="9"/>
    <w:rsid w:val="009F16E3"/>
    <w:rPr>
      <w:rFonts w:ascii="Poppins Bold" w:eastAsiaTheme="majorEastAsia" w:hAnsi="Poppins Bold" w:cstheme="majorBidi"/>
      <w:color w:val="000000" w:themeColor="text1"/>
      <w:sz w:val="32"/>
      <w:szCs w:val="40"/>
    </w:rPr>
  </w:style>
  <w:style w:type="character" w:customStyle="1" w:styleId="Nadpis2Char">
    <w:name w:val="Nadpis 2 Char"/>
    <w:basedOn w:val="Standardnpsmoodstavce"/>
    <w:link w:val="Nadpis2"/>
    <w:uiPriority w:val="9"/>
    <w:rsid w:val="002C02E4"/>
    <w:rPr>
      <w:rFonts w:ascii="Quicksand" w:eastAsiaTheme="majorEastAsia" w:hAnsi="Quicksand" w:cstheme="majorBidi"/>
      <w:b/>
      <w:color w:val="E5087D"/>
      <w:sz w:val="24"/>
      <w:szCs w:val="32"/>
    </w:rPr>
  </w:style>
  <w:style w:type="character" w:customStyle="1" w:styleId="Nadpis3Char">
    <w:name w:val="Nadpis 3 Char"/>
    <w:basedOn w:val="Standardnpsmoodstavce"/>
    <w:link w:val="Nadpis3"/>
    <w:uiPriority w:val="9"/>
    <w:semiHidden/>
    <w:rsid w:val="005E69BE"/>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5E69BE"/>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5E69BE"/>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5E69BE"/>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5E69BE"/>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5E69BE"/>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5E69BE"/>
    <w:rPr>
      <w:rFonts w:eastAsiaTheme="majorEastAsia" w:cstheme="majorBidi"/>
      <w:color w:val="272727" w:themeColor="text1" w:themeTint="D8"/>
    </w:rPr>
  </w:style>
  <w:style w:type="paragraph" w:styleId="Podnadpis">
    <w:name w:val="Subtitle"/>
    <w:basedOn w:val="Nadpis2"/>
    <w:next w:val="Normln"/>
    <w:link w:val="PodnadpisChar"/>
    <w:uiPriority w:val="11"/>
    <w:qFormat/>
    <w:rsid w:val="0058172B"/>
    <w:pPr>
      <w:numPr>
        <w:ilvl w:val="1"/>
      </w:numPr>
    </w:pPr>
    <w:rPr>
      <w:color w:val="595959" w:themeColor="text1" w:themeTint="A6"/>
      <w:kern w:val="0"/>
      <w:szCs w:val="28"/>
    </w:rPr>
  </w:style>
  <w:style w:type="character" w:customStyle="1" w:styleId="PodnadpisChar">
    <w:name w:val="Podnadpis Char"/>
    <w:basedOn w:val="Standardnpsmoodstavce"/>
    <w:link w:val="Podnadpis"/>
    <w:uiPriority w:val="11"/>
    <w:rsid w:val="0058172B"/>
    <w:rPr>
      <w:rFonts w:ascii="Quicksand" w:eastAsiaTheme="majorEastAsia" w:hAnsi="Quicksand" w:cstheme="majorBidi"/>
      <w:b/>
      <w:color w:val="595959" w:themeColor="text1" w:themeTint="A6"/>
      <w:kern w:val="0"/>
      <w:sz w:val="24"/>
      <w:szCs w:val="28"/>
    </w:rPr>
  </w:style>
  <w:style w:type="paragraph" w:styleId="Citt">
    <w:name w:val="Quote"/>
    <w:basedOn w:val="Normln"/>
    <w:next w:val="Normln"/>
    <w:link w:val="CittChar"/>
    <w:uiPriority w:val="29"/>
    <w:rsid w:val="005E69BE"/>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5E69BE"/>
    <w:rPr>
      <w:i/>
      <w:iCs/>
      <w:color w:val="404040" w:themeColor="text1" w:themeTint="BF"/>
    </w:rPr>
  </w:style>
  <w:style w:type="paragraph" w:styleId="Odstavecseseznamem">
    <w:name w:val="List Paragraph"/>
    <w:basedOn w:val="Normln"/>
    <w:uiPriority w:val="34"/>
    <w:qFormat/>
    <w:rsid w:val="005E69BE"/>
    <w:pPr>
      <w:ind w:left="720"/>
      <w:contextualSpacing/>
    </w:pPr>
  </w:style>
  <w:style w:type="character" w:styleId="Zdraznnintenzivn">
    <w:name w:val="Intense Emphasis"/>
    <w:basedOn w:val="Standardnpsmoodstavce"/>
    <w:uiPriority w:val="21"/>
    <w:rsid w:val="005E69BE"/>
    <w:rPr>
      <w:i/>
      <w:iCs/>
      <w:color w:val="0F4761" w:themeColor="accent1" w:themeShade="BF"/>
    </w:rPr>
  </w:style>
  <w:style w:type="paragraph" w:styleId="Vrazncitt">
    <w:name w:val="Intense Quote"/>
    <w:basedOn w:val="Normln"/>
    <w:next w:val="Normln"/>
    <w:link w:val="VrazncittChar"/>
    <w:uiPriority w:val="30"/>
    <w:rsid w:val="005E69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5E69BE"/>
    <w:rPr>
      <w:i/>
      <w:iCs/>
      <w:color w:val="0F4761" w:themeColor="accent1" w:themeShade="BF"/>
    </w:rPr>
  </w:style>
  <w:style w:type="character" w:styleId="Odkazintenzivn">
    <w:name w:val="Intense Reference"/>
    <w:basedOn w:val="Standardnpsmoodstavce"/>
    <w:uiPriority w:val="32"/>
    <w:rsid w:val="005E69BE"/>
    <w:rPr>
      <w:b/>
      <w:bCs/>
      <w:smallCaps/>
      <w:color w:val="0F4761" w:themeColor="accent1" w:themeShade="BF"/>
      <w:spacing w:val="5"/>
    </w:rPr>
  </w:style>
  <w:style w:type="paragraph" w:styleId="Zhlav">
    <w:name w:val="header"/>
    <w:basedOn w:val="Normln"/>
    <w:link w:val="ZhlavChar"/>
    <w:uiPriority w:val="99"/>
    <w:unhideWhenUsed/>
    <w:rsid w:val="005E69BE"/>
    <w:pPr>
      <w:tabs>
        <w:tab w:val="center" w:pos="4536"/>
        <w:tab w:val="right" w:pos="9072"/>
      </w:tabs>
    </w:pPr>
  </w:style>
  <w:style w:type="character" w:customStyle="1" w:styleId="ZhlavChar">
    <w:name w:val="Záhlaví Char"/>
    <w:basedOn w:val="Standardnpsmoodstavce"/>
    <w:link w:val="Zhlav"/>
    <w:uiPriority w:val="99"/>
    <w:rsid w:val="005E69BE"/>
  </w:style>
  <w:style w:type="paragraph" w:styleId="Zpat">
    <w:name w:val="footer"/>
    <w:basedOn w:val="Normln"/>
    <w:link w:val="ZpatChar"/>
    <w:uiPriority w:val="99"/>
    <w:unhideWhenUsed/>
    <w:rsid w:val="005E69BE"/>
    <w:pPr>
      <w:tabs>
        <w:tab w:val="center" w:pos="4536"/>
        <w:tab w:val="right" w:pos="9072"/>
      </w:tabs>
    </w:pPr>
  </w:style>
  <w:style w:type="character" w:customStyle="1" w:styleId="ZpatChar">
    <w:name w:val="Zápatí Char"/>
    <w:basedOn w:val="Standardnpsmoodstavce"/>
    <w:link w:val="Zpat"/>
    <w:uiPriority w:val="99"/>
    <w:rsid w:val="005E69BE"/>
  </w:style>
  <w:style w:type="character" w:styleId="Zdraznn">
    <w:name w:val="Emphasis"/>
    <w:basedOn w:val="Standardnpsmoodstavce"/>
    <w:uiPriority w:val="20"/>
    <w:qFormat/>
    <w:rsid w:val="009F16E3"/>
    <w:rPr>
      <w:rFonts w:ascii="Poppins" w:hAnsi="Poppins"/>
      <w:i/>
      <w:iCs/>
      <w:color w:val="3F3F3F"/>
      <w:sz w:val="18"/>
    </w:rPr>
  </w:style>
  <w:style w:type="character" w:styleId="Siln">
    <w:name w:val="Strong"/>
    <w:basedOn w:val="Standardnpsmoodstavce"/>
    <w:uiPriority w:val="22"/>
    <w:qFormat/>
    <w:rsid w:val="009F16E3"/>
    <w:rPr>
      <w:rFonts w:ascii="Poppins" w:hAnsi="Poppins"/>
      <w:b/>
      <w:bCs/>
      <w:sz w:val="18"/>
    </w:rPr>
  </w:style>
  <w:style w:type="character" w:styleId="Odkazjemn">
    <w:name w:val="Subtle Reference"/>
    <w:basedOn w:val="Standardnpsmoodstavce"/>
    <w:uiPriority w:val="31"/>
    <w:qFormat/>
    <w:rsid w:val="009F16E3"/>
    <w:rPr>
      <w:rFonts w:ascii="Poppins" w:hAnsi="Poppins"/>
      <w:i/>
      <w:caps w:val="0"/>
      <w:smallCaps w:val="0"/>
      <w:strike w:val="0"/>
      <w:dstrike w:val="0"/>
      <w:vanish w:val="0"/>
      <w:color w:val="E5087D"/>
      <w:sz w:val="18"/>
      <w:u w:val="single"/>
      <w:vertAlign w:val="baseline"/>
    </w:rPr>
  </w:style>
  <w:style w:type="paragraph" w:customStyle="1" w:styleId="paragraph">
    <w:name w:val="paragraph"/>
    <w:basedOn w:val="Normln"/>
    <w:rsid w:val="00651FA0"/>
    <w:pPr>
      <w:spacing w:before="100" w:beforeAutospacing="1" w:after="100" w:afterAutospacing="1" w:line="240" w:lineRule="auto"/>
      <w:jc w:val="left"/>
    </w:pPr>
    <w:rPr>
      <w:rFonts w:ascii="Times New Roman" w:eastAsia="Times New Roman" w:hAnsi="Times New Roman" w:cs="Times New Roman"/>
      <w:color w:val="auto"/>
      <w:sz w:val="24"/>
      <w:szCs w:val="24"/>
      <w:lang w:eastAsia="cs-CZ"/>
      <w14:ligatures w14:val="none"/>
    </w:rPr>
  </w:style>
  <w:style w:type="character" w:customStyle="1" w:styleId="normaltextrun">
    <w:name w:val="normaltextrun"/>
    <w:basedOn w:val="Standardnpsmoodstavce"/>
    <w:rsid w:val="00651FA0"/>
  </w:style>
  <w:style w:type="character" w:customStyle="1" w:styleId="scxw71772280">
    <w:name w:val="scxw71772280"/>
    <w:basedOn w:val="Standardnpsmoodstavce"/>
    <w:rsid w:val="00651FA0"/>
  </w:style>
  <w:style w:type="character" w:styleId="Odkaznakoment">
    <w:name w:val="annotation reference"/>
    <w:basedOn w:val="Standardnpsmoodstavce"/>
    <w:uiPriority w:val="99"/>
    <w:semiHidden/>
    <w:unhideWhenUsed/>
    <w:rsid w:val="00651FA0"/>
    <w:rPr>
      <w:sz w:val="16"/>
      <w:szCs w:val="16"/>
    </w:rPr>
  </w:style>
  <w:style w:type="paragraph" w:styleId="Textkomente">
    <w:name w:val="annotation text"/>
    <w:basedOn w:val="Normln"/>
    <w:link w:val="TextkomenteChar"/>
    <w:uiPriority w:val="99"/>
    <w:unhideWhenUsed/>
    <w:rsid w:val="00651FA0"/>
    <w:pPr>
      <w:spacing w:after="160" w:line="240" w:lineRule="auto"/>
      <w:jc w:val="left"/>
    </w:pPr>
    <w:rPr>
      <w:rFonts w:asciiTheme="minorHAnsi" w:hAnsiTheme="minorHAnsi"/>
      <w:color w:val="auto"/>
      <w:kern w:val="2"/>
      <w:sz w:val="20"/>
      <w:szCs w:val="20"/>
    </w:rPr>
  </w:style>
  <w:style w:type="character" w:customStyle="1" w:styleId="TextkomenteChar">
    <w:name w:val="Text komentáře Char"/>
    <w:basedOn w:val="Standardnpsmoodstavce"/>
    <w:link w:val="Textkomente"/>
    <w:uiPriority w:val="99"/>
    <w:rsid w:val="00651FA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ladimira.kolarikova@klik.cz"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dukt xmlns="adf4eac1-a244-4709-91d6-a86b4fda412f">Design</Produkt>
    <TaxCatchAll xmlns="8f4edc97-ca38-43be-a9db-e8aaf35741fb" xsi:nil="true"/>
    <lcf76f155ced4ddcb4097134ff3c332f xmlns="b21e8ac1-7c1a-4ee3-8147-a09bbbd2219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B6522182927DA4EA9C0A81E72305F8F" ma:contentTypeVersion="4" ma:contentTypeDescription="Create a new document." ma:contentTypeScope="" ma:versionID="03cea4824577cc492e14b12979a7573b">
  <xsd:schema xmlns:xsd="http://www.w3.org/2001/XMLSchema" xmlns:xs="http://www.w3.org/2001/XMLSchema" xmlns:p="http://schemas.microsoft.com/office/2006/metadata/properties" xmlns:ns2="adf4eac1-a244-4709-91d6-a86b4fda412f" xmlns:ns3="22e248a7-acb9-49e1-8e17-0f4b8e019d2c" xmlns:ns4="b21e8ac1-7c1a-4ee3-8147-a09bbbd22198" xmlns:ns5="8f4edc97-ca38-43be-a9db-e8aaf35741fb" targetNamespace="http://schemas.microsoft.com/office/2006/metadata/properties" ma:root="true" ma:fieldsID="5688b687affa164d00860bd22512b1ba" ns2:_="" ns3:_="" ns4:_="" ns5:_="">
    <xsd:import namespace="adf4eac1-a244-4709-91d6-a86b4fda412f"/>
    <xsd:import namespace="22e248a7-acb9-49e1-8e17-0f4b8e019d2c"/>
    <xsd:import namespace="b21e8ac1-7c1a-4ee3-8147-a09bbbd22198"/>
    <xsd:import namespace="8f4edc97-ca38-43be-a9db-e8aaf35741f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Produkt"/>
                <xsd:element ref="ns2:MediaServiceLocation" minOccurs="0"/>
                <xsd:element ref="ns2:MediaServiceObjectDetectorVersions" minOccurs="0"/>
                <xsd:element ref="ns2:MediaServiceSearchPropertie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f4eac1-a244-4709-91d6-a86b4fda41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Produkt" ma:index="20" ma:displayName="Produkt" ma:default="Design" ma:format="Dropdown" ma:internalName="Produkt">
      <xsd:simpleType>
        <xsd:union memberTypes="dms:Text">
          <xsd:simpleType>
            <xsd:restriction base="dms:Choice">
              <xsd:enumeration value="Auto"/>
              <xsd:enumeration value="Majetek"/>
              <xsd:enumeration value="Cestovko"/>
              <xsd:enumeration value="Energo"/>
              <xsd:enumeration value="Telco"/>
              <xsd:enumeration value="Design"/>
              <xsd:enumeration value="Půjčky"/>
              <xsd:enumeration value="Hypotéky"/>
              <xsd:enumeration value="Životko"/>
              <xsd:enumeration value="Zákaznický účet"/>
            </xsd:restriction>
          </xsd:simpleType>
        </xsd:unio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e248a7-acb9-49e1-8e17-0f4b8e019d2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1e8ac1-7c1a-4ee3-8147-a09bbbd22198" elementFormDefault="qualified">
    <xsd:import namespace="http://schemas.microsoft.com/office/2006/documentManagement/types"/>
    <xsd:import namespace="http://schemas.microsoft.com/office/infopath/2007/PartnerControls"/>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ebd50eea-8ee2-4c25-a81c-1e9de93f527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f4edc97-ca38-43be-a9db-e8aaf35741fb"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fdf596e0-5c57-482b-9d39-21b23e50480a}" ma:internalName="TaxCatchAll" ma:showField="CatchAllData" ma:web="8f4edc97-ca38-43be-a9db-e8aaf35741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C695C9-B0A3-4B7D-87AA-5F9A2B8A3EF0}">
  <ds:schemaRefs>
    <ds:schemaRef ds:uri="http://schemas.microsoft.com/office/2006/metadata/properties"/>
    <ds:schemaRef ds:uri="http://schemas.microsoft.com/office/infopath/2007/PartnerControls"/>
    <ds:schemaRef ds:uri="adf4eac1-a244-4709-91d6-a86b4fda412f"/>
    <ds:schemaRef ds:uri="8f4edc97-ca38-43be-a9db-e8aaf35741fb"/>
    <ds:schemaRef ds:uri="b21e8ac1-7c1a-4ee3-8147-a09bbbd22198"/>
  </ds:schemaRefs>
</ds:datastoreItem>
</file>

<file path=customXml/itemProps2.xml><?xml version="1.0" encoding="utf-8"?>
<ds:datastoreItem xmlns:ds="http://schemas.openxmlformats.org/officeDocument/2006/customXml" ds:itemID="{4B8877C9-4B49-460C-B66A-B05462B215EE}">
  <ds:schemaRefs>
    <ds:schemaRef ds:uri="http://schemas.openxmlformats.org/officeDocument/2006/bibliography"/>
  </ds:schemaRefs>
</ds:datastoreItem>
</file>

<file path=customXml/itemProps3.xml><?xml version="1.0" encoding="utf-8"?>
<ds:datastoreItem xmlns:ds="http://schemas.openxmlformats.org/officeDocument/2006/customXml" ds:itemID="{E5E9DCDE-6CAE-4ABD-975C-D21FD09E5112}">
  <ds:schemaRefs>
    <ds:schemaRef ds:uri="http://schemas.microsoft.com/sharepoint/v3/contenttype/forms"/>
  </ds:schemaRefs>
</ds:datastoreItem>
</file>

<file path=customXml/itemProps4.xml><?xml version="1.0" encoding="utf-8"?>
<ds:datastoreItem xmlns:ds="http://schemas.openxmlformats.org/officeDocument/2006/customXml" ds:itemID="{F939C1CE-C131-4578-BBD5-4A651DA2B3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f4eac1-a244-4709-91d6-a86b4fda412f"/>
    <ds:schemaRef ds:uri="22e248a7-acb9-49e1-8e17-0f4b8e019d2c"/>
    <ds:schemaRef ds:uri="b21e8ac1-7c1a-4ee3-8147-a09bbbd22198"/>
    <ds:schemaRef ds:uri="8f4edc97-ca38-43be-a9db-e8aaf35741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731</Words>
  <Characters>4316</Characters>
  <Application>Microsoft Office Word</Application>
  <DocSecurity>0</DocSecurity>
  <Lines>35</Lines>
  <Paragraphs>10</Paragraphs>
  <ScaleCrop>false</ScaleCrop>
  <Company/>
  <LinksUpToDate>false</LinksUpToDate>
  <CharactersWithSpaces>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Waldhans</dc:creator>
  <cp:keywords/>
  <dc:description/>
  <cp:lastModifiedBy>Martina Kavková - Native PR</cp:lastModifiedBy>
  <cp:revision>7</cp:revision>
  <cp:lastPrinted>2024-11-11T19:30:00Z</cp:lastPrinted>
  <dcterms:created xsi:type="dcterms:W3CDTF">2026-07-02T14:54:00Z</dcterms:created>
  <dcterms:modified xsi:type="dcterms:W3CDTF">2026-07-03T09:09:00Z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0x010100AB6522182927DA4EA9C0A81E72305F8F</vt:lpwstr>
  </property>
  <property fmtid="{D5CDD505-2E9C-101B-9397-08002B2CF9AE}" pid="3" name="MediaServiceImageTags">
    <vt:lpwstr/>
  </property>
</Properties>
</file>