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F9376" w14:textId="322634C2" w:rsidR="00615FB3" w:rsidRPr="005E2B6B" w:rsidRDefault="004A5D93" w:rsidP="00BC6523">
      <w:pPr>
        <w:spacing w:before="100" w:beforeAutospacing="1" w:after="120"/>
        <w:ind w:left="7788"/>
      </w:pPr>
      <w:r w:rsidRPr="005E2B6B">
        <w:t xml:space="preserve">        </w:t>
      </w:r>
      <w:r w:rsidR="00615FB3" w:rsidRPr="005E2B6B">
        <w:t>Tiskov</w:t>
      </w:r>
      <w:r w:rsidR="00844115" w:rsidRPr="005E2B6B">
        <w:t>á zpráva</w:t>
      </w:r>
    </w:p>
    <w:p w14:paraId="5BA1C0C7" w14:textId="460A4478" w:rsidR="00130AA2" w:rsidRDefault="00130AA2" w:rsidP="00472BB5">
      <w:pPr>
        <w:spacing w:before="100" w:beforeAutospacing="1" w:after="120"/>
        <w:jc w:val="left"/>
        <w:rPr>
          <w:b/>
          <w:bCs/>
          <w:sz w:val="32"/>
          <w:szCs w:val="32"/>
        </w:rPr>
      </w:pPr>
      <w:r w:rsidRPr="00130AA2">
        <w:rPr>
          <w:b/>
          <w:bCs/>
          <w:sz w:val="32"/>
          <w:szCs w:val="32"/>
        </w:rPr>
        <w:t>Gen Z mění způsob, jakým sjednává pojištění. Osobního poradce využívá už jen pětina mladých</w:t>
      </w:r>
    </w:p>
    <w:p w14:paraId="0F2F911A" w14:textId="77777777" w:rsidR="0055785C" w:rsidRDefault="0055785C" w:rsidP="00472BB5">
      <w:pPr>
        <w:spacing w:after="160" w:line="278" w:lineRule="auto"/>
        <w:rPr>
          <w:b/>
          <w:bCs/>
          <w:sz w:val="24"/>
          <w:szCs w:val="24"/>
        </w:rPr>
      </w:pPr>
    </w:p>
    <w:p w14:paraId="3056C36D" w14:textId="33A7AA69" w:rsidR="00472BB5" w:rsidRDefault="0078115A" w:rsidP="00472BB5">
      <w:pPr>
        <w:spacing w:after="160" w:line="278" w:lineRule="auto"/>
        <w:rPr>
          <w:b/>
          <w:bCs/>
          <w:sz w:val="20"/>
          <w:szCs w:val="20"/>
        </w:rPr>
      </w:pPr>
      <w:r w:rsidRPr="00DE47A3">
        <w:rPr>
          <w:sz w:val="20"/>
          <w:szCs w:val="20"/>
        </w:rPr>
        <w:t>Praha</w:t>
      </w:r>
      <w:r w:rsidR="00DE47A3" w:rsidRPr="00DE47A3">
        <w:rPr>
          <w:sz w:val="20"/>
          <w:szCs w:val="20"/>
        </w:rPr>
        <w:t xml:space="preserve">, </w:t>
      </w:r>
      <w:r w:rsidR="002A6564">
        <w:rPr>
          <w:sz w:val="20"/>
          <w:szCs w:val="20"/>
        </w:rPr>
        <w:t>20</w:t>
      </w:r>
      <w:r w:rsidR="00DE47A3" w:rsidRPr="00DE47A3">
        <w:rPr>
          <w:sz w:val="20"/>
          <w:szCs w:val="20"/>
        </w:rPr>
        <w:t>. srpna 2026 -</w:t>
      </w:r>
      <w:r w:rsidR="00DE47A3">
        <w:rPr>
          <w:b/>
          <w:bCs/>
          <w:sz w:val="20"/>
          <w:szCs w:val="20"/>
        </w:rPr>
        <w:t xml:space="preserve"> </w:t>
      </w:r>
      <w:r w:rsidR="00E140BA" w:rsidRPr="00E140BA">
        <w:rPr>
          <w:b/>
          <w:bCs/>
          <w:sz w:val="20"/>
          <w:szCs w:val="20"/>
        </w:rPr>
        <w:t xml:space="preserve">Mladí Češi patří v Evropě k digitálně nejzdatnějším, stále větší část finančních rozhodnutí dělají bez osobního prostředníka. Vidět je to i u pojištění. Zatímco v říjnu 2025 využívalo </w:t>
      </w:r>
      <w:r w:rsidR="00C74514" w:rsidRPr="00E140BA">
        <w:rPr>
          <w:b/>
          <w:bCs/>
          <w:sz w:val="20"/>
          <w:szCs w:val="20"/>
        </w:rPr>
        <w:t xml:space="preserve">osobního poradce </w:t>
      </w:r>
      <w:r w:rsidR="00E140BA" w:rsidRPr="00E140BA">
        <w:rPr>
          <w:b/>
          <w:bCs/>
          <w:sz w:val="20"/>
          <w:szCs w:val="20"/>
        </w:rPr>
        <w:t xml:space="preserve">při sjednání nebo změně </w:t>
      </w:r>
      <w:r w:rsidR="00C74514">
        <w:rPr>
          <w:b/>
          <w:bCs/>
          <w:sz w:val="20"/>
          <w:szCs w:val="20"/>
        </w:rPr>
        <w:t>pojištění</w:t>
      </w:r>
      <w:r w:rsidR="005028FD">
        <w:rPr>
          <w:b/>
          <w:bCs/>
          <w:sz w:val="20"/>
          <w:szCs w:val="20"/>
        </w:rPr>
        <w:t xml:space="preserve"> </w:t>
      </w:r>
      <w:r w:rsidR="00E140BA" w:rsidRPr="00E140BA">
        <w:rPr>
          <w:b/>
          <w:bCs/>
          <w:sz w:val="20"/>
          <w:szCs w:val="20"/>
        </w:rPr>
        <w:t xml:space="preserve">27 % respondentů do 26 let, letos v srpnu už jen 20 %. Ukazují to data kontinuálního průzkumu Skupiny Klik.cz. Nezávislá data zároveň potvrzují, že mezi mladými dlouhodobě roste </w:t>
      </w:r>
      <w:r w:rsidR="00FC6695">
        <w:rPr>
          <w:b/>
          <w:bCs/>
          <w:sz w:val="20"/>
          <w:szCs w:val="20"/>
        </w:rPr>
        <w:t xml:space="preserve">zájem o </w:t>
      </w:r>
      <w:r w:rsidR="00E140BA" w:rsidRPr="00E140BA">
        <w:rPr>
          <w:b/>
          <w:bCs/>
          <w:sz w:val="20"/>
          <w:szCs w:val="20"/>
        </w:rPr>
        <w:t>sjednávání pojištění</w:t>
      </w:r>
      <w:r w:rsidR="00BD4DC3" w:rsidRPr="00BD4DC3">
        <w:rPr>
          <w:b/>
          <w:bCs/>
          <w:sz w:val="20"/>
          <w:szCs w:val="20"/>
        </w:rPr>
        <w:t xml:space="preserve"> </w:t>
      </w:r>
      <w:r w:rsidR="00BD4DC3" w:rsidRPr="00E140BA">
        <w:rPr>
          <w:b/>
          <w:bCs/>
          <w:sz w:val="20"/>
          <w:szCs w:val="20"/>
        </w:rPr>
        <w:t>online</w:t>
      </w:r>
      <w:r w:rsidR="00E140BA" w:rsidRPr="00E140BA">
        <w:rPr>
          <w:b/>
          <w:bCs/>
          <w:sz w:val="20"/>
          <w:szCs w:val="20"/>
        </w:rPr>
        <w:t>. Digitální samostatnost tak přináší i nový nárok: umět se ve stále složitější nabídce správně zorientovat.</w:t>
      </w:r>
    </w:p>
    <w:p w14:paraId="4C5164C6" w14:textId="77777777" w:rsidR="00E140BA" w:rsidRPr="00E140BA" w:rsidRDefault="00E140BA" w:rsidP="00E140BA">
      <w:pPr>
        <w:spacing w:after="160" w:line="278" w:lineRule="auto"/>
        <w:rPr>
          <w:b/>
          <w:bCs/>
          <w:sz w:val="20"/>
          <w:szCs w:val="20"/>
        </w:rPr>
      </w:pPr>
      <w:r w:rsidRPr="00E140BA">
        <w:rPr>
          <w:b/>
          <w:bCs/>
          <w:sz w:val="20"/>
          <w:szCs w:val="20"/>
        </w:rPr>
        <w:t>Od osobního poradce k samostatnějšímu rozhodování</w:t>
      </w:r>
    </w:p>
    <w:p w14:paraId="48E5A041" w14:textId="6BC0081E" w:rsidR="00202BE0" w:rsidRDefault="00E140BA" w:rsidP="00E140BA">
      <w:pPr>
        <w:spacing w:after="160" w:line="278" w:lineRule="auto"/>
        <w:rPr>
          <w:sz w:val="20"/>
          <w:szCs w:val="20"/>
        </w:rPr>
      </w:pPr>
      <w:r w:rsidRPr="00E140BA">
        <w:rPr>
          <w:sz w:val="20"/>
          <w:szCs w:val="20"/>
        </w:rPr>
        <w:t xml:space="preserve">Nejde přitom o jednorázový výkyv. Data </w:t>
      </w:r>
      <w:r w:rsidR="005326E2">
        <w:rPr>
          <w:sz w:val="20"/>
          <w:szCs w:val="20"/>
        </w:rPr>
        <w:t xml:space="preserve">Skupiny </w:t>
      </w:r>
      <w:r w:rsidRPr="00E140BA">
        <w:rPr>
          <w:sz w:val="20"/>
          <w:szCs w:val="20"/>
        </w:rPr>
        <w:t>Klik.cz ukazují, že využívání osobních poradců mezi mladými klesá dlouhodobě.</w:t>
      </w:r>
    </w:p>
    <w:p w14:paraId="639BA108" w14:textId="0A712C3A" w:rsidR="00A85F27" w:rsidRDefault="00501FAF" w:rsidP="00486C5D">
      <w:pPr>
        <w:spacing w:after="160" w:line="278" w:lineRule="auto"/>
        <w:rPr>
          <w:sz w:val="20"/>
          <w:szCs w:val="20"/>
        </w:rPr>
      </w:pPr>
      <w:r>
        <w:rPr>
          <w:noProof/>
        </w:rPr>
        <w:drawing>
          <wp:anchor distT="0" distB="0" distL="114300" distR="114300" simplePos="0" relativeHeight="251658240" behindDoc="1" locked="0" layoutInCell="1" allowOverlap="1" wp14:anchorId="7144773F" wp14:editId="39EFB013">
            <wp:simplePos x="0" y="0"/>
            <wp:positionH relativeFrom="column">
              <wp:posOffset>861060</wp:posOffset>
            </wp:positionH>
            <wp:positionV relativeFrom="paragraph">
              <wp:posOffset>1083945</wp:posOffset>
            </wp:positionV>
            <wp:extent cx="3954145" cy="1936750"/>
            <wp:effectExtent l="0" t="0" r="8255" b="6350"/>
            <wp:wrapTopAndBottom/>
            <wp:docPr id="208626550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54145" cy="1936750"/>
                    </a:xfrm>
                    <a:prstGeom prst="rect">
                      <a:avLst/>
                    </a:prstGeom>
                    <a:noFill/>
                    <a:ln>
                      <a:noFill/>
                    </a:ln>
                  </pic:spPr>
                </pic:pic>
              </a:graphicData>
            </a:graphic>
          </wp:anchor>
        </w:drawing>
      </w:r>
      <w:r w:rsidR="00865118" w:rsidRPr="00865118">
        <w:rPr>
          <w:sz w:val="20"/>
          <w:szCs w:val="20"/>
        </w:rPr>
        <w:t>Zatímco v říjnu 2025 je využívalo 27 % mladých, v lednu jejich podíl klesl na 22,8 %, v dubnu na 21,1</w:t>
      </w:r>
      <w:r w:rsidR="00AE50EA">
        <w:rPr>
          <w:sz w:val="20"/>
          <w:szCs w:val="20"/>
        </w:rPr>
        <w:t> </w:t>
      </w:r>
      <w:r w:rsidR="00865118" w:rsidRPr="00865118">
        <w:rPr>
          <w:sz w:val="20"/>
          <w:szCs w:val="20"/>
        </w:rPr>
        <w:t>% a v červnu na 17,8 %. V srpnu se sice mírně zvýšil na 20 %, stále však zůstává výrazně pod úrovní z podzimu loňského roku.</w:t>
      </w:r>
      <w:r w:rsidR="00C114E9">
        <w:rPr>
          <w:sz w:val="20"/>
          <w:szCs w:val="20"/>
        </w:rPr>
        <w:t xml:space="preserve"> </w:t>
      </w:r>
      <w:r w:rsidR="0048285D" w:rsidRPr="0048285D">
        <w:rPr>
          <w:sz w:val="20"/>
          <w:szCs w:val="20"/>
        </w:rPr>
        <w:t xml:space="preserve">Současně </w:t>
      </w:r>
      <w:r w:rsidR="007C47BF">
        <w:rPr>
          <w:sz w:val="20"/>
          <w:szCs w:val="20"/>
        </w:rPr>
        <w:t>je patrný</w:t>
      </w:r>
      <w:r w:rsidR="0048285D" w:rsidRPr="0048285D">
        <w:rPr>
          <w:sz w:val="20"/>
          <w:szCs w:val="20"/>
        </w:rPr>
        <w:t xml:space="preserve"> silný zájem generace do 26 let o digitální cestu </w:t>
      </w:r>
      <w:r w:rsidR="007C47BF">
        <w:rPr>
          <w:sz w:val="20"/>
          <w:szCs w:val="20"/>
        </w:rPr>
        <w:t>-</w:t>
      </w:r>
      <w:r w:rsidR="0048285D" w:rsidRPr="0048285D">
        <w:rPr>
          <w:sz w:val="20"/>
          <w:szCs w:val="20"/>
        </w:rPr>
        <w:t xml:space="preserve"> 41 % si pojištění sjednalo přímo na webu pojišťovny a dalších 30 % prostřednictvím online srovnávačů</w:t>
      </w:r>
      <w:r w:rsidR="007C47BF">
        <w:rPr>
          <w:sz w:val="20"/>
          <w:szCs w:val="20"/>
        </w:rPr>
        <w:t>.</w:t>
      </w:r>
    </w:p>
    <w:p w14:paraId="081988BC" w14:textId="77777777" w:rsidR="00501FAF" w:rsidRDefault="00501FAF" w:rsidP="00E140BA">
      <w:pPr>
        <w:spacing w:after="160" w:line="278" w:lineRule="auto"/>
        <w:rPr>
          <w:i/>
          <w:iCs/>
          <w:sz w:val="20"/>
          <w:szCs w:val="20"/>
        </w:rPr>
      </w:pPr>
    </w:p>
    <w:p w14:paraId="68470A0A" w14:textId="113DBA1C" w:rsidR="00E140BA" w:rsidRDefault="0086382B" w:rsidP="00E140BA">
      <w:pPr>
        <w:spacing w:after="160" w:line="278" w:lineRule="auto"/>
        <w:rPr>
          <w:sz w:val="20"/>
          <w:szCs w:val="20"/>
        </w:rPr>
      </w:pPr>
      <w:r>
        <w:rPr>
          <w:i/>
          <w:iCs/>
          <w:sz w:val="20"/>
          <w:szCs w:val="20"/>
        </w:rPr>
        <w:t>„</w:t>
      </w:r>
      <w:r w:rsidRPr="0086382B">
        <w:rPr>
          <w:i/>
          <w:iCs/>
          <w:sz w:val="20"/>
          <w:szCs w:val="20"/>
        </w:rPr>
        <w:t xml:space="preserve">Mění se především způsob, jakým zákazníci k výběru pojištění přistupují. Mladí lidé si chtějí větší část rozhodování řídit </w:t>
      </w:r>
      <w:r w:rsidR="00AE50EA" w:rsidRPr="0086382B">
        <w:rPr>
          <w:i/>
          <w:iCs/>
          <w:sz w:val="20"/>
          <w:szCs w:val="20"/>
        </w:rPr>
        <w:t>sami</w:t>
      </w:r>
      <w:r w:rsidR="00AE50EA">
        <w:rPr>
          <w:i/>
          <w:iCs/>
          <w:sz w:val="20"/>
          <w:szCs w:val="20"/>
        </w:rPr>
        <w:t xml:space="preserve"> – informace</w:t>
      </w:r>
      <w:r w:rsidRPr="0086382B">
        <w:rPr>
          <w:i/>
          <w:iCs/>
          <w:sz w:val="20"/>
          <w:szCs w:val="20"/>
        </w:rPr>
        <w:t xml:space="preserve"> si vyhledají online, porovnají dostupné možnosti a rozhodnou se ve chvíli, která jim vyhovuje</w:t>
      </w:r>
      <w:r w:rsidR="002D0606">
        <w:rPr>
          <w:i/>
          <w:iCs/>
          <w:sz w:val="20"/>
          <w:szCs w:val="20"/>
        </w:rPr>
        <w:t>.</w:t>
      </w:r>
      <w:r w:rsidR="006E0EA2">
        <w:rPr>
          <w:i/>
          <w:iCs/>
          <w:sz w:val="20"/>
          <w:szCs w:val="20"/>
        </w:rPr>
        <w:t xml:space="preserve"> Cokoli navíc pro ně může znamenat zbytečný </w:t>
      </w:r>
      <w:r w:rsidR="00AE50EA">
        <w:rPr>
          <w:i/>
          <w:iCs/>
          <w:sz w:val="20"/>
          <w:szCs w:val="20"/>
        </w:rPr>
        <w:t>mezičlánek,</w:t>
      </w:r>
      <w:r w:rsidR="00E140BA" w:rsidRPr="00E140BA">
        <w:rPr>
          <w:sz w:val="20"/>
          <w:szCs w:val="20"/>
        </w:rPr>
        <w:t xml:space="preserve">“ říká </w:t>
      </w:r>
      <w:r w:rsidR="00E140BA" w:rsidRPr="00E140BA">
        <w:rPr>
          <w:b/>
          <w:bCs/>
          <w:sz w:val="20"/>
          <w:szCs w:val="20"/>
        </w:rPr>
        <w:t>Karel Šultes, ředitel produktu a datové analýzy Skupiny Klik.cz</w:t>
      </w:r>
      <w:r w:rsidR="00E140BA" w:rsidRPr="00E140BA">
        <w:rPr>
          <w:sz w:val="20"/>
          <w:szCs w:val="20"/>
        </w:rPr>
        <w:t>.</w:t>
      </w:r>
    </w:p>
    <w:p w14:paraId="38B95B48" w14:textId="77777777" w:rsidR="00501FAF" w:rsidRPr="00B037BE" w:rsidRDefault="00501FAF" w:rsidP="00E140BA">
      <w:pPr>
        <w:spacing w:after="160" w:line="278" w:lineRule="auto"/>
        <w:rPr>
          <w:sz w:val="20"/>
          <w:szCs w:val="20"/>
        </w:rPr>
      </w:pPr>
    </w:p>
    <w:p w14:paraId="085901B2" w14:textId="200C375E" w:rsidR="00E140BA" w:rsidRPr="00E140BA" w:rsidRDefault="00E140BA" w:rsidP="00E140BA">
      <w:pPr>
        <w:spacing w:after="160" w:line="278" w:lineRule="auto"/>
        <w:rPr>
          <w:b/>
          <w:bCs/>
          <w:sz w:val="20"/>
          <w:szCs w:val="20"/>
        </w:rPr>
      </w:pPr>
      <w:r w:rsidRPr="00E140BA">
        <w:rPr>
          <w:b/>
          <w:bCs/>
          <w:sz w:val="20"/>
          <w:szCs w:val="20"/>
        </w:rPr>
        <w:lastRenderedPageBreak/>
        <w:t>Online pojištění ztrojnásobilo podíl</w:t>
      </w:r>
    </w:p>
    <w:p w14:paraId="59A2B7E5" w14:textId="2A294346" w:rsidR="00E140BA" w:rsidRPr="00E140BA" w:rsidRDefault="00CA0196" w:rsidP="00E140BA">
      <w:pPr>
        <w:spacing w:after="160" w:line="278" w:lineRule="auto"/>
        <w:rPr>
          <w:sz w:val="20"/>
          <w:szCs w:val="20"/>
        </w:rPr>
      </w:pPr>
      <w:r w:rsidRPr="00CA0196">
        <w:rPr>
          <w:sz w:val="20"/>
          <w:szCs w:val="20"/>
        </w:rPr>
        <w:t>Do stejného obrazu zapadají také dlouhodobější údaje Českého statistického úřadu.</w:t>
      </w:r>
      <w:r w:rsidR="00E140BA" w:rsidRPr="00E140BA">
        <w:rPr>
          <w:sz w:val="20"/>
          <w:szCs w:val="20"/>
        </w:rPr>
        <w:t xml:space="preserve"> V roce 2025 si </w:t>
      </w:r>
      <w:r w:rsidR="00935582">
        <w:rPr>
          <w:sz w:val="20"/>
          <w:szCs w:val="20"/>
        </w:rPr>
        <w:t xml:space="preserve">neživotní </w:t>
      </w:r>
      <w:r w:rsidR="00E140BA" w:rsidRPr="00E140BA">
        <w:rPr>
          <w:sz w:val="20"/>
          <w:szCs w:val="20"/>
        </w:rPr>
        <w:t xml:space="preserve">pojištění sjednalo online </w:t>
      </w:r>
      <w:r w:rsidR="00E140BA" w:rsidRPr="00E140BA">
        <w:rPr>
          <w:b/>
          <w:bCs/>
          <w:sz w:val="20"/>
          <w:szCs w:val="20"/>
        </w:rPr>
        <w:t>13,3 % Čechů ve věku 16 až 24 let</w:t>
      </w:r>
      <w:r w:rsidR="00E140BA" w:rsidRPr="00E140BA">
        <w:rPr>
          <w:sz w:val="20"/>
          <w:szCs w:val="20"/>
        </w:rPr>
        <w:t>. V roce 2020 to byla přibližně 4 %. Za pět let se tak jejich podíl více než ztrojnásobil.</w:t>
      </w:r>
    </w:p>
    <w:p w14:paraId="5275A8CD" w14:textId="77777777" w:rsidR="00E140BA" w:rsidRPr="00E140BA" w:rsidRDefault="00E140BA" w:rsidP="00E140BA">
      <w:pPr>
        <w:spacing w:after="160" w:line="278" w:lineRule="auto"/>
        <w:rPr>
          <w:sz w:val="20"/>
          <w:szCs w:val="20"/>
        </w:rPr>
      </w:pPr>
      <w:r w:rsidRPr="00E140BA">
        <w:rPr>
          <w:sz w:val="20"/>
          <w:szCs w:val="20"/>
        </w:rPr>
        <w:t xml:space="preserve">Mladí Češi mají pro přesun finančních služeb do online prostředí také velmi dobré předpoklady. Podle Eurostatu mělo v roce 2025 alespoň základní digitální dovednosti </w:t>
      </w:r>
      <w:r w:rsidRPr="00E140BA">
        <w:rPr>
          <w:b/>
          <w:bCs/>
          <w:sz w:val="20"/>
          <w:szCs w:val="20"/>
        </w:rPr>
        <w:t>91,7 % lidí ve věku 16 až 24 let v Česku</w:t>
      </w:r>
      <w:r w:rsidRPr="00E140BA">
        <w:rPr>
          <w:sz w:val="20"/>
          <w:szCs w:val="20"/>
        </w:rPr>
        <w:t>, což byl druhý nejvyšší podíl v Evropské unii. Evropský průměr činil 74,6 %.</w:t>
      </w:r>
    </w:p>
    <w:p w14:paraId="06D9ADCC" w14:textId="77777777" w:rsidR="00E140BA" w:rsidRPr="00E140BA" w:rsidRDefault="00E140BA" w:rsidP="00E140BA">
      <w:pPr>
        <w:spacing w:after="160" w:line="278" w:lineRule="auto"/>
        <w:rPr>
          <w:sz w:val="20"/>
          <w:szCs w:val="20"/>
        </w:rPr>
      </w:pPr>
      <w:r w:rsidRPr="00E140BA">
        <w:rPr>
          <w:sz w:val="20"/>
          <w:szCs w:val="20"/>
        </w:rPr>
        <w:t>Vysoká digitální zdatnost však sama o sobě neznamená, že je snadné vybrat správný finanční produkt. U pojištění zákazník neposuzuje pouze cenu. Rozhodovat mohou také pojistné limity, rozsah krytí, výluky nebo asistenční služby – tedy parametry, jejichž význam nemusí být na první pohled zřejmý.</w:t>
      </w:r>
    </w:p>
    <w:p w14:paraId="67ED1F1C" w14:textId="77777777" w:rsidR="00E140BA" w:rsidRPr="00E140BA" w:rsidRDefault="00E140BA" w:rsidP="00E140BA">
      <w:pPr>
        <w:spacing w:after="160" w:line="278" w:lineRule="auto"/>
        <w:rPr>
          <w:b/>
          <w:bCs/>
          <w:sz w:val="20"/>
          <w:szCs w:val="20"/>
        </w:rPr>
      </w:pPr>
      <w:r w:rsidRPr="00E140BA">
        <w:rPr>
          <w:b/>
          <w:bCs/>
          <w:sz w:val="20"/>
          <w:szCs w:val="20"/>
        </w:rPr>
        <w:t>S odchodem prostředníka roste význam orientace v nabídce</w:t>
      </w:r>
    </w:p>
    <w:p w14:paraId="0FB1C0C0" w14:textId="439ED82E" w:rsidR="00646B37" w:rsidRPr="00646B37" w:rsidRDefault="00E140BA" w:rsidP="00646B37">
      <w:pPr>
        <w:spacing w:after="160" w:line="278" w:lineRule="auto"/>
        <w:rPr>
          <w:sz w:val="20"/>
          <w:szCs w:val="20"/>
        </w:rPr>
      </w:pPr>
      <w:r w:rsidRPr="00E140BA">
        <w:rPr>
          <w:sz w:val="20"/>
          <w:szCs w:val="20"/>
        </w:rPr>
        <w:t xml:space="preserve">Právě tady se podle </w:t>
      </w:r>
      <w:r w:rsidR="006B08ED">
        <w:rPr>
          <w:sz w:val="20"/>
          <w:szCs w:val="20"/>
        </w:rPr>
        <w:t xml:space="preserve">Skupiny </w:t>
      </w:r>
      <w:r w:rsidRPr="00E140BA">
        <w:rPr>
          <w:sz w:val="20"/>
          <w:szCs w:val="20"/>
        </w:rPr>
        <w:t xml:space="preserve">Klik.cz mění také role online prostředí. Nestačí už pouze umožnit na internetu </w:t>
      </w:r>
      <w:r w:rsidR="006B08ED" w:rsidRPr="00E140BA">
        <w:rPr>
          <w:sz w:val="20"/>
          <w:szCs w:val="20"/>
        </w:rPr>
        <w:t xml:space="preserve">produkt </w:t>
      </w:r>
      <w:r w:rsidRPr="00E140BA">
        <w:rPr>
          <w:sz w:val="20"/>
          <w:szCs w:val="20"/>
        </w:rPr>
        <w:t xml:space="preserve">sjednat. Pokud zákazník přebírá větší část rozhodování na sebe, </w:t>
      </w:r>
      <w:r w:rsidR="00646B37" w:rsidRPr="00646B37">
        <w:rPr>
          <w:sz w:val="20"/>
          <w:szCs w:val="20"/>
        </w:rPr>
        <w:t>potřebuje především srozumitelné a přehledné informace, díky kterým se v nabídce zorientuje, jednotlivé varianty porovná a dokáže se samostatně rozhodnout.</w:t>
      </w:r>
    </w:p>
    <w:p w14:paraId="426D33E2" w14:textId="77777777" w:rsidR="00E140BA" w:rsidRPr="00E140BA" w:rsidRDefault="00E140BA" w:rsidP="00E140BA">
      <w:pPr>
        <w:spacing w:after="160" w:line="278" w:lineRule="auto"/>
        <w:rPr>
          <w:sz w:val="20"/>
          <w:szCs w:val="20"/>
        </w:rPr>
      </w:pPr>
      <w:r w:rsidRPr="00E140BA">
        <w:rPr>
          <w:sz w:val="20"/>
          <w:szCs w:val="20"/>
        </w:rPr>
        <w:t>„</w:t>
      </w:r>
      <w:r w:rsidRPr="00E140BA">
        <w:rPr>
          <w:i/>
          <w:iCs/>
          <w:sz w:val="20"/>
          <w:szCs w:val="20"/>
        </w:rPr>
        <w:t>Dostupnost informací už dnes není hlavní problém. Zákazník jich má často naopak příliš mnoho. Klíčové je dokázat z nich rychle poznat, v čem se nabídky liší a které rozdíly jsou pro něj podstatné. Úlohou kvalitního online srovnání proto není ukázat co nejvíce produktů nebo jen nejnižší cenu, ale pomoci člověku udělat informované rozhodnutí,“</w:t>
      </w:r>
      <w:r w:rsidRPr="00E140BA">
        <w:rPr>
          <w:sz w:val="20"/>
          <w:szCs w:val="20"/>
        </w:rPr>
        <w:t xml:space="preserve"> vysvětluje </w:t>
      </w:r>
      <w:r w:rsidRPr="00E140BA">
        <w:rPr>
          <w:b/>
          <w:bCs/>
          <w:sz w:val="20"/>
          <w:szCs w:val="20"/>
        </w:rPr>
        <w:t>Šultes</w:t>
      </w:r>
      <w:r w:rsidRPr="00E140BA">
        <w:rPr>
          <w:sz w:val="20"/>
          <w:szCs w:val="20"/>
        </w:rPr>
        <w:t>.</w:t>
      </w:r>
    </w:p>
    <w:p w14:paraId="222E9384" w14:textId="5B8E4443" w:rsidR="000C091A" w:rsidRPr="000C091A" w:rsidRDefault="00CA0196" w:rsidP="000C091A">
      <w:pPr>
        <w:spacing w:after="160" w:line="278" w:lineRule="auto"/>
        <w:rPr>
          <w:b/>
          <w:bCs/>
          <w:sz w:val="20"/>
          <w:szCs w:val="20"/>
        </w:rPr>
      </w:pPr>
      <w:r w:rsidRPr="00CA0196">
        <w:rPr>
          <w:b/>
          <w:bCs/>
          <w:sz w:val="20"/>
          <w:szCs w:val="20"/>
        </w:rPr>
        <w:t>Srovnávače nejvíce využívají lidé mezi 36 a 44 lety</w:t>
      </w:r>
    </w:p>
    <w:p w14:paraId="3EA685CB" w14:textId="0C5AB1E3" w:rsidR="000C091A" w:rsidRPr="000C091A" w:rsidRDefault="000C091A" w:rsidP="000C091A">
      <w:pPr>
        <w:spacing w:after="160" w:line="278" w:lineRule="auto"/>
        <w:rPr>
          <w:sz w:val="20"/>
          <w:szCs w:val="20"/>
        </w:rPr>
      </w:pPr>
      <w:r w:rsidRPr="000C091A">
        <w:rPr>
          <w:sz w:val="20"/>
          <w:szCs w:val="20"/>
        </w:rPr>
        <w:t xml:space="preserve">Další data </w:t>
      </w:r>
      <w:r w:rsidR="00DD27CE">
        <w:rPr>
          <w:sz w:val="20"/>
          <w:szCs w:val="20"/>
        </w:rPr>
        <w:t>Sku</w:t>
      </w:r>
      <w:r w:rsidR="002817D8">
        <w:rPr>
          <w:sz w:val="20"/>
          <w:szCs w:val="20"/>
        </w:rPr>
        <w:t xml:space="preserve">piny </w:t>
      </w:r>
      <w:r w:rsidRPr="000C091A">
        <w:rPr>
          <w:sz w:val="20"/>
          <w:szCs w:val="20"/>
        </w:rPr>
        <w:t xml:space="preserve">Klik.cz ukazují zajímavý generační rozdíl. Mezi lidmi </w:t>
      </w:r>
      <w:r w:rsidRPr="00556583">
        <w:rPr>
          <w:b/>
          <w:bCs/>
          <w:sz w:val="20"/>
          <w:szCs w:val="20"/>
        </w:rPr>
        <w:t>do 26 let</w:t>
      </w:r>
      <w:r w:rsidRPr="000C091A">
        <w:rPr>
          <w:sz w:val="20"/>
          <w:szCs w:val="20"/>
        </w:rPr>
        <w:t xml:space="preserve"> využívá při sjednání nebo změně pojištění srovnávací portál </w:t>
      </w:r>
      <w:r w:rsidRPr="00556583">
        <w:rPr>
          <w:b/>
          <w:bCs/>
          <w:sz w:val="20"/>
          <w:szCs w:val="20"/>
        </w:rPr>
        <w:t>30 % respondentů</w:t>
      </w:r>
      <w:r w:rsidRPr="000C091A">
        <w:rPr>
          <w:sz w:val="20"/>
          <w:szCs w:val="20"/>
        </w:rPr>
        <w:t xml:space="preserve">. Ve věkové skupině </w:t>
      </w:r>
      <w:r w:rsidRPr="00556583">
        <w:rPr>
          <w:b/>
          <w:bCs/>
          <w:sz w:val="20"/>
          <w:szCs w:val="20"/>
        </w:rPr>
        <w:t>36 až 44 let</w:t>
      </w:r>
      <w:r w:rsidRPr="000C091A">
        <w:rPr>
          <w:sz w:val="20"/>
          <w:szCs w:val="20"/>
        </w:rPr>
        <w:t xml:space="preserve"> je to už </w:t>
      </w:r>
      <w:r w:rsidRPr="000C091A">
        <w:rPr>
          <w:b/>
          <w:bCs/>
          <w:sz w:val="20"/>
          <w:szCs w:val="20"/>
        </w:rPr>
        <w:t>46 %</w:t>
      </w:r>
      <w:r w:rsidRPr="000C091A">
        <w:rPr>
          <w:sz w:val="20"/>
          <w:szCs w:val="20"/>
        </w:rPr>
        <w:t xml:space="preserve">, nejvíce ze všech sledovaných věkových skupin. Mezi </w:t>
      </w:r>
      <w:r w:rsidRPr="0047597B">
        <w:rPr>
          <w:b/>
          <w:bCs/>
          <w:sz w:val="20"/>
          <w:szCs w:val="20"/>
        </w:rPr>
        <w:t>45–53letými</w:t>
      </w:r>
      <w:r w:rsidRPr="000C091A">
        <w:rPr>
          <w:sz w:val="20"/>
          <w:szCs w:val="20"/>
        </w:rPr>
        <w:t xml:space="preserve"> využívá srovnávač </w:t>
      </w:r>
      <w:r w:rsidRPr="0047597B">
        <w:rPr>
          <w:b/>
          <w:bCs/>
          <w:sz w:val="20"/>
          <w:szCs w:val="20"/>
        </w:rPr>
        <w:t>41 % respondentů</w:t>
      </w:r>
      <w:r w:rsidRPr="000C091A">
        <w:rPr>
          <w:sz w:val="20"/>
          <w:szCs w:val="20"/>
        </w:rPr>
        <w:t>.</w:t>
      </w:r>
      <w:r>
        <w:rPr>
          <w:sz w:val="20"/>
          <w:szCs w:val="20"/>
        </w:rPr>
        <w:t xml:space="preserve"> </w:t>
      </w:r>
      <w:r w:rsidRPr="000C091A">
        <w:rPr>
          <w:sz w:val="20"/>
          <w:szCs w:val="20"/>
        </w:rPr>
        <w:t xml:space="preserve">Data ale </w:t>
      </w:r>
      <w:r w:rsidR="00CA0196">
        <w:rPr>
          <w:sz w:val="20"/>
          <w:szCs w:val="20"/>
        </w:rPr>
        <w:t>naznačují</w:t>
      </w:r>
      <w:r w:rsidRPr="000C091A">
        <w:rPr>
          <w:sz w:val="20"/>
          <w:szCs w:val="20"/>
        </w:rPr>
        <w:t>, že srovnávače jsou nejsilnější právě ve věkových skupinách, které už zpravidla řeší širší spektrum pojistných potřeb.</w:t>
      </w:r>
    </w:p>
    <w:p w14:paraId="15677FA9" w14:textId="071206A8" w:rsidR="000C091A" w:rsidRDefault="000C091A" w:rsidP="000C091A">
      <w:pPr>
        <w:spacing w:after="160" w:line="278" w:lineRule="auto"/>
        <w:rPr>
          <w:sz w:val="20"/>
          <w:szCs w:val="20"/>
        </w:rPr>
      </w:pPr>
      <w:r w:rsidRPr="000C091A">
        <w:rPr>
          <w:sz w:val="20"/>
          <w:szCs w:val="20"/>
        </w:rPr>
        <w:t>„</w:t>
      </w:r>
      <w:r w:rsidRPr="000C091A">
        <w:rPr>
          <w:i/>
          <w:iCs/>
          <w:sz w:val="20"/>
          <w:szCs w:val="20"/>
        </w:rPr>
        <w:t xml:space="preserve">U dnešní mladé generace podle nás není hlavní otázkou, zda bude pojištění řešit online, ale jak se bude rozhodovat ve chvíli, kdy její pojistné potřeby začnou být složitější. S věkem obvykle přibývá pojištění auta, domácnosti, nemovitosti nebo potřeba zabezpečit rodinu. Právě tehdy roste význam možnosti rychle se zorientovat v nabídce a pochopit rozdíly mezi jednotlivými produkty. I proto </w:t>
      </w:r>
      <w:r w:rsidR="00657A34">
        <w:rPr>
          <w:i/>
          <w:iCs/>
          <w:sz w:val="20"/>
          <w:szCs w:val="20"/>
        </w:rPr>
        <w:t>je</w:t>
      </w:r>
      <w:r w:rsidRPr="000C091A">
        <w:rPr>
          <w:i/>
          <w:iCs/>
          <w:sz w:val="20"/>
          <w:szCs w:val="20"/>
        </w:rPr>
        <w:t xml:space="preserve"> zajímavé, že nejvyšší využití srovnávačů vidíme právě mezi lidmi ve věku 36 až 44 let,</w:t>
      </w:r>
      <w:r w:rsidRPr="000C091A">
        <w:rPr>
          <w:sz w:val="20"/>
          <w:szCs w:val="20"/>
        </w:rPr>
        <w:t xml:space="preserve">“ říká </w:t>
      </w:r>
      <w:r w:rsidRPr="000C091A">
        <w:rPr>
          <w:b/>
          <w:bCs/>
          <w:sz w:val="20"/>
          <w:szCs w:val="20"/>
        </w:rPr>
        <w:t>Šultes</w:t>
      </w:r>
      <w:r w:rsidRPr="000C091A">
        <w:rPr>
          <w:sz w:val="20"/>
          <w:szCs w:val="20"/>
        </w:rPr>
        <w:t>.</w:t>
      </w:r>
    </w:p>
    <w:p w14:paraId="57F05507" w14:textId="77777777" w:rsidR="00AE50EA" w:rsidRPr="000C091A" w:rsidRDefault="00AE50EA" w:rsidP="000C091A">
      <w:pPr>
        <w:spacing w:after="160" w:line="278" w:lineRule="auto"/>
        <w:rPr>
          <w:sz w:val="20"/>
          <w:szCs w:val="20"/>
        </w:rPr>
      </w:pPr>
    </w:p>
    <w:p w14:paraId="0B4A2D64" w14:textId="77777777" w:rsidR="000C091A" w:rsidRPr="000C091A" w:rsidRDefault="000C091A" w:rsidP="000C091A">
      <w:pPr>
        <w:spacing w:after="160" w:line="278" w:lineRule="auto"/>
        <w:rPr>
          <w:b/>
          <w:bCs/>
          <w:sz w:val="20"/>
          <w:szCs w:val="20"/>
        </w:rPr>
      </w:pPr>
      <w:r w:rsidRPr="000C091A">
        <w:rPr>
          <w:b/>
          <w:bCs/>
          <w:sz w:val="20"/>
          <w:szCs w:val="20"/>
        </w:rPr>
        <w:lastRenderedPageBreak/>
        <w:t>Poradenství nezmizí, část jeho role se přesune online</w:t>
      </w:r>
    </w:p>
    <w:p w14:paraId="37BC1C23" w14:textId="6FEAAE39" w:rsidR="000C091A" w:rsidRPr="000C091A" w:rsidRDefault="000C091A" w:rsidP="000C091A">
      <w:pPr>
        <w:spacing w:after="160" w:line="278" w:lineRule="auto"/>
        <w:rPr>
          <w:sz w:val="20"/>
          <w:szCs w:val="20"/>
        </w:rPr>
      </w:pPr>
      <w:r>
        <w:rPr>
          <w:sz w:val="20"/>
          <w:szCs w:val="20"/>
        </w:rPr>
        <w:t>Tento v</w:t>
      </w:r>
      <w:r w:rsidRPr="000C091A">
        <w:rPr>
          <w:sz w:val="20"/>
          <w:szCs w:val="20"/>
        </w:rPr>
        <w:t>ývoj znamen</w:t>
      </w:r>
      <w:r w:rsidR="00896BCC">
        <w:rPr>
          <w:sz w:val="20"/>
          <w:szCs w:val="20"/>
        </w:rPr>
        <w:t>á</w:t>
      </w:r>
      <w:r w:rsidRPr="000C091A">
        <w:rPr>
          <w:sz w:val="20"/>
          <w:szCs w:val="20"/>
        </w:rPr>
        <w:t xml:space="preserve"> změnu podoby</w:t>
      </w:r>
      <w:r w:rsidR="00896BCC">
        <w:rPr>
          <w:sz w:val="20"/>
          <w:szCs w:val="20"/>
        </w:rPr>
        <w:t xml:space="preserve"> poradenství</w:t>
      </w:r>
      <w:r w:rsidRPr="000C091A">
        <w:rPr>
          <w:sz w:val="20"/>
          <w:szCs w:val="20"/>
        </w:rPr>
        <w:t>. Zákazník může stále větší část výběru a sjednání zvládnout samostatně, zároveň ale potřebuje odbornou orientaci ve chvíli, kdy se rozhoduje mezi složitějšími variantami.</w:t>
      </w:r>
    </w:p>
    <w:p w14:paraId="46903724" w14:textId="77777777" w:rsidR="000C091A" w:rsidRPr="000C091A" w:rsidRDefault="000C091A" w:rsidP="000C091A">
      <w:pPr>
        <w:spacing w:after="160" w:line="278" w:lineRule="auto"/>
        <w:rPr>
          <w:sz w:val="20"/>
          <w:szCs w:val="20"/>
        </w:rPr>
      </w:pPr>
      <w:r w:rsidRPr="000C091A">
        <w:rPr>
          <w:sz w:val="20"/>
          <w:szCs w:val="20"/>
        </w:rPr>
        <w:t>Pro online služby proto nebude do budoucna rozhodující jen to, jak rychle lze pojištění sjednat. Stále důležitější bude, zda dokážou zákazníkovi vysvětlit rozdíly mezi produkty a dát mu dostatek informací pro kvalifikované rozhodnutí.</w:t>
      </w:r>
    </w:p>
    <w:p w14:paraId="25A04469" w14:textId="0C06A355" w:rsidR="000C091A" w:rsidRPr="000C091A" w:rsidRDefault="000C091A" w:rsidP="000C091A">
      <w:pPr>
        <w:spacing w:after="160" w:line="278" w:lineRule="auto"/>
        <w:rPr>
          <w:sz w:val="20"/>
          <w:szCs w:val="20"/>
        </w:rPr>
      </w:pPr>
      <w:r w:rsidRPr="000C091A">
        <w:rPr>
          <w:sz w:val="20"/>
          <w:szCs w:val="20"/>
        </w:rPr>
        <w:t>„</w:t>
      </w:r>
      <w:r w:rsidRPr="000C091A">
        <w:rPr>
          <w:i/>
          <w:iCs/>
          <w:sz w:val="20"/>
          <w:szCs w:val="20"/>
        </w:rPr>
        <w:t xml:space="preserve">Digitální zákazník nechce, aby někdo rozhodoval za něj. To ale neznamená, že chce být při rozhodování sám. Budoucnost online pojištění proto podle nás spočívá ve spojení samostatnosti s odbornou orientací. Část role, kterou dříve plnil osobní poradce, se </w:t>
      </w:r>
      <w:r w:rsidR="00974D7E">
        <w:rPr>
          <w:i/>
          <w:iCs/>
          <w:sz w:val="20"/>
          <w:szCs w:val="20"/>
        </w:rPr>
        <w:t xml:space="preserve">přenáší </w:t>
      </w:r>
      <w:r w:rsidRPr="000C091A">
        <w:rPr>
          <w:i/>
          <w:iCs/>
          <w:sz w:val="20"/>
          <w:szCs w:val="20"/>
        </w:rPr>
        <w:t>přímo do způsobu, jakým jsou informace online vysvětlené a nabídky porovnané,</w:t>
      </w:r>
      <w:r w:rsidRPr="000C091A">
        <w:rPr>
          <w:sz w:val="20"/>
          <w:szCs w:val="20"/>
        </w:rPr>
        <w:t xml:space="preserve">“ uzavírá </w:t>
      </w:r>
      <w:r w:rsidRPr="000C091A">
        <w:rPr>
          <w:b/>
          <w:bCs/>
          <w:sz w:val="20"/>
          <w:szCs w:val="20"/>
        </w:rPr>
        <w:t>Šultes</w:t>
      </w:r>
      <w:r w:rsidRPr="000C091A">
        <w:rPr>
          <w:sz w:val="20"/>
          <w:szCs w:val="20"/>
        </w:rPr>
        <w:t>.</w:t>
      </w:r>
    </w:p>
    <w:p w14:paraId="2F1EED9C" w14:textId="77777777" w:rsidR="00B5458A" w:rsidRDefault="00B5458A" w:rsidP="00472BB5">
      <w:pPr>
        <w:spacing w:after="160" w:line="278" w:lineRule="auto"/>
        <w:rPr>
          <w:b/>
          <w:bCs/>
          <w:szCs w:val="18"/>
        </w:rPr>
      </w:pPr>
    </w:p>
    <w:p w14:paraId="559ECE57" w14:textId="7FDF286E" w:rsidR="00472BB5" w:rsidRPr="00B5458A" w:rsidRDefault="00472BB5" w:rsidP="00472BB5">
      <w:pPr>
        <w:spacing w:after="160" w:line="278" w:lineRule="auto"/>
        <w:rPr>
          <w:b/>
          <w:bCs/>
          <w:szCs w:val="18"/>
        </w:rPr>
      </w:pPr>
      <w:r w:rsidRPr="00B5458A">
        <w:rPr>
          <w:b/>
          <w:bCs/>
          <w:szCs w:val="18"/>
        </w:rPr>
        <w:t>O průzkumu</w:t>
      </w:r>
    </w:p>
    <w:p w14:paraId="485EC5A8" w14:textId="77777777" w:rsidR="00472BB5" w:rsidRPr="00B5458A" w:rsidRDefault="00472BB5" w:rsidP="00472BB5">
      <w:pPr>
        <w:spacing w:after="160" w:line="278" w:lineRule="auto"/>
        <w:rPr>
          <w:szCs w:val="18"/>
        </w:rPr>
      </w:pPr>
      <w:r w:rsidRPr="00B5458A">
        <w:rPr>
          <w:szCs w:val="18"/>
        </w:rPr>
        <w:t>Kontinuální brand tracking realizovala Skupina Klik.cz v srpnu 2026 na vzorku 1 046 respondentů reprezentativním pro českou internetovou populaci ve věku 18–65 let. Průzkum je prováděn opakovaně přes Instant Research od října 2025 (vlna 2510) metodou online dotazování (CAWI). Citované srovnání se vztahuje k vlnám říjen 2025 (2510) a srpen 2026 (2608), nestanoví-li text jinak.</w:t>
      </w:r>
    </w:p>
    <w:p w14:paraId="4BFEB085" w14:textId="18CCBBFA" w:rsidR="00D26658" w:rsidRPr="005E2B6B" w:rsidRDefault="00D26658" w:rsidP="00D26658">
      <w:pPr>
        <w:spacing w:after="160" w:line="278" w:lineRule="auto"/>
        <w:rPr>
          <w:sz w:val="20"/>
          <w:szCs w:val="20"/>
        </w:rPr>
      </w:pPr>
    </w:p>
    <w:p w14:paraId="3AADBF0C" w14:textId="3A2A8560" w:rsidR="00476614" w:rsidRPr="005E2B6B" w:rsidRDefault="00FA7F69" w:rsidP="00E267C6">
      <w:pPr>
        <w:pStyle w:val="Zkladntext"/>
        <w:spacing w:before="240" w:line="276" w:lineRule="auto"/>
        <w:jc w:val="left"/>
      </w:pPr>
      <w:r w:rsidRPr="005E2B6B">
        <w:rPr>
          <w:u w:val="single"/>
        </w:rPr>
        <w:t>Kontakt pro média:</w:t>
      </w:r>
      <w:r w:rsidRPr="005E2B6B">
        <w:br/>
      </w:r>
      <w:r w:rsidRPr="00911433">
        <w:rPr>
          <w:b/>
          <w:bCs/>
        </w:rPr>
        <w:t>Vladimíra Kolaříková</w:t>
      </w:r>
      <w:r w:rsidRPr="00911433">
        <w:rPr>
          <w:b/>
          <w:bCs/>
        </w:rPr>
        <w:br/>
      </w:r>
      <w:r w:rsidR="00476614" w:rsidRPr="005E2B6B">
        <w:t>PR Manager, Skupina Klik.cz</w:t>
      </w:r>
      <w:r w:rsidR="00476614" w:rsidRPr="005E2B6B">
        <w:br/>
        <w:t>tel.:</w:t>
      </w:r>
      <w:r w:rsidR="00476614" w:rsidRPr="005E2B6B">
        <w:rPr>
          <w:spacing w:val="-5"/>
        </w:rPr>
        <w:t xml:space="preserve"> </w:t>
      </w:r>
      <w:r w:rsidR="00476614" w:rsidRPr="005E2B6B">
        <w:t>+420</w:t>
      </w:r>
      <w:r w:rsidR="00476614" w:rsidRPr="005E2B6B">
        <w:rPr>
          <w:spacing w:val="-4"/>
        </w:rPr>
        <w:t xml:space="preserve"> </w:t>
      </w:r>
      <w:r w:rsidR="00476614" w:rsidRPr="005E2B6B">
        <w:t>602</w:t>
      </w:r>
      <w:r w:rsidR="00476614" w:rsidRPr="005E2B6B">
        <w:rPr>
          <w:spacing w:val="-1"/>
        </w:rPr>
        <w:t xml:space="preserve"> </w:t>
      </w:r>
      <w:r w:rsidR="00476614" w:rsidRPr="005E2B6B">
        <w:t>408</w:t>
      </w:r>
      <w:r w:rsidR="00476614" w:rsidRPr="005E2B6B">
        <w:rPr>
          <w:spacing w:val="-6"/>
        </w:rPr>
        <w:t> </w:t>
      </w:r>
      <w:r w:rsidR="00476614" w:rsidRPr="005E2B6B">
        <w:rPr>
          <w:spacing w:val="-5"/>
        </w:rPr>
        <w:t>539</w:t>
      </w:r>
      <w:r w:rsidR="00476614" w:rsidRPr="005E2B6B">
        <w:br/>
        <w:t>e-mail:</w:t>
      </w:r>
      <w:r w:rsidR="00476614" w:rsidRPr="005E2B6B">
        <w:rPr>
          <w:spacing w:val="-6"/>
        </w:rPr>
        <w:t xml:space="preserve"> </w:t>
      </w:r>
      <w:hyperlink r:id="rId8">
        <w:r w:rsidR="00476614" w:rsidRPr="005E2B6B">
          <w:rPr>
            <w:spacing w:val="-2"/>
            <w:u w:val="single"/>
          </w:rPr>
          <w:t>vladimira.kolarikova@klik.cz</w:t>
        </w:r>
      </w:hyperlink>
    </w:p>
    <w:p w14:paraId="368712B7" w14:textId="77777777" w:rsidR="00476614" w:rsidRPr="005E2B6B" w:rsidRDefault="00476614" w:rsidP="00476614">
      <w:pPr>
        <w:pStyle w:val="Zkladntext"/>
        <w:spacing w:line="276" w:lineRule="auto"/>
      </w:pPr>
    </w:p>
    <w:p w14:paraId="4AF12E32" w14:textId="77777777" w:rsidR="00476614" w:rsidRPr="00911433" w:rsidRDefault="00476614" w:rsidP="00476614">
      <w:pPr>
        <w:pStyle w:val="Zkladntext"/>
        <w:spacing w:line="276" w:lineRule="auto"/>
        <w:rPr>
          <w:b/>
          <w:bCs/>
          <w:szCs w:val="18"/>
          <w:u w:val="single"/>
        </w:rPr>
      </w:pPr>
      <w:r w:rsidRPr="00911433">
        <w:rPr>
          <w:b/>
          <w:bCs/>
          <w:szCs w:val="18"/>
          <w:u w:val="single"/>
        </w:rPr>
        <w:t>Skupina Klik.cz</w:t>
      </w:r>
    </w:p>
    <w:p w14:paraId="21861E58" w14:textId="77777777" w:rsidR="00476614" w:rsidRPr="005E2B6B" w:rsidRDefault="00476614" w:rsidP="00476614">
      <w:pPr>
        <w:pStyle w:val="Zkladntext"/>
        <w:spacing w:before="120" w:line="276" w:lineRule="auto"/>
        <w:rPr>
          <w:szCs w:val="18"/>
        </w:rPr>
      </w:pPr>
      <w:r w:rsidRPr="005E2B6B">
        <w:rPr>
          <w:szCs w:val="18"/>
        </w:rPr>
        <w:t>Sdružujeme přední české internetové srovnávače, díky kterým nabízíme poradenství a sjednávání produktů tak, abychom co nejlépe pomohli šetřit rodinné finance. Exkluzivní partnerství se všemi klíčovými finančními institucemi na českém trhu nám umožňuje nabídnout zákazníkům to nejvýhodnější řešení při zřizování povinného ručení, havarijního pojištění, pojištění domácnosti a nemovitosti, cestovního pojištění, životního pojištění, ale i při volbě půjček, hypoték a energií. To vše z pohodlí jejich domovů.</w:t>
      </w:r>
    </w:p>
    <w:p w14:paraId="3146C8D9" w14:textId="5220BC20" w:rsidR="00476614" w:rsidRPr="005E2B6B" w:rsidRDefault="00476614" w:rsidP="00476614">
      <w:pPr>
        <w:pStyle w:val="Zkladntext"/>
        <w:spacing w:before="120" w:line="264" w:lineRule="auto"/>
        <w:rPr>
          <w:szCs w:val="18"/>
        </w:rPr>
      </w:pPr>
      <w:r w:rsidRPr="005E2B6B">
        <w:rPr>
          <w:szCs w:val="18"/>
        </w:rPr>
        <w:t>Naše srovnávače vystupují jako samostatní zprostředkovatelé dle zákona o distribuci pojištění. Řídíme se zákonem o energetice a předpisy Energetického regulačního úřadu. Plníme roli objektivního a transparentního prostředníka, který je motivován k propagaci nejvhodnějšího produktu pro klienta bez ohledu na konečný výběr značky pojišťovny.</w:t>
      </w:r>
    </w:p>
    <w:p w14:paraId="6D4310B3" w14:textId="3B91D3CE" w:rsidR="00667EE5" w:rsidRPr="005E2B6B" w:rsidRDefault="00476614" w:rsidP="00C30F1C">
      <w:pPr>
        <w:pStyle w:val="Zkladntext"/>
        <w:spacing w:before="120" w:line="264" w:lineRule="auto"/>
      </w:pPr>
      <w:r w:rsidRPr="005E2B6B">
        <w:rPr>
          <w:szCs w:val="18"/>
        </w:rPr>
        <w:lastRenderedPageBreak/>
        <w:t>Součástí Skupiny Klik.cz jsou tyto klíčové srovnávače: Klik.cz, Srovnejto.cz, ePojisteni.cz, Tarifomat a Porovnej24.cz. Jsme součástí mezinárodní skupiny Netrisk Group, která kromě Česka provozuje srovnávače v dalších pěti evropských zemích: na Slovensku, v Rakousku, Maďarsku, Polsku a Litvě.</w:t>
      </w:r>
      <w:r w:rsidR="00667EE5" w:rsidRPr="005E2B6B">
        <w:tab/>
      </w:r>
    </w:p>
    <w:sectPr w:rsidR="00667EE5" w:rsidRPr="005E2B6B" w:rsidSect="005E69BE">
      <w:headerReference w:type="default" r:id="rId9"/>
      <w:footerReference w:type="default" r:id="rId10"/>
      <w:pgSz w:w="11906" w:h="16838"/>
      <w:pgMar w:top="170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278DC" w14:textId="77777777" w:rsidR="00BC4FF4" w:rsidRDefault="00BC4FF4" w:rsidP="005E69BE">
      <w:pPr>
        <w:spacing w:line="240" w:lineRule="auto"/>
      </w:pPr>
      <w:r>
        <w:separator/>
      </w:r>
    </w:p>
  </w:endnote>
  <w:endnote w:type="continuationSeparator" w:id="0">
    <w:p w14:paraId="011173F8" w14:textId="77777777" w:rsidR="00BC4FF4" w:rsidRDefault="00BC4FF4" w:rsidP="005E69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Poppins">
    <w:charset w:val="EE"/>
    <w:family w:val="auto"/>
    <w:pitch w:val="variable"/>
    <w:sig w:usb0="00008007" w:usb1="00000000" w:usb2="00000000" w:usb3="00000000" w:csb0="00000093" w:csb1="00000000"/>
  </w:font>
  <w:font w:name="Poppins Bold">
    <w:altName w:val="Poppins"/>
    <w:panose1 w:val="00000000000000000000"/>
    <w:charset w:val="00"/>
    <w:family w:val="roman"/>
    <w:notTrueType/>
    <w:pitch w:val="default"/>
  </w:font>
  <w:font w:name="Calibri Light">
    <w:panose1 w:val="020F0302020204030204"/>
    <w:charset w:val="EE"/>
    <w:family w:val="swiss"/>
    <w:pitch w:val="variable"/>
    <w:sig w:usb0="E4002EFF" w:usb1="C200247B" w:usb2="00000009" w:usb3="00000000" w:csb0="000001FF" w:csb1="00000000"/>
  </w:font>
  <w:font w:name="Fedra Sans Alt Std Light">
    <w:altName w:val="Calibri"/>
    <w:panose1 w:val="00000000000000000000"/>
    <w:charset w:val="00"/>
    <w:family w:val="modern"/>
    <w:notTrueType/>
    <w:pitch w:val="variable"/>
    <w:sig w:usb0="A000003F" w:usb1="5001E4FB" w:usb2="00000000" w:usb3="00000000" w:csb0="00000093" w:csb1="00000000"/>
  </w:font>
  <w:font w:name="Calibri">
    <w:panose1 w:val="020F0502020204030204"/>
    <w:charset w:val="EE"/>
    <w:family w:val="swiss"/>
    <w:pitch w:val="variable"/>
    <w:sig w:usb0="E4002EFF" w:usb1="C200247B" w:usb2="00000009" w:usb3="00000000" w:csb0="000001FF" w:csb1="00000000"/>
  </w:font>
  <w:font w:name="Fedra Sans Alt Std Medium">
    <w:altName w:val="Calibri"/>
    <w:panose1 w:val="00000000000000000000"/>
    <w:charset w:val="00"/>
    <w:family w:val="modern"/>
    <w:notTrueType/>
    <w:pitch w:val="variable"/>
    <w:sig w:usb0="E00002FF" w:usb1="5001E4FB" w:usb2="00000000" w:usb3="00000000" w:csb0="0000019F" w:csb1="00000000"/>
  </w:font>
  <w:font w:name="Quicksand">
    <w:altName w:val="Calibri"/>
    <w:charset w:val="EE"/>
    <w:family w:val="auto"/>
    <w:pitch w:val="variable"/>
    <w:sig w:usb0="2000000F" w:usb1="00000001" w:usb2="00000000" w:usb3="00000000" w:csb0="00000193"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64184" w14:textId="72FCEC31" w:rsidR="009F16E3" w:rsidRPr="009F16E3" w:rsidRDefault="005C02ED" w:rsidP="009F16E3">
    <w:pPr>
      <w:pStyle w:val="Zpat"/>
      <w:jc w:val="center"/>
      <w:rPr>
        <w:sz w:val="16"/>
        <w:szCs w:val="20"/>
      </w:rPr>
    </w:pPr>
    <w:r w:rsidRPr="005C02ED">
      <w:rPr>
        <w:noProof/>
      </w:rPr>
      <w:drawing>
        <wp:anchor distT="0" distB="0" distL="114300" distR="114300" simplePos="0" relativeHeight="251664384" behindDoc="0" locked="0" layoutInCell="1" allowOverlap="1" wp14:anchorId="6BFDF74E" wp14:editId="7813F33E">
          <wp:simplePos x="0" y="0"/>
          <wp:positionH relativeFrom="margin">
            <wp:posOffset>-19050</wp:posOffset>
          </wp:positionH>
          <wp:positionV relativeFrom="paragraph">
            <wp:posOffset>-204899</wp:posOffset>
          </wp:positionV>
          <wp:extent cx="6157722" cy="190445"/>
          <wp:effectExtent l="0" t="0" r="0" b="635"/>
          <wp:wrapNone/>
          <wp:docPr id="1287204318" name="Grafický 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204318" name=""/>
                  <pic:cNvPicPr/>
                </pic:nvPicPr>
                <pic:blipFill>
                  <a:blip r:embed="rId1">
                    <a:extLst>
                      <a:ext uri="{96DAC541-7B7A-43D3-8B79-37D633B846F1}">
                        <asvg:svgBlip xmlns:asvg="http://schemas.microsoft.com/office/drawing/2016/SVG/main" r:embed="rId2"/>
                      </a:ext>
                    </a:extLst>
                  </a:blip>
                  <a:stretch>
                    <a:fillRect/>
                  </a:stretch>
                </pic:blipFill>
                <pic:spPr>
                  <a:xfrm>
                    <a:off x="0" y="0"/>
                    <a:ext cx="6157722" cy="190445"/>
                  </a:xfrm>
                  <a:prstGeom prst="rect">
                    <a:avLst/>
                  </a:prstGeom>
                </pic:spPr>
              </pic:pic>
            </a:graphicData>
          </a:graphic>
          <wp14:sizeRelH relativeFrom="margin">
            <wp14:pctWidth>0</wp14:pctWidth>
          </wp14:sizeRelH>
          <wp14:sizeRelV relativeFrom="margin">
            <wp14:pctHeight>0</wp14:pctHeight>
          </wp14:sizeRelV>
        </wp:anchor>
      </w:drawing>
    </w:r>
    <w:r w:rsidR="009F16E3" w:rsidRPr="009F16E3">
      <w:rPr>
        <w:sz w:val="16"/>
        <w:szCs w:val="20"/>
      </w:rPr>
      <w:t>Rohanské nábřeží 678/29, 186 00 Praha 8 - Karlín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C19EF5" w14:textId="77777777" w:rsidR="00BC4FF4" w:rsidRDefault="00BC4FF4" w:rsidP="005E69BE">
      <w:pPr>
        <w:spacing w:line="240" w:lineRule="auto"/>
      </w:pPr>
      <w:r>
        <w:separator/>
      </w:r>
    </w:p>
  </w:footnote>
  <w:footnote w:type="continuationSeparator" w:id="0">
    <w:p w14:paraId="49443413" w14:textId="77777777" w:rsidR="00BC4FF4" w:rsidRDefault="00BC4FF4" w:rsidP="005E69B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18"/>
      </w:rPr>
      <w:id w:val="-1318336367"/>
      <w:docPartObj>
        <w:docPartGallery w:val="Page Numbers (Top of Page)"/>
        <w:docPartUnique/>
      </w:docPartObj>
    </w:sdtPr>
    <w:sdtContent>
      <w:p w14:paraId="7DF950EC" w14:textId="368D1022" w:rsidR="002C02E4" w:rsidRPr="005C02ED" w:rsidRDefault="00C61BB3">
        <w:pPr>
          <w:pStyle w:val="Zhlav"/>
          <w:jc w:val="right"/>
          <w:rPr>
            <w:szCs w:val="18"/>
          </w:rPr>
        </w:pPr>
        <w:r w:rsidRPr="005C02ED">
          <w:rPr>
            <w:noProof/>
            <w:szCs w:val="18"/>
          </w:rPr>
          <w:drawing>
            <wp:anchor distT="0" distB="0" distL="114300" distR="114300" simplePos="0" relativeHeight="251663360" behindDoc="0" locked="0" layoutInCell="1" allowOverlap="1" wp14:anchorId="6BA586DA" wp14:editId="24084EB8">
              <wp:simplePos x="0" y="0"/>
              <wp:positionH relativeFrom="column">
                <wp:posOffset>10700</wp:posOffset>
              </wp:positionH>
              <wp:positionV relativeFrom="paragraph">
                <wp:posOffset>194310</wp:posOffset>
              </wp:positionV>
              <wp:extent cx="1490205" cy="184150"/>
              <wp:effectExtent l="0" t="0" r="0" b="6350"/>
              <wp:wrapNone/>
              <wp:docPr id="453262952" name="Grafický 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262952" name=""/>
                      <pic:cNvPicPr/>
                    </pic:nvPicPr>
                    <pic:blipFill>
                      <a:blip r:embed="rId1">
                        <a:extLst>
                          <a:ext uri="{96DAC541-7B7A-43D3-8B79-37D633B846F1}">
                            <asvg:svgBlip xmlns:asvg="http://schemas.microsoft.com/office/drawing/2016/SVG/main" r:embed="rId2"/>
                          </a:ext>
                        </a:extLst>
                      </a:blip>
                      <a:stretch>
                        <a:fillRect/>
                      </a:stretch>
                    </pic:blipFill>
                    <pic:spPr>
                      <a:xfrm>
                        <a:off x="0" y="0"/>
                        <a:ext cx="1490205" cy="184150"/>
                      </a:xfrm>
                      <a:prstGeom prst="rect">
                        <a:avLst/>
                      </a:prstGeom>
                    </pic:spPr>
                  </pic:pic>
                </a:graphicData>
              </a:graphic>
              <wp14:sizeRelH relativeFrom="margin">
                <wp14:pctWidth>0</wp14:pctWidth>
              </wp14:sizeRelH>
              <wp14:sizeRelV relativeFrom="margin">
                <wp14:pctHeight>0</wp14:pctHeight>
              </wp14:sizeRelV>
            </wp:anchor>
          </w:drawing>
        </w:r>
      </w:p>
      <w:p w14:paraId="509FE4CA" w14:textId="705CE368" w:rsidR="00862E1A" w:rsidRPr="005C02ED" w:rsidRDefault="00862E1A">
        <w:pPr>
          <w:pStyle w:val="Zhlav"/>
          <w:jc w:val="right"/>
          <w:rPr>
            <w:szCs w:val="18"/>
          </w:rPr>
        </w:pPr>
        <w:r w:rsidRPr="005C02ED">
          <w:rPr>
            <w:szCs w:val="18"/>
          </w:rPr>
          <w:fldChar w:fldCharType="begin"/>
        </w:r>
        <w:r w:rsidRPr="005C02ED">
          <w:rPr>
            <w:szCs w:val="18"/>
          </w:rPr>
          <w:instrText>PAGE</w:instrText>
        </w:r>
        <w:r w:rsidRPr="005C02ED">
          <w:rPr>
            <w:szCs w:val="18"/>
          </w:rPr>
          <w:fldChar w:fldCharType="separate"/>
        </w:r>
        <w:r w:rsidRPr="005C02ED">
          <w:rPr>
            <w:szCs w:val="18"/>
          </w:rPr>
          <w:t>2</w:t>
        </w:r>
        <w:r w:rsidRPr="005C02ED">
          <w:rPr>
            <w:szCs w:val="18"/>
          </w:rPr>
          <w:fldChar w:fldCharType="end"/>
        </w:r>
        <w:r w:rsidRPr="005C02ED">
          <w:rPr>
            <w:color w:val="E5087D"/>
            <w:szCs w:val="18"/>
          </w:rPr>
          <w:t>/</w:t>
        </w:r>
        <w:r w:rsidRPr="005C02ED">
          <w:rPr>
            <w:szCs w:val="18"/>
          </w:rPr>
          <w:fldChar w:fldCharType="begin"/>
        </w:r>
        <w:r w:rsidRPr="005C02ED">
          <w:rPr>
            <w:szCs w:val="18"/>
          </w:rPr>
          <w:instrText>NUMPAGES</w:instrText>
        </w:r>
        <w:r w:rsidRPr="005C02ED">
          <w:rPr>
            <w:szCs w:val="18"/>
          </w:rPr>
          <w:fldChar w:fldCharType="separate"/>
        </w:r>
        <w:r w:rsidRPr="005C02ED">
          <w:rPr>
            <w:szCs w:val="18"/>
          </w:rPr>
          <w:t>2</w:t>
        </w:r>
        <w:r w:rsidRPr="005C02ED">
          <w:rPr>
            <w:szCs w:val="18"/>
          </w:rPr>
          <w:fldChar w:fldCharType="end"/>
        </w:r>
      </w:p>
    </w:sdtContent>
  </w:sdt>
  <w:p w14:paraId="29DBBA6B" w14:textId="03CFDAEB" w:rsidR="005E69BE" w:rsidRPr="005C02ED" w:rsidRDefault="005E69BE">
    <w:pPr>
      <w:pStyle w:val="Zhlav"/>
      <w:rPr>
        <w:sz w:val="22"/>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411C13"/>
    <w:multiLevelType w:val="multilevel"/>
    <w:tmpl w:val="032CFAA6"/>
    <w:lvl w:ilvl="0">
      <w:start w:val="1"/>
      <w:numFmt w:val="decimal"/>
      <w:pStyle w:val="Odrka1"/>
      <w:lvlText w:val="%1."/>
      <w:lvlJc w:val="left"/>
      <w:pPr>
        <w:ind w:left="360" w:hanging="360"/>
      </w:pPr>
      <w:rPr>
        <w:rFonts w:hint="default"/>
        <w:b/>
        <w:bCs/>
        <w:caps w:val="0"/>
        <w:strike w:val="0"/>
        <w:dstrike w:val="0"/>
        <w:color w:val="E5087D"/>
        <w:sz w:val="20"/>
        <w:szCs w:val="20"/>
        <w:vertAlign w:val="baseline"/>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25F01D69"/>
    <w:multiLevelType w:val="multilevel"/>
    <w:tmpl w:val="152C7B84"/>
    <w:lvl w:ilvl="0">
      <w:start w:val="1"/>
      <w:numFmt w:val="decimal"/>
      <w:lvlText w:val="%1."/>
      <w:lvlJc w:val="left"/>
      <w:pPr>
        <w:tabs>
          <w:tab w:val="num" w:pos="720"/>
        </w:tabs>
        <w:ind w:left="720" w:hanging="720"/>
      </w:pPr>
    </w:lvl>
    <w:lvl w:ilvl="1">
      <w:start w:val="1"/>
      <w:numFmt w:val="decimal"/>
      <w:pStyle w:val="Odrka3"/>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4D9F11D4"/>
    <w:multiLevelType w:val="hybridMultilevel"/>
    <w:tmpl w:val="6CEE69D4"/>
    <w:lvl w:ilvl="0" w:tplc="5A5874D6">
      <w:start w:val="1"/>
      <w:numFmt w:val="bullet"/>
      <w:lvlText w:val=""/>
      <w:lvlJc w:val="left"/>
      <w:pPr>
        <w:ind w:left="360" w:hanging="360"/>
      </w:pPr>
      <w:rPr>
        <w:rFonts w:ascii="Wingdings" w:hAnsi="Wingdings" w:hint="default"/>
        <w:color w:val="B8A875"/>
        <w:sz w:val="10"/>
      </w:rPr>
    </w:lvl>
    <w:lvl w:ilvl="1" w:tplc="FFFFFFFF" w:tentative="1">
      <w:start w:val="1"/>
      <w:numFmt w:val="bullet"/>
      <w:lvlText w:val="o"/>
      <w:lvlJc w:val="left"/>
      <w:pPr>
        <w:ind w:left="796" w:hanging="360"/>
      </w:pPr>
      <w:rPr>
        <w:rFonts w:ascii="Courier New" w:hAnsi="Courier New" w:cs="Courier New" w:hint="default"/>
      </w:rPr>
    </w:lvl>
    <w:lvl w:ilvl="2" w:tplc="FFFFFFFF" w:tentative="1">
      <w:start w:val="1"/>
      <w:numFmt w:val="bullet"/>
      <w:lvlText w:val=""/>
      <w:lvlJc w:val="left"/>
      <w:pPr>
        <w:ind w:left="1516" w:hanging="360"/>
      </w:pPr>
      <w:rPr>
        <w:rFonts w:ascii="Wingdings" w:hAnsi="Wingdings" w:hint="default"/>
      </w:rPr>
    </w:lvl>
    <w:lvl w:ilvl="3" w:tplc="FFFFFFFF" w:tentative="1">
      <w:start w:val="1"/>
      <w:numFmt w:val="bullet"/>
      <w:lvlText w:val=""/>
      <w:lvlJc w:val="left"/>
      <w:pPr>
        <w:ind w:left="2236" w:hanging="360"/>
      </w:pPr>
      <w:rPr>
        <w:rFonts w:ascii="Symbol" w:hAnsi="Symbol" w:hint="default"/>
      </w:rPr>
    </w:lvl>
    <w:lvl w:ilvl="4" w:tplc="FFFFFFFF" w:tentative="1">
      <w:start w:val="1"/>
      <w:numFmt w:val="bullet"/>
      <w:lvlText w:val="o"/>
      <w:lvlJc w:val="left"/>
      <w:pPr>
        <w:ind w:left="2956" w:hanging="360"/>
      </w:pPr>
      <w:rPr>
        <w:rFonts w:ascii="Courier New" w:hAnsi="Courier New" w:cs="Courier New" w:hint="default"/>
      </w:rPr>
    </w:lvl>
    <w:lvl w:ilvl="5" w:tplc="FFFFFFFF" w:tentative="1">
      <w:start w:val="1"/>
      <w:numFmt w:val="bullet"/>
      <w:lvlText w:val=""/>
      <w:lvlJc w:val="left"/>
      <w:pPr>
        <w:ind w:left="3676" w:hanging="360"/>
      </w:pPr>
      <w:rPr>
        <w:rFonts w:ascii="Wingdings" w:hAnsi="Wingdings" w:hint="default"/>
      </w:rPr>
    </w:lvl>
    <w:lvl w:ilvl="6" w:tplc="FFFFFFFF" w:tentative="1">
      <w:start w:val="1"/>
      <w:numFmt w:val="bullet"/>
      <w:lvlText w:val=""/>
      <w:lvlJc w:val="left"/>
      <w:pPr>
        <w:ind w:left="4396" w:hanging="360"/>
      </w:pPr>
      <w:rPr>
        <w:rFonts w:ascii="Symbol" w:hAnsi="Symbol" w:hint="default"/>
      </w:rPr>
    </w:lvl>
    <w:lvl w:ilvl="7" w:tplc="FFFFFFFF" w:tentative="1">
      <w:start w:val="1"/>
      <w:numFmt w:val="bullet"/>
      <w:lvlText w:val="o"/>
      <w:lvlJc w:val="left"/>
      <w:pPr>
        <w:ind w:left="5116" w:hanging="360"/>
      </w:pPr>
      <w:rPr>
        <w:rFonts w:ascii="Courier New" w:hAnsi="Courier New" w:cs="Courier New" w:hint="default"/>
      </w:rPr>
    </w:lvl>
    <w:lvl w:ilvl="8" w:tplc="FFFFFFFF" w:tentative="1">
      <w:start w:val="1"/>
      <w:numFmt w:val="bullet"/>
      <w:lvlText w:val=""/>
      <w:lvlJc w:val="left"/>
      <w:pPr>
        <w:ind w:left="5836" w:hanging="360"/>
      </w:pPr>
      <w:rPr>
        <w:rFonts w:ascii="Wingdings" w:hAnsi="Wingdings" w:hint="default"/>
      </w:rPr>
    </w:lvl>
  </w:abstractNum>
  <w:abstractNum w:abstractNumId="3" w15:restartNumberingAfterBreak="0">
    <w:nsid w:val="6B072B96"/>
    <w:multiLevelType w:val="multilevel"/>
    <w:tmpl w:val="820A2BE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639140664">
    <w:abstractNumId w:val="2"/>
  </w:num>
  <w:num w:numId="2" w16cid:durableId="229508072">
    <w:abstractNumId w:val="0"/>
  </w:num>
  <w:num w:numId="3" w16cid:durableId="1338994047">
    <w:abstractNumId w:val="3"/>
  </w:num>
  <w:num w:numId="4" w16cid:durableId="1826235833">
    <w:abstractNumId w:val="1"/>
  </w:num>
  <w:num w:numId="5" w16cid:durableId="416757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9BE"/>
    <w:rsid w:val="00003207"/>
    <w:rsid w:val="00003EF1"/>
    <w:rsid w:val="00005889"/>
    <w:rsid w:val="00012325"/>
    <w:rsid w:val="0001378D"/>
    <w:rsid w:val="000149F9"/>
    <w:rsid w:val="00014FE6"/>
    <w:rsid w:val="00024B7C"/>
    <w:rsid w:val="000571E9"/>
    <w:rsid w:val="0006018E"/>
    <w:rsid w:val="00066D90"/>
    <w:rsid w:val="000754B6"/>
    <w:rsid w:val="000766D9"/>
    <w:rsid w:val="00082630"/>
    <w:rsid w:val="00087A72"/>
    <w:rsid w:val="000953C3"/>
    <w:rsid w:val="000B5210"/>
    <w:rsid w:val="000C091A"/>
    <w:rsid w:val="000C69A4"/>
    <w:rsid w:val="000C7545"/>
    <w:rsid w:val="000D0517"/>
    <w:rsid w:val="000D638B"/>
    <w:rsid w:val="000F2FAD"/>
    <w:rsid w:val="000F312C"/>
    <w:rsid w:val="000F3CBF"/>
    <w:rsid w:val="000F5289"/>
    <w:rsid w:val="000F566A"/>
    <w:rsid w:val="001017A8"/>
    <w:rsid w:val="001053A0"/>
    <w:rsid w:val="00124606"/>
    <w:rsid w:val="00124D95"/>
    <w:rsid w:val="00127721"/>
    <w:rsid w:val="00130AA2"/>
    <w:rsid w:val="00133EF9"/>
    <w:rsid w:val="0013439C"/>
    <w:rsid w:val="00136C71"/>
    <w:rsid w:val="00141E8C"/>
    <w:rsid w:val="00152537"/>
    <w:rsid w:val="00153EA4"/>
    <w:rsid w:val="00154C0B"/>
    <w:rsid w:val="00155F2B"/>
    <w:rsid w:val="00171856"/>
    <w:rsid w:val="001724B5"/>
    <w:rsid w:val="00176901"/>
    <w:rsid w:val="00183791"/>
    <w:rsid w:val="00184EC9"/>
    <w:rsid w:val="00196C9D"/>
    <w:rsid w:val="001B00F4"/>
    <w:rsid w:val="001B0E71"/>
    <w:rsid w:val="001B249F"/>
    <w:rsid w:val="001B6F83"/>
    <w:rsid w:val="001D2FB3"/>
    <w:rsid w:val="001D498C"/>
    <w:rsid w:val="001D63B2"/>
    <w:rsid w:val="001E4690"/>
    <w:rsid w:val="001E53B3"/>
    <w:rsid w:val="001E7CC0"/>
    <w:rsid w:val="001F379C"/>
    <w:rsid w:val="001F3C9D"/>
    <w:rsid w:val="001F6F3D"/>
    <w:rsid w:val="00202BE0"/>
    <w:rsid w:val="0021528B"/>
    <w:rsid w:val="00221B15"/>
    <w:rsid w:val="00225178"/>
    <w:rsid w:val="002263AE"/>
    <w:rsid w:val="0023452C"/>
    <w:rsid w:val="00234AA4"/>
    <w:rsid w:val="00235668"/>
    <w:rsid w:val="00237E61"/>
    <w:rsid w:val="00240630"/>
    <w:rsid w:val="00243B93"/>
    <w:rsid w:val="0025478B"/>
    <w:rsid w:val="0025681B"/>
    <w:rsid w:val="00260B77"/>
    <w:rsid w:val="002616EA"/>
    <w:rsid w:val="00264EFD"/>
    <w:rsid w:val="00266E8A"/>
    <w:rsid w:val="002746E9"/>
    <w:rsid w:val="00277A2B"/>
    <w:rsid w:val="002817D8"/>
    <w:rsid w:val="0029306C"/>
    <w:rsid w:val="00295FFC"/>
    <w:rsid w:val="002A4F58"/>
    <w:rsid w:val="002A6564"/>
    <w:rsid w:val="002B0655"/>
    <w:rsid w:val="002B4394"/>
    <w:rsid w:val="002B48FB"/>
    <w:rsid w:val="002B586C"/>
    <w:rsid w:val="002B58BC"/>
    <w:rsid w:val="002C02E4"/>
    <w:rsid w:val="002C0B40"/>
    <w:rsid w:val="002C39AB"/>
    <w:rsid w:val="002D0606"/>
    <w:rsid w:val="002D0EF0"/>
    <w:rsid w:val="002D4DF8"/>
    <w:rsid w:val="002D75C4"/>
    <w:rsid w:val="002F07ED"/>
    <w:rsid w:val="002F1D20"/>
    <w:rsid w:val="00312154"/>
    <w:rsid w:val="00313353"/>
    <w:rsid w:val="00313C69"/>
    <w:rsid w:val="00323700"/>
    <w:rsid w:val="003315E6"/>
    <w:rsid w:val="00333E19"/>
    <w:rsid w:val="00335972"/>
    <w:rsid w:val="00340121"/>
    <w:rsid w:val="00352F3E"/>
    <w:rsid w:val="003642DB"/>
    <w:rsid w:val="00366D82"/>
    <w:rsid w:val="003676D8"/>
    <w:rsid w:val="0037378C"/>
    <w:rsid w:val="0037528B"/>
    <w:rsid w:val="00376731"/>
    <w:rsid w:val="00381BD4"/>
    <w:rsid w:val="00384513"/>
    <w:rsid w:val="00397EA4"/>
    <w:rsid w:val="003A6678"/>
    <w:rsid w:val="003A6E8D"/>
    <w:rsid w:val="003A7208"/>
    <w:rsid w:val="003B2065"/>
    <w:rsid w:val="003B3DBC"/>
    <w:rsid w:val="003B50D5"/>
    <w:rsid w:val="003C5CA3"/>
    <w:rsid w:val="003C7043"/>
    <w:rsid w:val="003D0CFC"/>
    <w:rsid w:val="003D3361"/>
    <w:rsid w:val="003D4504"/>
    <w:rsid w:val="003D6864"/>
    <w:rsid w:val="003E5D8D"/>
    <w:rsid w:val="003F00EF"/>
    <w:rsid w:val="003F092A"/>
    <w:rsid w:val="00403D1C"/>
    <w:rsid w:val="00406CFD"/>
    <w:rsid w:val="0042502E"/>
    <w:rsid w:val="004354CE"/>
    <w:rsid w:val="0044341C"/>
    <w:rsid w:val="004456CF"/>
    <w:rsid w:val="004500AC"/>
    <w:rsid w:val="00453087"/>
    <w:rsid w:val="00454A2B"/>
    <w:rsid w:val="004649A8"/>
    <w:rsid w:val="00472BB5"/>
    <w:rsid w:val="00472F97"/>
    <w:rsid w:val="0047597B"/>
    <w:rsid w:val="00476614"/>
    <w:rsid w:val="00480A3E"/>
    <w:rsid w:val="0048201E"/>
    <w:rsid w:val="0048285D"/>
    <w:rsid w:val="00486C5D"/>
    <w:rsid w:val="00494A53"/>
    <w:rsid w:val="004A025C"/>
    <w:rsid w:val="004A5D93"/>
    <w:rsid w:val="004B602B"/>
    <w:rsid w:val="004B6AB1"/>
    <w:rsid w:val="004C201A"/>
    <w:rsid w:val="004D1F7F"/>
    <w:rsid w:val="004E2EEC"/>
    <w:rsid w:val="004E38AD"/>
    <w:rsid w:val="004E5842"/>
    <w:rsid w:val="004E63FA"/>
    <w:rsid w:val="00501FAF"/>
    <w:rsid w:val="005028FD"/>
    <w:rsid w:val="0051276D"/>
    <w:rsid w:val="00512F10"/>
    <w:rsid w:val="00521F96"/>
    <w:rsid w:val="005317AB"/>
    <w:rsid w:val="005326E2"/>
    <w:rsid w:val="00534CD7"/>
    <w:rsid w:val="00540569"/>
    <w:rsid w:val="005426F0"/>
    <w:rsid w:val="00543D7C"/>
    <w:rsid w:val="0055143E"/>
    <w:rsid w:val="0055296C"/>
    <w:rsid w:val="00554509"/>
    <w:rsid w:val="00556583"/>
    <w:rsid w:val="0055785C"/>
    <w:rsid w:val="00560484"/>
    <w:rsid w:val="00563760"/>
    <w:rsid w:val="00563969"/>
    <w:rsid w:val="00564F72"/>
    <w:rsid w:val="005666C3"/>
    <w:rsid w:val="00577C4F"/>
    <w:rsid w:val="00580895"/>
    <w:rsid w:val="0058172B"/>
    <w:rsid w:val="00581AFF"/>
    <w:rsid w:val="00584A54"/>
    <w:rsid w:val="00584CB1"/>
    <w:rsid w:val="005851A3"/>
    <w:rsid w:val="00586BDF"/>
    <w:rsid w:val="00592469"/>
    <w:rsid w:val="00595A89"/>
    <w:rsid w:val="005A2E02"/>
    <w:rsid w:val="005A2E60"/>
    <w:rsid w:val="005A2EAC"/>
    <w:rsid w:val="005C02ED"/>
    <w:rsid w:val="005C1BCF"/>
    <w:rsid w:val="005D45E6"/>
    <w:rsid w:val="005D6A1C"/>
    <w:rsid w:val="005E0F56"/>
    <w:rsid w:val="005E108F"/>
    <w:rsid w:val="005E2B6B"/>
    <w:rsid w:val="005E69BE"/>
    <w:rsid w:val="005F2A31"/>
    <w:rsid w:val="005F6445"/>
    <w:rsid w:val="006075DC"/>
    <w:rsid w:val="0061046D"/>
    <w:rsid w:val="00610F2A"/>
    <w:rsid w:val="00615CD9"/>
    <w:rsid w:val="00615FB3"/>
    <w:rsid w:val="006166A8"/>
    <w:rsid w:val="006176FB"/>
    <w:rsid w:val="00622D90"/>
    <w:rsid w:val="00623D4C"/>
    <w:rsid w:val="0062767F"/>
    <w:rsid w:val="00632270"/>
    <w:rsid w:val="00640F5C"/>
    <w:rsid w:val="00641C4C"/>
    <w:rsid w:val="00646203"/>
    <w:rsid w:val="00646898"/>
    <w:rsid w:val="00646B37"/>
    <w:rsid w:val="0065387B"/>
    <w:rsid w:val="006564C6"/>
    <w:rsid w:val="00657A34"/>
    <w:rsid w:val="00661EB0"/>
    <w:rsid w:val="00662AE2"/>
    <w:rsid w:val="00665707"/>
    <w:rsid w:val="00667EE5"/>
    <w:rsid w:val="00670BBC"/>
    <w:rsid w:val="006714D6"/>
    <w:rsid w:val="00673F12"/>
    <w:rsid w:val="00673F61"/>
    <w:rsid w:val="0068277F"/>
    <w:rsid w:val="00686EC2"/>
    <w:rsid w:val="00687D42"/>
    <w:rsid w:val="00691111"/>
    <w:rsid w:val="006976B0"/>
    <w:rsid w:val="006B0543"/>
    <w:rsid w:val="006B08ED"/>
    <w:rsid w:val="006B22F0"/>
    <w:rsid w:val="006D6EC5"/>
    <w:rsid w:val="006E0EA2"/>
    <w:rsid w:val="006F1C55"/>
    <w:rsid w:val="006F5442"/>
    <w:rsid w:val="006F547A"/>
    <w:rsid w:val="006F7955"/>
    <w:rsid w:val="0070148D"/>
    <w:rsid w:val="00706951"/>
    <w:rsid w:val="00707DDA"/>
    <w:rsid w:val="0071371F"/>
    <w:rsid w:val="00727CC8"/>
    <w:rsid w:val="00730469"/>
    <w:rsid w:val="0073437D"/>
    <w:rsid w:val="00735552"/>
    <w:rsid w:val="007439D6"/>
    <w:rsid w:val="00763B27"/>
    <w:rsid w:val="0077394D"/>
    <w:rsid w:val="007763FC"/>
    <w:rsid w:val="0078092E"/>
    <w:rsid w:val="0078115A"/>
    <w:rsid w:val="007827A5"/>
    <w:rsid w:val="00785309"/>
    <w:rsid w:val="0079134B"/>
    <w:rsid w:val="007A168F"/>
    <w:rsid w:val="007A3A58"/>
    <w:rsid w:val="007B4565"/>
    <w:rsid w:val="007B7F09"/>
    <w:rsid w:val="007C0DD5"/>
    <w:rsid w:val="007C47BF"/>
    <w:rsid w:val="007D2162"/>
    <w:rsid w:val="007D42B9"/>
    <w:rsid w:val="007D5315"/>
    <w:rsid w:val="007E10D7"/>
    <w:rsid w:val="007E5663"/>
    <w:rsid w:val="0080431D"/>
    <w:rsid w:val="0080699E"/>
    <w:rsid w:val="00817FBE"/>
    <w:rsid w:val="00821DE1"/>
    <w:rsid w:val="00823451"/>
    <w:rsid w:val="00836E9F"/>
    <w:rsid w:val="00844115"/>
    <w:rsid w:val="00844D51"/>
    <w:rsid w:val="00862E1A"/>
    <w:rsid w:val="00863083"/>
    <w:rsid w:val="0086382B"/>
    <w:rsid w:val="00865118"/>
    <w:rsid w:val="00870AF4"/>
    <w:rsid w:val="00876C85"/>
    <w:rsid w:val="00877505"/>
    <w:rsid w:val="008825CB"/>
    <w:rsid w:val="008829FC"/>
    <w:rsid w:val="00883D7A"/>
    <w:rsid w:val="00890436"/>
    <w:rsid w:val="00895EB1"/>
    <w:rsid w:val="00896BCC"/>
    <w:rsid w:val="008A3532"/>
    <w:rsid w:val="008A65E3"/>
    <w:rsid w:val="008C239F"/>
    <w:rsid w:val="008C3451"/>
    <w:rsid w:val="008D0865"/>
    <w:rsid w:val="008E0B2E"/>
    <w:rsid w:val="008E2ABF"/>
    <w:rsid w:val="008E6122"/>
    <w:rsid w:val="008F4444"/>
    <w:rsid w:val="008F49CD"/>
    <w:rsid w:val="00901F85"/>
    <w:rsid w:val="00911433"/>
    <w:rsid w:val="00914398"/>
    <w:rsid w:val="0092036B"/>
    <w:rsid w:val="00924382"/>
    <w:rsid w:val="00932645"/>
    <w:rsid w:val="00935582"/>
    <w:rsid w:val="009452BA"/>
    <w:rsid w:val="00945737"/>
    <w:rsid w:val="009508DB"/>
    <w:rsid w:val="009665AD"/>
    <w:rsid w:val="00966FD8"/>
    <w:rsid w:val="00967A4A"/>
    <w:rsid w:val="00971B8F"/>
    <w:rsid w:val="00971EFC"/>
    <w:rsid w:val="009738E0"/>
    <w:rsid w:val="00974974"/>
    <w:rsid w:val="00974D7E"/>
    <w:rsid w:val="00985BC7"/>
    <w:rsid w:val="00987ACC"/>
    <w:rsid w:val="0099599E"/>
    <w:rsid w:val="00997BEC"/>
    <w:rsid w:val="009A0639"/>
    <w:rsid w:val="009A5269"/>
    <w:rsid w:val="009B22FA"/>
    <w:rsid w:val="009B3ABF"/>
    <w:rsid w:val="009B66E9"/>
    <w:rsid w:val="009D6615"/>
    <w:rsid w:val="009D7975"/>
    <w:rsid w:val="009D79FE"/>
    <w:rsid w:val="009D7BD2"/>
    <w:rsid w:val="009E0861"/>
    <w:rsid w:val="009E2C41"/>
    <w:rsid w:val="009E337E"/>
    <w:rsid w:val="009F16E3"/>
    <w:rsid w:val="009F6EE2"/>
    <w:rsid w:val="00A00709"/>
    <w:rsid w:val="00A07DF6"/>
    <w:rsid w:val="00A12BB3"/>
    <w:rsid w:val="00A20BA6"/>
    <w:rsid w:val="00A23506"/>
    <w:rsid w:val="00A2367F"/>
    <w:rsid w:val="00A36CD6"/>
    <w:rsid w:val="00A444B9"/>
    <w:rsid w:val="00A45D3A"/>
    <w:rsid w:val="00A620CA"/>
    <w:rsid w:val="00A63241"/>
    <w:rsid w:val="00A64334"/>
    <w:rsid w:val="00A66334"/>
    <w:rsid w:val="00A6791F"/>
    <w:rsid w:val="00A72B6E"/>
    <w:rsid w:val="00A72CD5"/>
    <w:rsid w:val="00A74B84"/>
    <w:rsid w:val="00A76B8A"/>
    <w:rsid w:val="00A825CD"/>
    <w:rsid w:val="00A85F27"/>
    <w:rsid w:val="00AA3100"/>
    <w:rsid w:val="00AA4910"/>
    <w:rsid w:val="00AB1752"/>
    <w:rsid w:val="00AB4A03"/>
    <w:rsid w:val="00AC4F16"/>
    <w:rsid w:val="00AC571E"/>
    <w:rsid w:val="00AD03E5"/>
    <w:rsid w:val="00AD162F"/>
    <w:rsid w:val="00AD1961"/>
    <w:rsid w:val="00AE120D"/>
    <w:rsid w:val="00AE2682"/>
    <w:rsid w:val="00AE50EA"/>
    <w:rsid w:val="00AE5323"/>
    <w:rsid w:val="00AE5AE8"/>
    <w:rsid w:val="00AF6F82"/>
    <w:rsid w:val="00AF7387"/>
    <w:rsid w:val="00B00BED"/>
    <w:rsid w:val="00B037BE"/>
    <w:rsid w:val="00B04FFA"/>
    <w:rsid w:val="00B063DD"/>
    <w:rsid w:val="00B21FE1"/>
    <w:rsid w:val="00B2246A"/>
    <w:rsid w:val="00B25AC6"/>
    <w:rsid w:val="00B35F3F"/>
    <w:rsid w:val="00B421B8"/>
    <w:rsid w:val="00B431BF"/>
    <w:rsid w:val="00B5458A"/>
    <w:rsid w:val="00B75F88"/>
    <w:rsid w:val="00B80DA2"/>
    <w:rsid w:val="00B94F83"/>
    <w:rsid w:val="00BA12AA"/>
    <w:rsid w:val="00BA260C"/>
    <w:rsid w:val="00BA38F7"/>
    <w:rsid w:val="00BB7889"/>
    <w:rsid w:val="00BB7A07"/>
    <w:rsid w:val="00BC036E"/>
    <w:rsid w:val="00BC4FF4"/>
    <w:rsid w:val="00BC6523"/>
    <w:rsid w:val="00BC66FA"/>
    <w:rsid w:val="00BC7B01"/>
    <w:rsid w:val="00BD4306"/>
    <w:rsid w:val="00BD4DC3"/>
    <w:rsid w:val="00BD5165"/>
    <w:rsid w:val="00BE1E83"/>
    <w:rsid w:val="00BE5BBB"/>
    <w:rsid w:val="00BF51D2"/>
    <w:rsid w:val="00C04029"/>
    <w:rsid w:val="00C114E9"/>
    <w:rsid w:val="00C2483C"/>
    <w:rsid w:val="00C2676B"/>
    <w:rsid w:val="00C27D3E"/>
    <w:rsid w:val="00C30F1C"/>
    <w:rsid w:val="00C33A41"/>
    <w:rsid w:val="00C42659"/>
    <w:rsid w:val="00C429F9"/>
    <w:rsid w:val="00C42C7E"/>
    <w:rsid w:val="00C43721"/>
    <w:rsid w:val="00C462D9"/>
    <w:rsid w:val="00C4690F"/>
    <w:rsid w:val="00C52093"/>
    <w:rsid w:val="00C52A49"/>
    <w:rsid w:val="00C600A6"/>
    <w:rsid w:val="00C607DB"/>
    <w:rsid w:val="00C61BB3"/>
    <w:rsid w:val="00C62CE4"/>
    <w:rsid w:val="00C7212F"/>
    <w:rsid w:val="00C74514"/>
    <w:rsid w:val="00C7784D"/>
    <w:rsid w:val="00C85B93"/>
    <w:rsid w:val="00C911C1"/>
    <w:rsid w:val="00CA0196"/>
    <w:rsid w:val="00CA04D5"/>
    <w:rsid w:val="00CA68FE"/>
    <w:rsid w:val="00CB39D8"/>
    <w:rsid w:val="00CB6C42"/>
    <w:rsid w:val="00CC1087"/>
    <w:rsid w:val="00CC1FDF"/>
    <w:rsid w:val="00CD149F"/>
    <w:rsid w:val="00CD375E"/>
    <w:rsid w:val="00CE50B6"/>
    <w:rsid w:val="00CE5B3B"/>
    <w:rsid w:val="00CF43AA"/>
    <w:rsid w:val="00CF475A"/>
    <w:rsid w:val="00CF7C5E"/>
    <w:rsid w:val="00D00F18"/>
    <w:rsid w:val="00D01A60"/>
    <w:rsid w:val="00D05DE1"/>
    <w:rsid w:val="00D10236"/>
    <w:rsid w:val="00D123A7"/>
    <w:rsid w:val="00D159EE"/>
    <w:rsid w:val="00D16539"/>
    <w:rsid w:val="00D1706C"/>
    <w:rsid w:val="00D26658"/>
    <w:rsid w:val="00D36B9C"/>
    <w:rsid w:val="00D43C7D"/>
    <w:rsid w:val="00D43CE8"/>
    <w:rsid w:val="00D475ED"/>
    <w:rsid w:val="00D47EBC"/>
    <w:rsid w:val="00D57F02"/>
    <w:rsid w:val="00D63B2A"/>
    <w:rsid w:val="00D665B9"/>
    <w:rsid w:val="00D81F44"/>
    <w:rsid w:val="00D84B78"/>
    <w:rsid w:val="00D87995"/>
    <w:rsid w:val="00D94210"/>
    <w:rsid w:val="00DA04B3"/>
    <w:rsid w:val="00DA5D84"/>
    <w:rsid w:val="00DA742B"/>
    <w:rsid w:val="00DB3F36"/>
    <w:rsid w:val="00DB6325"/>
    <w:rsid w:val="00DB6AC8"/>
    <w:rsid w:val="00DD244B"/>
    <w:rsid w:val="00DD27C8"/>
    <w:rsid w:val="00DD27CE"/>
    <w:rsid w:val="00DE1593"/>
    <w:rsid w:val="00DE2536"/>
    <w:rsid w:val="00DE47A3"/>
    <w:rsid w:val="00DE53FA"/>
    <w:rsid w:val="00DE75D0"/>
    <w:rsid w:val="00E0582C"/>
    <w:rsid w:val="00E060E6"/>
    <w:rsid w:val="00E12C76"/>
    <w:rsid w:val="00E140BA"/>
    <w:rsid w:val="00E24595"/>
    <w:rsid w:val="00E267C6"/>
    <w:rsid w:val="00E30557"/>
    <w:rsid w:val="00E54129"/>
    <w:rsid w:val="00E55677"/>
    <w:rsid w:val="00E6213C"/>
    <w:rsid w:val="00E64602"/>
    <w:rsid w:val="00E85BBF"/>
    <w:rsid w:val="00E876C9"/>
    <w:rsid w:val="00EA0801"/>
    <w:rsid w:val="00EA3FFC"/>
    <w:rsid w:val="00EA5FED"/>
    <w:rsid w:val="00EA7D0D"/>
    <w:rsid w:val="00EB4773"/>
    <w:rsid w:val="00EC173C"/>
    <w:rsid w:val="00EC29AA"/>
    <w:rsid w:val="00EC5857"/>
    <w:rsid w:val="00EC7498"/>
    <w:rsid w:val="00EE0982"/>
    <w:rsid w:val="00EF1E6E"/>
    <w:rsid w:val="00EF2B5C"/>
    <w:rsid w:val="00EF3907"/>
    <w:rsid w:val="00EF439E"/>
    <w:rsid w:val="00EF7D13"/>
    <w:rsid w:val="00F05BD1"/>
    <w:rsid w:val="00F0650C"/>
    <w:rsid w:val="00F10FA8"/>
    <w:rsid w:val="00F1232F"/>
    <w:rsid w:val="00F30238"/>
    <w:rsid w:val="00F341D2"/>
    <w:rsid w:val="00F341E9"/>
    <w:rsid w:val="00F36F3C"/>
    <w:rsid w:val="00F37CA4"/>
    <w:rsid w:val="00F40DDD"/>
    <w:rsid w:val="00F416B3"/>
    <w:rsid w:val="00F5101B"/>
    <w:rsid w:val="00F55013"/>
    <w:rsid w:val="00F6009F"/>
    <w:rsid w:val="00F6515F"/>
    <w:rsid w:val="00F66D15"/>
    <w:rsid w:val="00F67269"/>
    <w:rsid w:val="00F74A4D"/>
    <w:rsid w:val="00F7548A"/>
    <w:rsid w:val="00F755DA"/>
    <w:rsid w:val="00F75B96"/>
    <w:rsid w:val="00F773DE"/>
    <w:rsid w:val="00F818B3"/>
    <w:rsid w:val="00F82144"/>
    <w:rsid w:val="00F83A6D"/>
    <w:rsid w:val="00F94AF7"/>
    <w:rsid w:val="00F9758D"/>
    <w:rsid w:val="00FA18A5"/>
    <w:rsid w:val="00FA7F69"/>
    <w:rsid w:val="00FB1628"/>
    <w:rsid w:val="00FC0035"/>
    <w:rsid w:val="00FC05EF"/>
    <w:rsid w:val="00FC34CC"/>
    <w:rsid w:val="00FC6695"/>
    <w:rsid w:val="00FD5810"/>
    <w:rsid w:val="00FE24D7"/>
    <w:rsid w:val="00FF6D11"/>
    <w:rsid w:val="0894A4C4"/>
    <w:rsid w:val="0A4D5E46"/>
    <w:rsid w:val="0D378351"/>
    <w:rsid w:val="1C224F3D"/>
    <w:rsid w:val="439E850D"/>
    <w:rsid w:val="5918593B"/>
    <w:rsid w:val="7DF8B64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16DD4E"/>
  <w15:chartTrackingRefBased/>
  <w15:docId w15:val="{D8422409-1B48-44F0-997A-6B2AFB99E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7"/>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F16E3"/>
    <w:pPr>
      <w:spacing w:line="320" w:lineRule="exact"/>
      <w:jc w:val="both"/>
    </w:pPr>
    <w:rPr>
      <w:rFonts w:ascii="Poppins" w:hAnsi="Poppins"/>
      <w:color w:val="3F3F3F"/>
      <w:kern w:val="0"/>
      <w:sz w:val="18"/>
    </w:rPr>
  </w:style>
  <w:style w:type="paragraph" w:styleId="Nadpis1">
    <w:name w:val="heading 1"/>
    <w:link w:val="Nadpis1Char"/>
    <w:uiPriority w:val="9"/>
    <w:qFormat/>
    <w:rsid w:val="009F16E3"/>
    <w:pPr>
      <w:keepNext/>
      <w:keepLines/>
      <w:spacing w:before="200" w:after="100"/>
      <w:contextualSpacing/>
      <w:outlineLvl w:val="0"/>
    </w:pPr>
    <w:rPr>
      <w:rFonts w:ascii="Poppins Bold" w:eastAsiaTheme="majorEastAsia" w:hAnsi="Poppins Bold" w:cstheme="majorBidi"/>
      <w:color w:val="000000" w:themeColor="text1"/>
      <w:sz w:val="32"/>
      <w:szCs w:val="40"/>
    </w:rPr>
  </w:style>
  <w:style w:type="paragraph" w:styleId="Nadpis2">
    <w:name w:val="heading 2"/>
    <w:basedOn w:val="Nadpis1"/>
    <w:next w:val="Normln"/>
    <w:link w:val="Nadpis2Char"/>
    <w:uiPriority w:val="9"/>
    <w:unhideWhenUsed/>
    <w:qFormat/>
    <w:rsid w:val="002C02E4"/>
    <w:pPr>
      <w:spacing w:after="0"/>
      <w:outlineLvl w:val="1"/>
    </w:pPr>
    <w:rPr>
      <w:sz w:val="24"/>
      <w:szCs w:val="32"/>
    </w:rPr>
  </w:style>
  <w:style w:type="paragraph" w:styleId="Nadpis3">
    <w:name w:val="heading 3"/>
    <w:basedOn w:val="Normln"/>
    <w:next w:val="Normln"/>
    <w:link w:val="Nadpis3Char"/>
    <w:uiPriority w:val="9"/>
    <w:semiHidden/>
    <w:unhideWhenUsed/>
    <w:rsid w:val="005E69BE"/>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5E69BE"/>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5E69BE"/>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5E69BE"/>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5E69BE"/>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5E69BE"/>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5E69BE"/>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ulka">
    <w:name w:val="Tabulka"/>
    <w:basedOn w:val="Normlntabulka"/>
    <w:uiPriority w:val="99"/>
    <w:rsid w:val="00BC66FA"/>
    <w:rPr>
      <w:rFonts w:ascii="Calibri Light" w:hAnsi="Calibri Light"/>
      <w:kern w:val="0"/>
      <w:sz w:val="16"/>
      <w:lang w:val="en-US"/>
      <w14:ligatures w14:val="none"/>
    </w:rPr>
    <w:tblPr>
      <w:tblStyleRowBandSize w:val="1"/>
      <w:tblStyleColBandSize w:val="1"/>
      <w:jc w:val="center"/>
      <w:tblBorders>
        <w:bottom w:val="single" w:sz="8" w:space="0" w:color="B8A875"/>
      </w:tblBorders>
    </w:tblPr>
    <w:trPr>
      <w:jc w:val="center"/>
    </w:trPr>
    <w:tcPr>
      <w:shd w:val="clear" w:color="auto" w:fill="auto"/>
      <w:vAlign w:val="center"/>
    </w:tcPr>
    <w:tblStylePr w:type="firstRow">
      <w:rPr>
        <w:rFonts w:ascii="Calibri Light" w:hAnsi="Calibri Light"/>
        <w:b/>
        <w:color w:val="FFFFFF" w:themeColor="background1"/>
        <w:sz w:val="16"/>
      </w:rPr>
      <w:tblPr/>
      <w:tcPr>
        <w:shd w:val="clear" w:color="auto" w:fill="B8A875"/>
      </w:tcPr>
    </w:tblStylePr>
    <w:tblStylePr w:type="lastRow">
      <w:tblPr/>
      <w:tcPr>
        <w:shd w:val="clear" w:color="auto" w:fill="auto"/>
      </w:tcPr>
    </w:tblStylePr>
    <w:tblStylePr w:type="firstCol">
      <w:tblPr/>
      <w:tcPr>
        <w:shd w:val="clear" w:color="auto" w:fill="auto"/>
      </w:tcPr>
    </w:tblStylePr>
    <w:tblStylePr w:type="lastCol">
      <w:tblPr/>
      <w:tcPr>
        <w:shd w:val="clear" w:color="auto" w:fill="auto"/>
      </w:tcPr>
    </w:tblStylePr>
  </w:style>
  <w:style w:type="table" w:customStyle="1" w:styleId="TabulkaJTBanka">
    <w:name w:val="Tabulka J&amp;T Banka"/>
    <w:basedOn w:val="Normlntabulka"/>
    <w:uiPriority w:val="99"/>
    <w:rsid w:val="004B6AB1"/>
    <w:rPr>
      <w:rFonts w:ascii="Calibri Light" w:hAnsi="Calibri Light"/>
      <w:kern w:val="0"/>
      <w:sz w:val="16"/>
      <w:lang w:val="en-US"/>
      <w14:ligatures w14:val="none"/>
    </w:rPr>
    <w:tblPr>
      <w:tblStyleRowBandSize w:val="1"/>
      <w:tblStyleColBandSize w:val="1"/>
      <w:jc w:val="center"/>
    </w:tblPr>
    <w:trPr>
      <w:jc w:val="center"/>
    </w:trPr>
    <w:tcPr>
      <w:shd w:val="clear" w:color="auto" w:fill="auto"/>
      <w:vAlign w:val="center"/>
    </w:tcPr>
    <w:tblStylePr w:type="firstRow">
      <w:rPr>
        <w:rFonts w:ascii="Calibri Light" w:hAnsi="Calibri Light"/>
        <w:b/>
        <w:color w:val="FFFFFF" w:themeColor="background1"/>
        <w:sz w:val="18"/>
      </w:rPr>
      <w:tblPr/>
      <w:tcPr>
        <w:tcBorders>
          <w:top w:val="nil"/>
          <w:left w:val="nil"/>
          <w:bottom w:val="nil"/>
          <w:right w:val="nil"/>
          <w:insideH w:val="nil"/>
          <w:insideV w:val="nil"/>
          <w:tl2br w:val="nil"/>
          <w:tr2bl w:val="nil"/>
        </w:tcBorders>
        <w:shd w:val="clear" w:color="auto" w:fill="B8A875"/>
      </w:tcPr>
    </w:tblStylePr>
    <w:tblStylePr w:type="lastRow">
      <w:pPr>
        <w:jc w:val="left"/>
      </w:pPr>
      <w:rPr>
        <w:rFonts w:ascii="Calibri Light" w:hAnsi="Calibri Light"/>
        <w:sz w:val="16"/>
      </w:rPr>
      <w:tblPr/>
      <w:tcPr>
        <w:tcBorders>
          <w:top w:val="nil"/>
          <w:left w:val="nil"/>
          <w:bottom w:val="single" w:sz="8" w:space="0" w:color="156082" w:themeColor="accent1"/>
          <w:right w:val="nil"/>
          <w:insideH w:val="nil"/>
          <w:insideV w:val="nil"/>
          <w:tl2br w:val="nil"/>
          <w:tr2bl w:val="nil"/>
        </w:tcBorders>
        <w:shd w:val="clear" w:color="auto" w:fill="auto"/>
      </w:tcPr>
    </w:tblStylePr>
    <w:tblStylePr w:type="firstCol">
      <w:tblPr/>
      <w:tcPr>
        <w:shd w:val="clear" w:color="auto" w:fill="FFFFFF" w:themeFill="background1"/>
      </w:tcPr>
    </w:tblStylePr>
    <w:tblStylePr w:type="lastCol">
      <w:tblPr/>
      <w:tcPr>
        <w:shd w:val="clear" w:color="auto" w:fill="C1E4F5" w:themeFill="accent1" w:themeFillTint="33"/>
      </w:tcPr>
    </w:tblStylePr>
    <w:tblStylePr w:type="band1Horz">
      <w:pPr>
        <w:jc w:val="left"/>
      </w:pPr>
      <w:tblPr/>
      <w:tcPr>
        <w:shd w:val="clear" w:color="auto" w:fill="FFFFFF" w:themeFill="background1"/>
      </w:tcPr>
    </w:tblStylePr>
    <w:tblStylePr w:type="band2Horz">
      <w:tblPr/>
      <w:tcPr>
        <w:shd w:val="clear" w:color="auto" w:fill="C1E4F5" w:themeFill="accent1" w:themeFillTint="33"/>
      </w:tcPr>
    </w:tblStylePr>
  </w:style>
  <w:style w:type="table" w:styleId="Tabulkasmkou4zvraznn1">
    <w:name w:val="Grid Table 4 Accent 1"/>
    <w:aliases w:val="J&amp;T Banka"/>
    <w:basedOn w:val="Normlntabulka"/>
    <w:uiPriority w:val="99"/>
    <w:rsid w:val="00C27D3E"/>
    <w:rPr>
      <w:rFonts w:ascii="Calibri Light" w:hAnsi="Calibri Light"/>
      <w:kern w:val="0"/>
      <w:sz w:val="18"/>
      <w:lang w:val="en-US"/>
      <w14:ligatures w14:val="none"/>
    </w:rPr>
    <w:tblPr>
      <w:tblStyleRowBandSize w:val="1"/>
      <w:tblStyleColBandSize w:val="1"/>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jc w:val="center"/>
    </w:trPr>
    <w:tcPr>
      <w:shd w:val="clear" w:color="auto" w:fill="DFDBCD"/>
      <w:vAlign w:val="center"/>
    </w:tcPr>
    <w:tblStylePr w:type="firstRow">
      <w:pPr>
        <w:jc w:val="left"/>
      </w:pPr>
      <w:rPr>
        <w:rFonts w:ascii="Calibri Light" w:hAnsi="Calibri Light"/>
        <w:b/>
        <w:color w:val="FFFFFF" w:themeColor="background1"/>
        <w:sz w:val="18"/>
      </w:rPr>
      <w:tblPr/>
      <w:tcPr>
        <w:shd w:val="clear" w:color="auto" w:fill="005F55"/>
      </w:tcPr>
    </w:tblStylePr>
    <w:tblStylePr w:type="lastRow">
      <w:pPr>
        <w:jc w:val="left"/>
      </w:pPr>
      <w:rPr>
        <w:rFonts w:ascii="Calibri Light" w:hAnsi="Calibri Light"/>
        <w:sz w:val="16"/>
      </w:rPr>
    </w:tblStylePr>
    <w:tblStylePr w:type="band1Horz">
      <w:pPr>
        <w:jc w:val="left"/>
      </w:pPr>
      <w:tblPr/>
      <w:tcPr>
        <w:shd w:val="clear" w:color="auto" w:fill="FFFFFF" w:themeFill="background1"/>
      </w:tcPr>
    </w:tblStylePr>
    <w:tblStylePr w:type="band2Horz">
      <w:pPr>
        <w:jc w:val="left"/>
      </w:pPr>
      <w:tblPr/>
      <w:tcPr>
        <w:shd w:val="clear" w:color="auto" w:fill="DFDBCD"/>
      </w:tcPr>
    </w:tblStylePr>
  </w:style>
  <w:style w:type="table" w:customStyle="1" w:styleId="JTBANKA">
    <w:name w:val="J&amp;T BANKA"/>
    <w:basedOn w:val="Normlntabulka"/>
    <w:uiPriority w:val="99"/>
    <w:rsid w:val="00577C4F"/>
    <w:rPr>
      <w:rFonts w:ascii="Calibri Light" w:hAnsi="Calibri Light"/>
      <w:kern w:val="0"/>
      <w:sz w:val="16"/>
      <w:lang w:val="en-US"/>
      <w14:ligatures w14:val="none"/>
    </w:rPr>
    <w:tblPr/>
    <w:tblStylePr w:type="firstRow">
      <w:rPr>
        <w:rFonts w:ascii="Calibri Light" w:hAnsi="Calibri Light"/>
        <w:b/>
        <w:color w:val="FFFFFF" w:themeColor="background1"/>
        <w:sz w:val="16"/>
      </w:rPr>
      <w:tblPr/>
      <w:trPr>
        <w:cantSplit/>
      </w:trPr>
      <w:tcPr>
        <w:shd w:val="clear" w:color="auto" w:fill="156082" w:themeFill="accent1"/>
        <w:vAlign w:val="center"/>
      </w:tcPr>
    </w:tblStylePr>
  </w:style>
  <w:style w:type="paragraph" w:customStyle="1" w:styleId="Odrka1">
    <w:name w:val="Odrážka 1"/>
    <w:link w:val="Odrka1Char"/>
    <w:autoRedefine/>
    <w:qFormat/>
    <w:rsid w:val="004354CE"/>
    <w:pPr>
      <w:widowControl w:val="0"/>
      <w:numPr>
        <w:numId w:val="2"/>
      </w:numPr>
      <w:tabs>
        <w:tab w:val="left" w:pos="284"/>
      </w:tabs>
      <w:autoSpaceDE w:val="0"/>
      <w:autoSpaceDN w:val="0"/>
      <w:spacing w:line="300" w:lineRule="exact"/>
    </w:pPr>
    <w:rPr>
      <w:rFonts w:ascii="Poppins" w:hAnsi="Poppins" w:cs="Calibri Light"/>
      <w:b/>
      <w:bCs/>
      <w:kern w:val="0"/>
      <w:sz w:val="18"/>
    </w:rPr>
  </w:style>
  <w:style w:type="character" w:customStyle="1" w:styleId="Odrka1Char">
    <w:name w:val="Odrážka 1 Char"/>
    <w:basedOn w:val="Standardnpsmoodstavce"/>
    <w:link w:val="Odrka1"/>
    <w:rsid w:val="004354CE"/>
    <w:rPr>
      <w:rFonts w:ascii="Poppins" w:hAnsi="Poppins" w:cs="Calibri Light"/>
      <w:b/>
      <w:bCs/>
      <w:kern w:val="0"/>
      <w:sz w:val="18"/>
    </w:rPr>
  </w:style>
  <w:style w:type="paragraph" w:customStyle="1" w:styleId="Odrka3">
    <w:name w:val="Odrážka 3"/>
    <w:basedOn w:val="Zkladntext"/>
    <w:link w:val="Odrka3Char"/>
    <w:rsid w:val="00CD375E"/>
    <w:pPr>
      <w:widowControl w:val="0"/>
      <w:numPr>
        <w:ilvl w:val="1"/>
        <w:numId w:val="4"/>
      </w:numPr>
      <w:autoSpaceDE w:val="0"/>
      <w:autoSpaceDN w:val="0"/>
      <w:spacing w:before="60" w:after="60"/>
      <w:ind w:left="454" w:hanging="454"/>
    </w:pPr>
    <w:rPr>
      <w:rFonts w:ascii="Calibri Light" w:eastAsia="Fedra Sans Alt Std Light" w:hAnsi="Calibri Light" w:cs="Fedra Sans Alt Std Light"/>
      <w:szCs w:val="18"/>
      <w:u w:color="000000"/>
    </w:rPr>
  </w:style>
  <w:style w:type="character" w:customStyle="1" w:styleId="Odrka3Char">
    <w:name w:val="Odrážka 3 Char"/>
    <w:basedOn w:val="ZkladntextChar"/>
    <w:link w:val="Odrka3"/>
    <w:rsid w:val="00CD375E"/>
    <w:rPr>
      <w:rFonts w:ascii="Calibri Light" w:eastAsia="Fedra Sans Alt Std Light" w:hAnsi="Calibri Light" w:cs="Fedra Sans Alt Std Light"/>
      <w:sz w:val="18"/>
      <w:szCs w:val="18"/>
      <w:u w:color="000000"/>
    </w:rPr>
  </w:style>
  <w:style w:type="paragraph" w:styleId="Zkladntext">
    <w:name w:val="Body Text"/>
    <w:basedOn w:val="Normln"/>
    <w:link w:val="ZkladntextChar"/>
    <w:uiPriority w:val="99"/>
    <w:unhideWhenUsed/>
    <w:rsid w:val="00CD375E"/>
    <w:pPr>
      <w:spacing w:after="120"/>
    </w:pPr>
  </w:style>
  <w:style w:type="character" w:customStyle="1" w:styleId="ZkladntextChar">
    <w:name w:val="Základní text Char"/>
    <w:basedOn w:val="Standardnpsmoodstavce"/>
    <w:link w:val="Zkladntext"/>
    <w:uiPriority w:val="99"/>
    <w:rsid w:val="00CD375E"/>
  </w:style>
  <w:style w:type="paragraph" w:styleId="Nzev">
    <w:name w:val="Title"/>
    <w:basedOn w:val="Normln"/>
    <w:link w:val="NzevChar"/>
    <w:autoRedefine/>
    <w:uiPriority w:val="27"/>
    <w:rsid w:val="00CB39D8"/>
    <w:pPr>
      <w:widowControl w:val="0"/>
      <w:autoSpaceDE w:val="0"/>
      <w:autoSpaceDN w:val="0"/>
      <w:spacing w:after="200"/>
      <w:contextualSpacing/>
    </w:pPr>
    <w:rPr>
      <w:rFonts w:ascii="Calibri" w:eastAsia="Fedra Sans Alt Std Medium" w:hAnsi="Calibri" w:cs="Fedra Sans Alt Std Medium"/>
      <w:b/>
      <w:sz w:val="30"/>
      <w:szCs w:val="30"/>
      <w:lang w:val="en-GB"/>
    </w:rPr>
  </w:style>
  <w:style w:type="character" w:customStyle="1" w:styleId="NzevChar">
    <w:name w:val="Název Char"/>
    <w:basedOn w:val="Standardnpsmoodstavce"/>
    <w:link w:val="Nzev"/>
    <w:uiPriority w:val="27"/>
    <w:rsid w:val="00CB39D8"/>
    <w:rPr>
      <w:rFonts w:ascii="Calibri" w:eastAsia="Fedra Sans Alt Std Medium" w:hAnsi="Calibri" w:cs="Fedra Sans Alt Std Medium"/>
      <w:b/>
      <w:sz w:val="30"/>
      <w:szCs w:val="30"/>
      <w:lang w:val="en-GB"/>
    </w:rPr>
  </w:style>
  <w:style w:type="character" w:customStyle="1" w:styleId="Nadpis1Char">
    <w:name w:val="Nadpis 1 Char"/>
    <w:basedOn w:val="Standardnpsmoodstavce"/>
    <w:link w:val="Nadpis1"/>
    <w:uiPriority w:val="9"/>
    <w:rsid w:val="009F16E3"/>
    <w:rPr>
      <w:rFonts w:ascii="Poppins Bold" w:eastAsiaTheme="majorEastAsia" w:hAnsi="Poppins Bold" w:cstheme="majorBidi"/>
      <w:color w:val="000000" w:themeColor="text1"/>
      <w:sz w:val="32"/>
      <w:szCs w:val="40"/>
    </w:rPr>
  </w:style>
  <w:style w:type="character" w:customStyle="1" w:styleId="Nadpis2Char">
    <w:name w:val="Nadpis 2 Char"/>
    <w:basedOn w:val="Standardnpsmoodstavce"/>
    <w:link w:val="Nadpis2"/>
    <w:uiPriority w:val="9"/>
    <w:rsid w:val="002C02E4"/>
    <w:rPr>
      <w:rFonts w:ascii="Quicksand" w:eastAsiaTheme="majorEastAsia" w:hAnsi="Quicksand" w:cstheme="majorBidi"/>
      <w:b/>
      <w:color w:val="E5087D"/>
      <w:sz w:val="24"/>
      <w:szCs w:val="32"/>
    </w:rPr>
  </w:style>
  <w:style w:type="character" w:customStyle="1" w:styleId="Nadpis3Char">
    <w:name w:val="Nadpis 3 Char"/>
    <w:basedOn w:val="Standardnpsmoodstavce"/>
    <w:link w:val="Nadpis3"/>
    <w:uiPriority w:val="9"/>
    <w:semiHidden/>
    <w:rsid w:val="005E69BE"/>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5E69BE"/>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5E69BE"/>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5E69BE"/>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5E69BE"/>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5E69B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5E69BE"/>
    <w:rPr>
      <w:rFonts w:eastAsiaTheme="majorEastAsia" w:cstheme="majorBidi"/>
      <w:color w:val="272727" w:themeColor="text1" w:themeTint="D8"/>
    </w:rPr>
  </w:style>
  <w:style w:type="paragraph" w:styleId="Podnadpis">
    <w:name w:val="Subtitle"/>
    <w:basedOn w:val="Nadpis2"/>
    <w:next w:val="Normln"/>
    <w:link w:val="PodnadpisChar"/>
    <w:uiPriority w:val="11"/>
    <w:qFormat/>
    <w:rsid w:val="0058172B"/>
    <w:pPr>
      <w:numPr>
        <w:ilvl w:val="1"/>
      </w:numPr>
    </w:pPr>
    <w:rPr>
      <w:color w:val="595959" w:themeColor="text1" w:themeTint="A6"/>
      <w:kern w:val="0"/>
      <w:szCs w:val="28"/>
    </w:rPr>
  </w:style>
  <w:style w:type="character" w:customStyle="1" w:styleId="PodnadpisChar">
    <w:name w:val="Podnadpis Char"/>
    <w:basedOn w:val="Standardnpsmoodstavce"/>
    <w:link w:val="Podnadpis"/>
    <w:uiPriority w:val="11"/>
    <w:rsid w:val="0058172B"/>
    <w:rPr>
      <w:rFonts w:ascii="Quicksand" w:eastAsiaTheme="majorEastAsia" w:hAnsi="Quicksand" w:cstheme="majorBidi"/>
      <w:b/>
      <w:color w:val="595959" w:themeColor="text1" w:themeTint="A6"/>
      <w:kern w:val="0"/>
      <w:sz w:val="24"/>
      <w:szCs w:val="28"/>
    </w:rPr>
  </w:style>
  <w:style w:type="paragraph" w:styleId="Citt">
    <w:name w:val="Quote"/>
    <w:basedOn w:val="Normln"/>
    <w:next w:val="Normln"/>
    <w:link w:val="CittChar"/>
    <w:uiPriority w:val="29"/>
    <w:rsid w:val="005E69BE"/>
    <w:pPr>
      <w:spacing w:before="160" w:after="160"/>
      <w:jc w:val="center"/>
    </w:pPr>
    <w:rPr>
      <w:i/>
      <w:iCs/>
      <w:color w:val="404040" w:themeColor="text1" w:themeTint="BF"/>
    </w:rPr>
  </w:style>
  <w:style w:type="character" w:customStyle="1" w:styleId="CittChar">
    <w:name w:val="Citát Char"/>
    <w:basedOn w:val="Standardnpsmoodstavce"/>
    <w:link w:val="Citt"/>
    <w:uiPriority w:val="29"/>
    <w:rsid w:val="005E69BE"/>
    <w:rPr>
      <w:i/>
      <w:iCs/>
      <w:color w:val="404040" w:themeColor="text1" w:themeTint="BF"/>
    </w:rPr>
  </w:style>
  <w:style w:type="paragraph" w:styleId="Odstavecseseznamem">
    <w:name w:val="List Paragraph"/>
    <w:basedOn w:val="Normln"/>
    <w:uiPriority w:val="34"/>
    <w:rsid w:val="005E69BE"/>
    <w:pPr>
      <w:ind w:left="720"/>
      <w:contextualSpacing/>
    </w:pPr>
  </w:style>
  <w:style w:type="character" w:styleId="Zdraznnintenzivn">
    <w:name w:val="Intense Emphasis"/>
    <w:basedOn w:val="Standardnpsmoodstavce"/>
    <w:uiPriority w:val="21"/>
    <w:rsid w:val="005E69BE"/>
    <w:rPr>
      <w:i/>
      <w:iCs/>
      <w:color w:val="0F4761" w:themeColor="accent1" w:themeShade="BF"/>
    </w:rPr>
  </w:style>
  <w:style w:type="paragraph" w:styleId="Vrazncitt">
    <w:name w:val="Intense Quote"/>
    <w:basedOn w:val="Normln"/>
    <w:next w:val="Normln"/>
    <w:link w:val="VrazncittChar"/>
    <w:uiPriority w:val="30"/>
    <w:rsid w:val="005E69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5E69BE"/>
    <w:rPr>
      <w:i/>
      <w:iCs/>
      <w:color w:val="0F4761" w:themeColor="accent1" w:themeShade="BF"/>
    </w:rPr>
  </w:style>
  <w:style w:type="character" w:styleId="Odkazintenzivn">
    <w:name w:val="Intense Reference"/>
    <w:basedOn w:val="Standardnpsmoodstavce"/>
    <w:uiPriority w:val="32"/>
    <w:rsid w:val="005E69BE"/>
    <w:rPr>
      <w:b/>
      <w:bCs/>
      <w:smallCaps/>
      <w:color w:val="0F4761" w:themeColor="accent1" w:themeShade="BF"/>
      <w:spacing w:val="5"/>
    </w:rPr>
  </w:style>
  <w:style w:type="paragraph" w:styleId="Zhlav">
    <w:name w:val="header"/>
    <w:basedOn w:val="Normln"/>
    <w:link w:val="ZhlavChar"/>
    <w:uiPriority w:val="99"/>
    <w:unhideWhenUsed/>
    <w:rsid w:val="005E69BE"/>
    <w:pPr>
      <w:tabs>
        <w:tab w:val="center" w:pos="4536"/>
        <w:tab w:val="right" w:pos="9072"/>
      </w:tabs>
    </w:pPr>
  </w:style>
  <w:style w:type="character" w:customStyle="1" w:styleId="ZhlavChar">
    <w:name w:val="Záhlaví Char"/>
    <w:basedOn w:val="Standardnpsmoodstavce"/>
    <w:link w:val="Zhlav"/>
    <w:uiPriority w:val="99"/>
    <w:rsid w:val="005E69BE"/>
  </w:style>
  <w:style w:type="paragraph" w:styleId="Zpat">
    <w:name w:val="footer"/>
    <w:basedOn w:val="Normln"/>
    <w:link w:val="ZpatChar"/>
    <w:uiPriority w:val="99"/>
    <w:unhideWhenUsed/>
    <w:rsid w:val="005E69BE"/>
    <w:pPr>
      <w:tabs>
        <w:tab w:val="center" w:pos="4536"/>
        <w:tab w:val="right" w:pos="9072"/>
      </w:tabs>
    </w:pPr>
  </w:style>
  <w:style w:type="character" w:customStyle="1" w:styleId="ZpatChar">
    <w:name w:val="Zápatí Char"/>
    <w:basedOn w:val="Standardnpsmoodstavce"/>
    <w:link w:val="Zpat"/>
    <w:uiPriority w:val="99"/>
    <w:rsid w:val="005E69BE"/>
  </w:style>
  <w:style w:type="character" w:styleId="Zdraznn">
    <w:name w:val="Emphasis"/>
    <w:basedOn w:val="Standardnpsmoodstavce"/>
    <w:uiPriority w:val="20"/>
    <w:qFormat/>
    <w:rsid w:val="009F16E3"/>
    <w:rPr>
      <w:rFonts w:ascii="Poppins" w:hAnsi="Poppins"/>
      <w:i/>
      <w:iCs/>
      <w:color w:val="3F3F3F"/>
      <w:sz w:val="18"/>
    </w:rPr>
  </w:style>
  <w:style w:type="character" w:styleId="Siln">
    <w:name w:val="Strong"/>
    <w:basedOn w:val="Standardnpsmoodstavce"/>
    <w:uiPriority w:val="22"/>
    <w:qFormat/>
    <w:rsid w:val="009F16E3"/>
    <w:rPr>
      <w:rFonts w:ascii="Poppins" w:hAnsi="Poppins"/>
      <w:b/>
      <w:bCs/>
      <w:sz w:val="18"/>
    </w:rPr>
  </w:style>
  <w:style w:type="character" w:styleId="Odkazjemn">
    <w:name w:val="Subtle Reference"/>
    <w:basedOn w:val="Standardnpsmoodstavce"/>
    <w:uiPriority w:val="31"/>
    <w:qFormat/>
    <w:rsid w:val="009F16E3"/>
    <w:rPr>
      <w:rFonts w:ascii="Poppins" w:hAnsi="Poppins"/>
      <w:i/>
      <w:caps w:val="0"/>
      <w:smallCaps w:val="0"/>
      <w:strike w:val="0"/>
      <w:dstrike w:val="0"/>
      <w:vanish w:val="0"/>
      <w:color w:val="E5087D"/>
      <w:sz w:val="18"/>
      <w:u w:val="single"/>
      <w:vertAlign w:val="baseline"/>
    </w:rPr>
  </w:style>
  <w:style w:type="paragraph" w:styleId="Revize">
    <w:name w:val="Revision"/>
    <w:hidden/>
    <w:uiPriority w:val="99"/>
    <w:semiHidden/>
    <w:rsid w:val="001F3C9D"/>
    <w:rPr>
      <w:rFonts w:ascii="Poppins" w:hAnsi="Poppins"/>
      <w:color w:val="3F3F3F"/>
      <w:kern w:val="0"/>
      <w:sz w:val="18"/>
    </w:rPr>
  </w:style>
  <w:style w:type="character" w:styleId="Odkaznakoment">
    <w:name w:val="annotation reference"/>
    <w:basedOn w:val="Standardnpsmoodstavce"/>
    <w:uiPriority w:val="99"/>
    <w:semiHidden/>
    <w:unhideWhenUsed/>
    <w:rsid w:val="00BC7B01"/>
    <w:rPr>
      <w:sz w:val="16"/>
      <w:szCs w:val="16"/>
    </w:rPr>
  </w:style>
  <w:style w:type="paragraph" w:styleId="Textkomente">
    <w:name w:val="annotation text"/>
    <w:basedOn w:val="Normln"/>
    <w:link w:val="TextkomenteChar"/>
    <w:uiPriority w:val="99"/>
    <w:unhideWhenUsed/>
    <w:rsid w:val="00BC7B01"/>
    <w:pPr>
      <w:spacing w:line="240" w:lineRule="auto"/>
    </w:pPr>
    <w:rPr>
      <w:sz w:val="20"/>
      <w:szCs w:val="20"/>
    </w:rPr>
  </w:style>
  <w:style w:type="character" w:customStyle="1" w:styleId="TextkomenteChar">
    <w:name w:val="Text komentáře Char"/>
    <w:basedOn w:val="Standardnpsmoodstavce"/>
    <w:link w:val="Textkomente"/>
    <w:uiPriority w:val="99"/>
    <w:rsid w:val="00BC7B01"/>
    <w:rPr>
      <w:rFonts w:ascii="Poppins" w:hAnsi="Poppins"/>
      <w:color w:val="3F3F3F"/>
      <w:kern w:val="0"/>
      <w:sz w:val="20"/>
      <w:szCs w:val="20"/>
    </w:rPr>
  </w:style>
  <w:style w:type="paragraph" w:styleId="Pedmtkomente">
    <w:name w:val="annotation subject"/>
    <w:basedOn w:val="Textkomente"/>
    <w:next w:val="Textkomente"/>
    <w:link w:val="PedmtkomenteChar"/>
    <w:uiPriority w:val="99"/>
    <w:semiHidden/>
    <w:unhideWhenUsed/>
    <w:rsid w:val="00BC7B01"/>
    <w:rPr>
      <w:b/>
      <w:bCs/>
    </w:rPr>
  </w:style>
  <w:style w:type="character" w:customStyle="1" w:styleId="PedmtkomenteChar">
    <w:name w:val="Předmět komentáře Char"/>
    <w:basedOn w:val="TextkomenteChar"/>
    <w:link w:val="Pedmtkomente"/>
    <w:uiPriority w:val="99"/>
    <w:semiHidden/>
    <w:rsid w:val="00BC7B01"/>
    <w:rPr>
      <w:rFonts w:ascii="Poppins" w:hAnsi="Poppins"/>
      <w:b/>
      <w:bCs/>
      <w:color w:val="3F3F3F"/>
      <w:kern w:val="0"/>
      <w:sz w:val="20"/>
      <w:szCs w:val="20"/>
    </w:rPr>
  </w:style>
  <w:style w:type="character" w:styleId="Hypertextovodkaz">
    <w:name w:val="Hyperlink"/>
    <w:basedOn w:val="Standardnpsmoodstavce"/>
    <w:uiPriority w:val="99"/>
    <w:unhideWhenUsed/>
    <w:rsid w:val="005A2E60"/>
    <w:rPr>
      <w:color w:val="467886" w:themeColor="hyperlink"/>
      <w:u w:val="single"/>
    </w:rPr>
  </w:style>
  <w:style w:type="character" w:styleId="Nevyeenzmnka">
    <w:name w:val="Unresolved Mention"/>
    <w:basedOn w:val="Standardnpsmoodstavce"/>
    <w:uiPriority w:val="99"/>
    <w:semiHidden/>
    <w:unhideWhenUsed/>
    <w:rsid w:val="005A2E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ladimira.kolarikova@klik.cz"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4</Pages>
  <Words>993</Words>
  <Characters>5862</Characters>
  <Application>Microsoft Office Word</Application>
  <DocSecurity>0</DocSecurity>
  <Lines>48</Lines>
  <Paragraphs>13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Vladimíra Kolaříková</dc:creator>
  <cp:keywords/>
  <dc:description/>
  <cp:lastModifiedBy>Martina Kavková - Native PR</cp:lastModifiedBy>
  <cp:revision>19</cp:revision>
  <dcterms:created xsi:type="dcterms:W3CDTF">2026-08-20T07:28:00Z</dcterms:created>
  <dcterms:modified xsi:type="dcterms:W3CDTF">2026-08-20T12:37:00Z</dcterms:modified>
</cp:coreProperties>
</file>