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F9376" w14:textId="322634C2" w:rsidR="00615FB3" w:rsidRPr="004A5D93" w:rsidRDefault="004A5D93" w:rsidP="00BC6523">
      <w:pPr>
        <w:spacing w:before="100" w:beforeAutospacing="1" w:after="120"/>
        <w:ind w:left="7788"/>
        <w:rPr>
          <w:b/>
          <w:bCs/>
        </w:rPr>
      </w:pPr>
      <w:r>
        <w:rPr>
          <w:b/>
          <w:bCs/>
        </w:rPr>
        <w:t xml:space="preserve">        </w:t>
      </w:r>
      <w:r w:rsidR="00615FB3" w:rsidRPr="004A5D93">
        <w:rPr>
          <w:b/>
          <w:bCs/>
        </w:rPr>
        <w:t>Tiskov</w:t>
      </w:r>
      <w:r w:rsidR="00844115">
        <w:rPr>
          <w:b/>
          <w:bCs/>
        </w:rPr>
        <w:t>á zpráva</w:t>
      </w:r>
    </w:p>
    <w:p w14:paraId="3A718A8E" w14:textId="77777777" w:rsidR="000C69A4" w:rsidRDefault="000C69A4" w:rsidP="001B249F">
      <w:pPr>
        <w:spacing w:before="100" w:beforeAutospacing="1" w:after="120"/>
        <w:jc w:val="left"/>
        <w:rPr>
          <w:b/>
          <w:bCs/>
          <w:sz w:val="32"/>
          <w:szCs w:val="32"/>
        </w:rPr>
      </w:pPr>
    </w:p>
    <w:p w14:paraId="5ACF062D" w14:textId="2E499436" w:rsidR="001B249F" w:rsidRPr="001B249F" w:rsidRDefault="00D3231E" w:rsidP="0065494F">
      <w:pPr>
        <w:spacing w:before="100" w:beforeAutospacing="1" w:after="120"/>
        <w:jc w:val="left"/>
        <w:rPr>
          <w:b/>
          <w:bCs/>
          <w:sz w:val="32"/>
          <w:szCs w:val="32"/>
        </w:rPr>
      </w:pPr>
      <w:r w:rsidRPr="00D3231E">
        <w:rPr>
          <w:b/>
          <w:bCs/>
          <w:sz w:val="32"/>
          <w:szCs w:val="32"/>
        </w:rPr>
        <w:t>Klik.cz zavádí index kvality pojištění. Má zákazníkům ukázat víc než jen cenu</w:t>
      </w:r>
    </w:p>
    <w:p w14:paraId="532CCF8D" w14:textId="77777777" w:rsidR="001B249F" w:rsidRPr="001B249F" w:rsidRDefault="001B249F" w:rsidP="001B249F">
      <w:pPr>
        <w:spacing w:after="160" w:line="278" w:lineRule="auto"/>
        <w:rPr>
          <w:b/>
          <w:bCs/>
          <w:sz w:val="20"/>
          <w:szCs w:val="20"/>
        </w:rPr>
      </w:pPr>
    </w:p>
    <w:p w14:paraId="792340F1" w14:textId="000CD61F" w:rsidR="001B249F" w:rsidRPr="001B249F" w:rsidRDefault="008829FC" w:rsidP="001B249F">
      <w:pPr>
        <w:spacing w:after="160" w:line="278" w:lineRule="auto"/>
        <w:rPr>
          <w:b/>
          <w:bCs/>
          <w:sz w:val="20"/>
          <w:szCs w:val="20"/>
        </w:rPr>
      </w:pPr>
      <w:r w:rsidRPr="00333E19">
        <w:rPr>
          <w:sz w:val="20"/>
          <w:szCs w:val="20"/>
        </w:rPr>
        <w:t xml:space="preserve">Praha, </w:t>
      </w:r>
      <w:r w:rsidR="0006018E">
        <w:rPr>
          <w:sz w:val="20"/>
          <w:szCs w:val="20"/>
        </w:rPr>
        <w:t>3</w:t>
      </w:r>
      <w:r w:rsidRPr="00333E19">
        <w:rPr>
          <w:sz w:val="20"/>
          <w:szCs w:val="20"/>
        </w:rPr>
        <w:t xml:space="preserve">. </w:t>
      </w:r>
      <w:r w:rsidR="00333E19">
        <w:rPr>
          <w:sz w:val="20"/>
          <w:szCs w:val="20"/>
        </w:rPr>
        <w:t>č</w:t>
      </w:r>
      <w:r w:rsidRPr="00333E19">
        <w:rPr>
          <w:sz w:val="20"/>
          <w:szCs w:val="20"/>
        </w:rPr>
        <w:t>ervna 2026</w:t>
      </w:r>
      <w:r w:rsidR="00333E19" w:rsidRPr="00333E19">
        <w:rPr>
          <w:sz w:val="20"/>
          <w:szCs w:val="20"/>
        </w:rPr>
        <w:t xml:space="preserve"> -</w:t>
      </w:r>
      <w:r w:rsidR="00333E19">
        <w:rPr>
          <w:b/>
          <w:bCs/>
          <w:sz w:val="20"/>
          <w:szCs w:val="20"/>
        </w:rPr>
        <w:t xml:space="preserve"> </w:t>
      </w:r>
      <w:r w:rsidR="0080647B" w:rsidRPr="0080647B">
        <w:rPr>
          <w:b/>
          <w:bCs/>
          <w:sz w:val="20"/>
          <w:szCs w:val="20"/>
        </w:rPr>
        <w:t>Klik.cz přichází s novým Klik indexem, který má zákazníkům zpřehlednit výběr pojištění a pomoct jim poznat kvalitní produkt nejen podle ceny. Hodnocení zohledňuje například rozsah krytí, výši pojistných limitů, asistenční služby, zákaznický servis i zkušenosti klientů. Nový index má zároveň podpořit transparentnost pojistného trhu a posílit důvěru zákazníků ve značku, která jim výběr pojištění dlouhodobě zjednodušuje. Jako první prošlo hodnocením cestovní pojištění, ve kterém nejlépe obstál produkt Premium od AXA Partners.</w:t>
      </w:r>
    </w:p>
    <w:p w14:paraId="587F4CE5" w14:textId="465E58AC" w:rsidR="001B249F" w:rsidRPr="001B249F" w:rsidRDefault="001B249F" w:rsidP="001B249F">
      <w:pPr>
        <w:spacing w:after="160" w:line="278" w:lineRule="auto"/>
        <w:rPr>
          <w:sz w:val="20"/>
          <w:szCs w:val="20"/>
        </w:rPr>
      </w:pPr>
      <w:hyperlink r:id="rId7" w:history="1">
        <w:r w:rsidRPr="00445C38">
          <w:rPr>
            <w:rStyle w:val="Hypertextovodkaz"/>
            <w:sz w:val="20"/>
            <w:szCs w:val="20"/>
          </w:rPr>
          <w:t>Klik index</w:t>
        </w:r>
      </w:hyperlink>
      <w:r w:rsidRPr="001B249F">
        <w:rPr>
          <w:sz w:val="20"/>
          <w:szCs w:val="20"/>
        </w:rPr>
        <w:t xml:space="preserve"> zohledňuje několik klíčových parametrů, které společně vytvářejí komplexní obraz o kvalitě konkrétního produktu. Do výsledného hodnocení vstupuje rozsah krytí, výše pojistných limitů, rozsah krytých rizik, kvalita asistenčních služeb, úroveň zákaznického servisu</w:t>
      </w:r>
      <w:r w:rsidR="00087A72" w:rsidRPr="00087A72">
        <w:rPr>
          <w:sz w:val="20"/>
          <w:szCs w:val="20"/>
        </w:rPr>
        <w:t xml:space="preserve"> </w:t>
      </w:r>
      <w:r w:rsidR="00087A72" w:rsidRPr="00D84B78">
        <w:rPr>
          <w:sz w:val="20"/>
          <w:szCs w:val="20"/>
        </w:rPr>
        <w:t>poskytovaného pojišťovnou</w:t>
      </w:r>
      <w:r w:rsidRPr="001B249F">
        <w:rPr>
          <w:sz w:val="20"/>
          <w:szCs w:val="20"/>
        </w:rPr>
        <w:t xml:space="preserve">, zkušenosti klientů i komfort a přehlednost procesu sjednání pojištění. Čím vyšší je výsledné skóre, tím komplexnější ochranu, širší rozsah služeb a lepší zákaznickou zkušenost produkt nabízí. </w:t>
      </w:r>
    </w:p>
    <w:p w14:paraId="26B5C409" w14:textId="32A14A92" w:rsidR="001B249F" w:rsidRPr="001B249F" w:rsidRDefault="001B249F" w:rsidP="001B249F">
      <w:pPr>
        <w:spacing w:after="160" w:line="278" w:lineRule="auto"/>
        <w:rPr>
          <w:b/>
          <w:bCs/>
          <w:sz w:val="20"/>
          <w:szCs w:val="20"/>
        </w:rPr>
      </w:pPr>
      <w:r w:rsidRPr="001B249F">
        <w:rPr>
          <w:i/>
          <w:iCs/>
          <w:sz w:val="20"/>
          <w:szCs w:val="20"/>
        </w:rPr>
        <w:t xml:space="preserve">„Naším cílem bylo vytvořit jednoduchý a důvěryhodný ukazatel, který klientům pomůže vybrat skutečně kvalitní pojištění, nejen nejlevnější variantu. Klik index kombinuje objektivní parametry produktu se zkušenostmi </w:t>
      </w:r>
      <w:r w:rsidR="00D3231E">
        <w:rPr>
          <w:i/>
          <w:iCs/>
          <w:sz w:val="20"/>
          <w:szCs w:val="20"/>
        </w:rPr>
        <w:t>uživatel</w:t>
      </w:r>
      <w:r w:rsidRPr="001B249F">
        <w:rPr>
          <w:i/>
          <w:iCs/>
          <w:sz w:val="20"/>
          <w:szCs w:val="20"/>
        </w:rPr>
        <w:t xml:space="preserve">ů a oblíbeností jednotlivých pojištění na trhu. </w:t>
      </w:r>
      <w:r w:rsidR="00901F85">
        <w:rPr>
          <w:i/>
          <w:iCs/>
          <w:sz w:val="20"/>
          <w:szCs w:val="20"/>
        </w:rPr>
        <w:t>Naše h</w:t>
      </w:r>
      <w:r w:rsidR="00E12C76">
        <w:rPr>
          <w:i/>
          <w:iCs/>
          <w:sz w:val="20"/>
          <w:szCs w:val="20"/>
        </w:rPr>
        <w:t>odnocení</w:t>
      </w:r>
      <w:r w:rsidR="008E2ABF">
        <w:rPr>
          <w:i/>
          <w:iCs/>
          <w:sz w:val="20"/>
          <w:szCs w:val="20"/>
        </w:rPr>
        <w:t xml:space="preserve"> jako nezávislý </w:t>
      </w:r>
      <w:r w:rsidR="004456CF">
        <w:rPr>
          <w:i/>
          <w:iCs/>
          <w:sz w:val="20"/>
          <w:szCs w:val="20"/>
        </w:rPr>
        <w:t>indikátor</w:t>
      </w:r>
      <w:r w:rsidRPr="001B249F">
        <w:rPr>
          <w:i/>
          <w:iCs/>
          <w:sz w:val="20"/>
          <w:szCs w:val="20"/>
        </w:rPr>
        <w:t xml:space="preserve"> </w:t>
      </w:r>
      <w:r w:rsidR="00512F10">
        <w:rPr>
          <w:i/>
          <w:iCs/>
          <w:sz w:val="20"/>
          <w:szCs w:val="20"/>
        </w:rPr>
        <w:t xml:space="preserve">poskytuje </w:t>
      </w:r>
      <w:r w:rsidR="003A7208" w:rsidRPr="00610F2A">
        <w:rPr>
          <w:i/>
          <w:iCs/>
          <w:sz w:val="20"/>
          <w:szCs w:val="20"/>
        </w:rPr>
        <w:t>zpětn</w:t>
      </w:r>
      <w:r w:rsidR="00512F10">
        <w:rPr>
          <w:i/>
          <w:iCs/>
          <w:sz w:val="20"/>
          <w:szCs w:val="20"/>
        </w:rPr>
        <w:t>ou</w:t>
      </w:r>
      <w:r w:rsidR="003A7208" w:rsidRPr="00610F2A">
        <w:rPr>
          <w:i/>
          <w:iCs/>
          <w:sz w:val="20"/>
          <w:szCs w:val="20"/>
        </w:rPr>
        <w:t xml:space="preserve"> vazb</w:t>
      </w:r>
      <w:r w:rsidR="00512F10">
        <w:rPr>
          <w:i/>
          <w:iCs/>
          <w:sz w:val="20"/>
          <w:szCs w:val="20"/>
        </w:rPr>
        <w:t>u</w:t>
      </w:r>
      <w:r w:rsidR="003A7208" w:rsidRPr="00610F2A">
        <w:rPr>
          <w:i/>
          <w:iCs/>
          <w:sz w:val="20"/>
          <w:szCs w:val="20"/>
        </w:rPr>
        <w:t xml:space="preserve"> pojišťovn</w:t>
      </w:r>
      <w:r w:rsidR="00512F10">
        <w:rPr>
          <w:i/>
          <w:iCs/>
          <w:sz w:val="20"/>
          <w:szCs w:val="20"/>
        </w:rPr>
        <w:t>ám</w:t>
      </w:r>
      <w:r w:rsidR="003A7208" w:rsidRPr="00610F2A">
        <w:rPr>
          <w:i/>
          <w:iCs/>
          <w:sz w:val="20"/>
          <w:szCs w:val="20"/>
        </w:rPr>
        <w:t xml:space="preserve"> </w:t>
      </w:r>
      <w:r w:rsidR="003A6E8D">
        <w:rPr>
          <w:i/>
          <w:iCs/>
          <w:sz w:val="20"/>
          <w:szCs w:val="20"/>
        </w:rPr>
        <w:t xml:space="preserve">a </w:t>
      </w:r>
      <w:r w:rsidR="00DA742B" w:rsidRPr="00DA742B">
        <w:rPr>
          <w:i/>
          <w:iCs/>
          <w:sz w:val="20"/>
          <w:szCs w:val="20"/>
        </w:rPr>
        <w:t xml:space="preserve">může dlouhodobě přispívat k větší transparentnosti, </w:t>
      </w:r>
      <w:r w:rsidR="00DA742B">
        <w:rPr>
          <w:i/>
          <w:iCs/>
          <w:sz w:val="20"/>
          <w:szCs w:val="20"/>
        </w:rPr>
        <w:t xml:space="preserve">lepší </w:t>
      </w:r>
      <w:r w:rsidR="00DA742B" w:rsidRPr="00DA742B">
        <w:rPr>
          <w:i/>
          <w:iCs/>
          <w:sz w:val="20"/>
          <w:szCs w:val="20"/>
        </w:rPr>
        <w:t xml:space="preserve">orientaci </w:t>
      </w:r>
      <w:r w:rsidR="00D3231E">
        <w:rPr>
          <w:i/>
          <w:iCs/>
          <w:sz w:val="20"/>
          <w:szCs w:val="20"/>
        </w:rPr>
        <w:t>zákazník</w:t>
      </w:r>
      <w:r w:rsidR="00DA742B" w:rsidRPr="00DA742B">
        <w:rPr>
          <w:i/>
          <w:iCs/>
          <w:sz w:val="20"/>
          <w:szCs w:val="20"/>
        </w:rPr>
        <w:t>ů a dalšímu rozvoji kvality pojistného trhu</w:t>
      </w:r>
      <w:r w:rsidR="0070148D" w:rsidRPr="0070148D">
        <w:rPr>
          <w:i/>
          <w:iCs/>
          <w:sz w:val="20"/>
          <w:szCs w:val="20"/>
        </w:rPr>
        <w:t>.</w:t>
      </w:r>
      <w:r w:rsidR="0080647B">
        <w:rPr>
          <w:i/>
          <w:iCs/>
          <w:sz w:val="20"/>
          <w:szCs w:val="20"/>
        </w:rPr>
        <w:t xml:space="preserve"> </w:t>
      </w:r>
      <w:r w:rsidR="0080647B" w:rsidRPr="0080647B">
        <w:rPr>
          <w:i/>
          <w:iCs/>
          <w:sz w:val="20"/>
          <w:szCs w:val="20"/>
        </w:rPr>
        <w:t xml:space="preserve">Zároveň může dlouhodobě přispívat k větší transparentnosti, lepší orientaci zákazníků a dalšímu rozvoji kvality pojistného </w:t>
      </w:r>
      <w:r w:rsidR="00D3231E" w:rsidRPr="0080647B">
        <w:rPr>
          <w:i/>
          <w:iCs/>
          <w:sz w:val="20"/>
          <w:szCs w:val="20"/>
        </w:rPr>
        <w:t>trhu,</w:t>
      </w:r>
      <w:r w:rsidR="00534CD7">
        <w:rPr>
          <w:i/>
          <w:iCs/>
          <w:sz w:val="20"/>
          <w:szCs w:val="20"/>
        </w:rPr>
        <w:t xml:space="preserve">“ </w:t>
      </w:r>
      <w:r w:rsidR="00610F2A">
        <w:rPr>
          <w:i/>
          <w:iCs/>
          <w:sz w:val="20"/>
          <w:szCs w:val="20"/>
        </w:rPr>
        <w:t>popisuje novinku</w:t>
      </w:r>
      <w:r w:rsidR="00E55677">
        <w:rPr>
          <w:i/>
          <w:iCs/>
          <w:sz w:val="20"/>
          <w:szCs w:val="20"/>
        </w:rPr>
        <w:t xml:space="preserve"> </w:t>
      </w:r>
      <w:r w:rsidR="00534CD7" w:rsidRPr="001B249F">
        <w:rPr>
          <w:b/>
          <w:bCs/>
          <w:sz w:val="20"/>
          <w:szCs w:val="20"/>
        </w:rPr>
        <w:t>Martin Kožár, generální ředitel Skupiny Klik.cz</w:t>
      </w:r>
      <w:r w:rsidR="009452BA">
        <w:rPr>
          <w:b/>
          <w:bCs/>
          <w:sz w:val="20"/>
          <w:szCs w:val="20"/>
        </w:rPr>
        <w:t xml:space="preserve"> </w:t>
      </w:r>
      <w:r w:rsidR="009452BA" w:rsidRPr="00D159EE">
        <w:rPr>
          <w:sz w:val="20"/>
          <w:szCs w:val="20"/>
        </w:rPr>
        <w:t>a dodá</w:t>
      </w:r>
      <w:r w:rsidR="009D269F">
        <w:rPr>
          <w:sz w:val="20"/>
          <w:szCs w:val="20"/>
        </w:rPr>
        <w:t>vá</w:t>
      </w:r>
      <w:r w:rsidR="00D159EE">
        <w:rPr>
          <w:sz w:val="20"/>
          <w:szCs w:val="20"/>
        </w:rPr>
        <w:t>: „</w:t>
      </w:r>
      <w:r w:rsidR="000766D9">
        <w:rPr>
          <w:i/>
          <w:iCs/>
          <w:sz w:val="20"/>
          <w:szCs w:val="20"/>
        </w:rPr>
        <w:t>Prvním vítězem je</w:t>
      </w:r>
      <w:r w:rsidRPr="001B249F">
        <w:rPr>
          <w:i/>
          <w:iCs/>
          <w:sz w:val="20"/>
          <w:szCs w:val="20"/>
        </w:rPr>
        <w:t xml:space="preserve"> produkt cestovního pojištění</w:t>
      </w:r>
      <w:r w:rsidR="0021528B">
        <w:rPr>
          <w:i/>
          <w:iCs/>
          <w:sz w:val="20"/>
          <w:szCs w:val="20"/>
        </w:rPr>
        <w:t xml:space="preserve"> a</w:t>
      </w:r>
      <w:r w:rsidRPr="001B249F">
        <w:rPr>
          <w:i/>
          <w:iCs/>
          <w:sz w:val="20"/>
          <w:szCs w:val="20"/>
        </w:rPr>
        <w:t xml:space="preserve"> do konce roku vyhodno</w:t>
      </w:r>
      <w:r w:rsidR="000149F9">
        <w:rPr>
          <w:i/>
          <w:iCs/>
          <w:sz w:val="20"/>
          <w:szCs w:val="20"/>
        </w:rPr>
        <w:t>tíme</w:t>
      </w:r>
      <w:r w:rsidR="000D0517">
        <w:rPr>
          <w:i/>
          <w:iCs/>
          <w:sz w:val="20"/>
          <w:szCs w:val="20"/>
        </w:rPr>
        <w:t xml:space="preserve"> rovněž</w:t>
      </w:r>
      <w:r w:rsidRPr="001B249F">
        <w:rPr>
          <w:i/>
          <w:iCs/>
          <w:sz w:val="20"/>
          <w:szCs w:val="20"/>
        </w:rPr>
        <w:t> kategorii povinné</w:t>
      </w:r>
      <w:r w:rsidR="0021528B">
        <w:rPr>
          <w:i/>
          <w:iCs/>
          <w:sz w:val="20"/>
          <w:szCs w:val="20"/>
        </w:rPr>
        <w:t>ho</w:t>
      </w:r>
      <w:r w:rsidRPr="001B249F">
        <w:rPr>
          <w:i/>
          <w:iCs/>
          <w:sz w:val="20"/>
          <w:szCs w:val="20"/>
        </w:rPr>
        <w:t xml:space="preserve"> ručení, havarijní</w:t>
      </w:r>
      <w:r w:rsidR="0021528B">
        <w:rPr>
          <w:i/>
          <w:iCs/>
          <w:sz w:val="20"/>
          <w:szCs w:val="20"/>
        </w:rPr>
        <w:t>ho</w:t>
      </w:r>
      <w:r w:rsidRPr="001B249F">
        <w:rPr>
          <w:i/>
          <w:iCs/>
          <w:sz w:val="20"/>
          <w:szCs w:val="20"/>
        </w:rPr>
        <w:t xml:space="preserve"> pojištění a pojištění majetku občanů</w:t>
      </w:r>
      <w:r w:rsidR="00DA5D84">
        <w:rPr>
          <w:i/>
          <w:iCs/>
          <w:sz w:val="20"/>
          <w:szCs w:val="20"/>
        </w:rPr>
        <w:t>.“</w:t>
      </w:r>
    </w:p>
    <w:p w14:paraId="262E54C1" w14:textId="70B69070" w:rsidR="001B249F" w:rsidRPr="001B249F" w:rsidRDefault="00DB6AC8" w:rsidP="00D84B78">
      <w:pPr>
        <w:spacing w:after="160" w:line="278" w:lineRule="auto"/>
        <w:rPr>
          <w:sz w:val="20"/>
          <w:szCs w:val="20"/>
        </w:rPr>
      </w:pPr>
      <w:r>
        <w:rPr>
          <w:sz w:val="20"/>
          <w:szCs w:val="20"/>
        </w:rPr>
        <w:t xml:space="preserve">V </w:t>
      </w:r>
      <w:r w:rsidR="001B249F" w:rsidRPr="001B249F">
        <w:rPr>
          <w:sz w:val="20"/>
          <w:szCs w:val="20"/>
        </w:rPr>
        <w:t>kategori</w:t>
      </w:r>
      <w:r w:rsidR="0080647B">
        <w:rPr>
          <w:sz w:val="20"/>
          <w:szCs w:val="20"/>
        </w:rPr>
        <w:t>i</w:t>
      </w:r>
      <w:r w:rsidR="001B249F" w:rsidRPr="001B249F">
        <w:rPr>
          <w:sz w:val="20"/>
          <w:szCs w:val="20"/>
        </w:rPr>
        <w:t xml:space="preserve"> </w:t>
      </w:r>
      <w:r w:rsidR="001B249F" w:rsidRPr="008E6122">
        <w:rPr>
          <w:b/>
          <w:bCs/>
          <w:sz w:val="20"/>
          <w:szCs w:val="20"/>
        </w:rPr>
        <w:t>cestovního pojištění</w:t>
      </w:r>
      <w:r w:rsidR="00D665B9" w:rsidRPr="008E6122">
        <w:rPr>
          <w:b/>
          <w:bCs/>
          <w:sz w:val="20"/>
          <w:szCs w:val="20"/>
        </w:rPr>
        <w:t xml:space="preserve"> </w:t>
      </w:r>
      <w:r w:rsidR="001B249F" w:rsidRPr="008E6122">
        <w:rPr>
          <w:b/>
          <w:bCs/>
          <w:sz w:val="20"/>
          <w:szCs w:val="20"/>
        </w:rPr>
        <w:t>se</w:t>
      </w:r>
      <w:r w:rsidR="001B249F" w:rsidRPr="001B249F">
        <w:rPr>
          <w:sz w:val="20"/>
          <w:szCs w:val="20"/>
        </w:rPr>
        <w:t xml:space="preserve"> </w:t>
      </w:r>
      <w:r w:rsidR="001B249F" w:rsidRPr="00A64334">
        <w:rPr>
          <w:b/>
          <w:bCs/>
          <w:sz w:val="20"/>
          <w:szCs w:val="20"/>
        </w:rPr>
        <w:t xml:space="preserve">vítězem roku 2026 </w:t>
      </w:r>
      <w:r w:rsidR="001B249F" w:rsidRPr="008E6122">
        <w:rPr>
          <w:sz w:val="20"/>
          <w:szCs w:val="20"/>
        </w:rPr>
        <w:t>stal produkt</w:t>
      </w:r>
      <w:r w:rsidR="001B249F" w:rsidRPr="00A64334">
        <w:rPr>
          <w:b/>
          <w:bCs/>
          <w:sz w:val="20"/>
          <w:szCs w:val="20"/>
        </w:rPr>
        <w:t xml:space="preserve"> PREMIUM a jeho varianty Cesta autem a Cesta letadlem od AXA Partners.</w:t>
      </w:r>
      <w:r w:rsidR="001B249F" w:rsidRPr="001B249F">
        <w:rPr>
          <w:sz w:val="20"/>
          <w:szCs w:val="20"/>
        </w:rPr>
        <w:t xml:space="preserve"> Produkt dosáhl nejvyššího celkového skóre díky širokému rozsahu krytých rizik, kvalitním asistenčním službám a vysokému hodnocení klientského servisu.</w:t>
      </w:r>
      <w:r w:rsidR="00472F97">
        <w:rPr>
          <w:sz w:val="20"/>
          <w:szCs w:val="20"/>
        </w:rPr>
        <w:t xml:space="preserve"> </w:t>
      </w:r>
      <w:r w:rsidR="00260B77">
        <w:rPr>
          <w:sz w:val="20"/>
          <w:szCs w:val="20"/>
        </w:rPr>
        <w:t>S</w:t>
      </w:r>
      <w:r w:rsidR="00D84B78" w:rsidRPr="00D84B78">
        <w:rPr>
          <w:sz w:val="20"/>
          <w:szCs w:val="20"/>
        </w:rPr>
        <w:t>kóre</w:t>
      </w:r>
      <w:r w:rsidR="001D2FB3">
        <w:rPr>
          <w:sz w:val="20"/>
          <w:szCs w:val="20"/>
        </w:rPr>
        <w:t xml:space="preserve"> tvoří</w:t>
      </w:r>
      <w:r w:rsidR="00D84B78" w:rsidRPr="00D84B78">
        <w:rPr>
          <w:sz w:val="20"/>
          <w:szCs w:val="20"/>
        </w:rPr>
        <w:t xml:space="preserve"> Klik index a </w:t>
      </w:r>
      <w:r w:rsidR="009D6615" w:rsidRPr="009D6615">
        <w:rPr>
          <w:sz w:val="20"/>
          <w:szCs w:val="20"/>
        </w:rPr>
        <w:t>oblíbenost produktu mezi klienty měřená objemem smluv prodaných </w:t>
      </w:r>
      <w:r w:rsidR="009E337E" w:rsidRPr="00D84B78">
        <w:rPr>
          <w:sz w:val="20"/>
          <w:szCs w:val="20"/>
        </w:rPr>
        <w:t>v hodnoceném období</w:t>
      </w:r>
      <w:r w:rsidR="009E337E">
        <w:rPr>
          <w:sz w:val="20"/>
          <w:szCs w:val="20"/>
        </w:rPr>
        <w:t xml:space="preserve">.   </w:t>
      </w:r>
    </w:p>
    <w:p w14:paraId="5A762E87" w14:textId="16BA0DAC" w:rsidR="001B249F" w:rsidRPr="001B249F" w:rsidRDefault="001B249F" w:rsidP="001B249F">
      <w:pPr>
        <w:spacing w:after="160" w:line="278" w:lineRule="auto"/>
        <w:rPr>
          <w:b/>
          <w:bCs/>
          <w:sz w:val="20"/>
          <w:szCs w:val="20"/>
        </w:rPr>
      </w:pPr>
      <w:r w:rsidRPr="001B249F">
        <w:rPr>
          <w:i/>
          <w:iCs/>
          <w:sz w:val="20"/>
          <w:szCs w:val="20"/>
        </w:rPr>
        <w:t xml:space="preserve">„Velmi si vážíme toho, že naše cestovní pojištění získalo ocenění v rámci Klik indexu. Potvrzuje to, že klienti dnes oceňují nejen kvalitní pojistné krytí, ale také rychlou pomoc a spolehlivý servis v </w:t>
      </w:r>
      <w:r w:rsidRPr="001B249F">
        <w:rPr>
          <w:i/>
          <w:iCs/>
          <w:sz w:val="20"/>
          <w:szCs w:val="20"/>
        </w:rPr>
        <w:lastRenderedPageBreak/>
        <w:t>situacích, kdy jej skutečně potřebují,“</w:t>
      </w:r>
      <w:r w:rsidRPr="001B249F">
        <w:rPr>
          <w:sz w:val="20"/>
          <w:szCs w:val="20"/>
        </w:rPr>
        <w:t xml:space="preserve"> uvádí </w:t>
      </w:r>
      <w:r w:rsidRPr="001B249F">
        <w:rPr>
          <w:b/>
          <w:bCs/>
          <w:sz w:val="20"/>
          <w:szCs w:val="20"/>
        </w:rPr>
        <w:t xml:space="preserve">Aleš Kahovec, </w:t>
      </w:r>
      <w:r w:rsidR="006B0543">
        <w:rPr>
          <w:b/>
          <w:bCs/>
          <w:sz w:val="20"/>
          <w:szCs w:val="20"/>
        </w:rPr>
        <w:t>ředitel</w:t>
      </w:r>
      <w:r w:rsidR="006176FB">
        <w:rPr>
          <w:b/>
          <w:bCs/>
          <w:sz w:val="20"/>
          <w:szCs w:val="20"/>
        </w:rPr>
        <w:t xml:space="preserve"> </w:t>
      </w:r>
      <w:r w:rsidRPr="001B249F">
        <w:rPr>
          <w:b/>
          <w:bCs/>
          <w:sz w:val="20"/>
          <w:szCs w:val="20"/>
        </w:rPr>
        <w:t>retail</w:t>
      </w:r>
      <w:r w:rsidR="00312D54">
        <w:rPr>
          <w:b/>
          <w:bCs/>
          <w:sz w:val="20"/>
          <w:szCs w:val="20"/>
        </w:rPr>
        <w:t>ového obchodu</w:t>
      </w:r>
      <w:r w:rsidRPr="001B249F">
        <w:rPr>
          <w:b/>
          <w:bCs/>
          <w:sz w:val="20"/>
          <w:szCs w:val="20"/>
        </w:rPr>
        <w:t xml:space="preserve"> společnosti AXA Partners CEE.</w:t>
      </w:r>
    </w:p>
    <w:p w14:paraId="16262216" w14:textId="26A30D3E" w:rsidR="00646898" w:rsidRDefault="001B249F" w:rsidP="00D26658">
      <w:pPr>
        <w:spacing w:after="160" w:line="278" w:lineRule="auto"/>
      </w:pPr>
      <w:r w:rsidRPr="1C224F3D">
        <w:rPr>
          <w:sz w:val="20"/>
          <w:szCs w:val="20"/>
        </w:rPr>
        <w:t xml:space="preserve">Hodnocení produktů </w:t>
      </w:r>
      <w:r w:rsidR="0044341C" w:rsidRPr="1C224F3D">
        <w:rPr>
          <w:sz w:val="20"/>
          <w:szCs w:val="20"/>
        </w:rPr>
        <w:t xml:space="preserve">cestovního pojištění </w:t>
      </w:r>
      <w:r w:rsidRPr="1C224F3D">
        <w:rPr>
          <w:sz w:val="20"/>
          <w:szCs w:val="20"/>
        </w:rPr>
        <w:t xml:space="preserve">se vztahuje na </w:t>
      </w:r>
      <w:r w:rsidR="0D378351" w:rsidRPr="1C224F3D">
        <w:rPr>
          <w:sz w:val="20"/>
          <w:szCs w:val="20"/>
        </w:rPr>
        <w:t>čtyři poslední kvartály</w:t>
      </w:r>
      <w:r w:rsidR="00883D7A" w:rsidRPr="1C224F3D">
        <w:rPr>
          <w:sz w:val="20"/>
          <w:szCs w:val="20"/>
        </w:rPr>
        <w:t xml:space="preserve"> před vyhlášením</w:t>
      </w:r>
      <w:r w:rsidRPr="1C224F3D">
        <w:rPr>
          <w:sz w:val="20"/>
          <w:szCs w:val="20"/>
        </w:rPr>
        <w:t xml:space="preserve">. Metodika Klik indexu byla vytvořena s cílem co nejpřesněji odrážet reálnou kvalitu pojištění a jeho přínos pro klienta. </w:t>
      </w:r>
      <w:r w:rsidR="00F5101B" w:rsidRPr="1C224F3D">
        <w:rPr>
          <w:sz w:val="20"/>
          <w:szCs w:val="20"/>
        </w:rPr>
        <w:t>K</w:t>
      </w:r>
      <w:r w:rsidR="0044341C" w:rsidRPr="1C224F3D">
        <w:rPr>
          <w:sz w:val="20"/>
          <w:szCs w:val="20"/>
        </w:rPr>
        <w:t xml:space="preserve"> </w:t>
      </w:r>
      <w:r w:rsidR="00313353" w:rsidRPr="1C224F3D">
        <w:rPr>
          <w:sz w:val="20"/>
          <w:szCs w:val="20"/>
        </w:rPr>
        <w:t xml:space="preserve">rychlejší orientaci </w:t>
      </w:r>
      <w:r w:rsidR="0044341C" w:rsidRPr="1C224F3D">
        <w:rPr>
          <w:sz w:val="20"/>
          <w:szCs w:val="20"/>
        </w:rPr>
        <w:t xml:space="preserve">klienta </w:t>
      </w:r>
      <w:r w:rsidR="00313353" w:rsidRPr="1C224F3D">
        <w:rPr>
          <w:sz w:val="20"/>
          <w:szCs w:val="20"/>
        </w:rPr>
        <w:t>v nabídce poji</w:t>
      </w:r>
      <w:r w:rsidR="00670BBC" w:rsidRPr="1C224F3D">
        <w:rPr>
          <w:sz w:val="20"/>
          <w:szCs w:val="20"/>
        </w:rPr>
        <w:t>stných</w:t>
      </w:r>
      <w:r w:rsidR="00313353" w:rsidRPr="1C224F3D">
        <w:rPr>
          <w:sz w:val="20"/>
          <w:szCs w:val="20"/>
        </w:rPr>
        <w:t xml:space="preserve"> produktů</w:t>
      </w:r>
      <w:r w:rsidR="00F5101B" w:rsidRPr="1C224F3D">
        <w:rPr>
          <w:sz w:val="20"/>
          <w:szCs w:val="20"/>
        </w:rPr>
        <w:t xml:space="preserve"> slouží barevně označené číslo</w:t>
      </w:r>
      <w:r w:rsidR="00313353" w:rsidRPr="1C224F3D">
        <w:rPr>
          <w:sz w:val="20"/>
          <w:szCs w:val="20"/>
        </w:rPr>
        <w:t xml:space="preserve"> </w:t>
      </w:r>
      <w:r w:rsidR="00376731" w:rsidRPr="1C224F3D">
        <w:rPr>
          <w:sz w:val="20"/>
          <w:szCs w:val="20"/>
        </w:rPr>
        <w:t>na škále od 1 do 10</w:t>
      </w:r>
      <w:r w:rsidR="00B04FFA" w:rsidRPr="1C224F3D">
        <w:rPr>
          <w:sz w:val="20"/>
          <w:szCs w:val="20"/>
        </w:rPr>
        <w:t>, kdy číslo 10 je nejvyšší hodnocení.</w:t>
      </w:r>
      <w:r w:rsidR="008A33C3">
        <w:rPr>
          <w:sz w:val="20"/>
          <w:szCs w:val="20"/>
        </w:rPr>
        <w:t xml:space="preserve"> </w:t>
      </w:r>
      <w:r w:rsidRPr="1C224F3D">
        <w:rPr>
          <w:sz w:val="20"/>
          <w:szCs w:val="20"/>
        </w:rPr>
        <w:t>Podrobnosti na</w:t>
      </w:r>
      <w:r w:rsidR="00FA7F69">
        <w:rPr>
          <w:sz w:val="20"/>
          <w:szCs w:val="20"/>
        </w:rPr>
        <w:t xml:space="preserve">: </w:t>
      </w:r>
      <w:hyperlink r:id="rId8" w:history="1">
        <w:r w:rsidR="00C2062C" w:rsidRPr="00C2062C">
          <w:rPr>
            <w:rStyle w:val="Hypertextovodkaz"/>
            <w:sz w:val="20"/>
            <w:szCs w:val="20"/>
          </w:rPr>
          <w:t>Klik index | Klik.cz</w:t>
        </w:r>
      </w:hyperlink>
    </w:p>
    <w:p w14:paraId="1FD5073E" w14:textId="223DF2F2" w:rsidR="008A33C3" w:rsidRDefault="00C12882" w:rsidP="00D26658">
      <w:pPr>
        <w:spacing w:after="160" w:line="278" w:lineRule="auto"/>
        <w:rPr>
          <w:sz w:val="20"/>
          <w:szCs w:val="20"/>
        </w:rPr>
      </w:pPr>
      <w:r w:rsidRPr="00835298">
        <w:rPr>
          <w:sz w:val="20"/>
          <w:szCs w:val="20"/>
        </w:rPr>
        <w:t xml:space="preserve">Projekt vychází ze společné metodiky uplatňované </w:t>
      </w:r>
      <w:r w:rsidR="00645F49">
        <w:rPr>
          <w:sz w:val="20"/>
          <w:szCs w:val="20"/>
        </w:rPr>
        <w:t>napříč všemi trhy</w:t>
      </w:r>
      <w:r w:rsidR="0015221B">
        <w:rPr>
          <w:sz w:val="20"/>
          <w:szCs w:val="20"/>
        </w:rPr>
        <w:t xml:space="preserve">, kde </w:t>
      </w:r>
      <w:r w:rsidR="008A33C3" w:rsidRPr="008A33C3">
        <w:rPr>
          <w:sz w:val="20"/>
          <w:szCs w:val="20"/>
        </w:rPr>
        <w:t>skupin</w:t>
      </w:r>
      <w:r w:rsidR="0015221B">
        <w:rPr>
          <w:sz w:val="20"/>
          <w:szCs w:val="20"/>
        </w:rPr>
        <w:t>a</w:t>
      </w:r>
      <w:r w:rsidR="008A33C3" w:rsidRPr="008A33C3">
        <w:rPr>
          <w:sz w:val="20"/>
          <w:szCs w:val="20"/>
        </w:rPr>
        <w:t xml:space="preserve"> Netrisk Group</w:t>
      </w:r>
      <w:r w:rsidR="00D10CAA">
        <w:rPr>
          <w:sz w:val="20"/>
          <w:szCs w:val="20"/>
        </w:rPr>
        <w:t xml:space="preserve"> </w:t>
      </w:r>
      <w:r w:rsidR="0015221B">
        <w:rPr>
          <w:sz w:val="20"/>
          <w:szCs w:val="20"/>
        </w:rPr>
        <w:t xml:space="preserve">působí. </w:t>
      </w:r>
      <w:r w:rsidR="00271350" w:rsidRPr="00835298">
        <w:rPr>
          <w:sz w:val="20"/>
          <w:szCs w:val="20"/>
        </w:rPr>
        <w:t xml:space="preserve">Současně však </w:t>
      </w:r>
      <w:r w:rsidR="008A33C3" w:rsidRPr="008A33C3">
        <w:rPr>
          <w:sz w:val="20"/>
          <w:szCs w:val="20"/>
        </w:rPr>
        <w:t xml:space="preserve">zachovává lokální identitu </w:t>
      </w:r>
      <w:r w:rsidR="009468A0">
        <w:rPr>
          <w:sz w:val="20"/>
          <w:szCs w:val="20"/>
        </w:rPr>
        <w:t>a</w:t>
      </w:r>
      <w:r w:rsidR="008A33C3" w:rsidRPr="008A33C3">
        <w:rPr>
          <w:sz w:val="20"/>
          <w:szCs w:val="20"/>
        </w:rPr>
        <w:t xml:space="preserve"> nezávislost </w:t>
      </w:r>
      <w:r w:rsidR="000B5CB4">
        <w:rPr>
          <w:sz w:val="20"/>
          <w:szCs w:val="20"/>
        </w:rPr>
        <w:t>jednotlivých značek</w:t>
      </w:r>
      <w:r w:rsidR="00701B7C">
        <w:rPr>
          <w:sz w:val="20"/>
          <w:szCs w:val="20"/>
        </w:rPr>
        <w:t xml:space="preserve">. </w:t>
      </w:r>
      <w:r w:rsidR="00192800">
        <w:rPr>
          <w:sz w:val="20"/>
          <w:szCs w:val="20"/>
        </w:rPr>
        <w:t>V</w:t>
      </w:r>
      <w:r w:rsidR="00CF4470">
        <w:rPr>
          <w:sz w:val="20"/>
          <w:szCs w:val="20"/>
        </w:rPr>
        <w:t xml:space="preserve"> České republice </w:t>
      </w:r>
      <w:r w:rsidR="00416584">
        <w:rPr>
          <w:sz w:val="20"/>
          <w:szCs w:val="20"/>
        </w:rPr>
        <w:t>je</w:t>
      </w:r>
      <w:r w:rsidR="00B279AC">
        <w:rPr>
          <w:sz w:val="20"/>
          <w:szCs w:val="20"/>
        </w:rPr>
        <w:t xml:space="preserve"> </w:t>
      </w:r>
      <w:r w:rsidR="00D10CAA">
        <w:rPr>
          <w:sz w:val="20"/>
          <w:szCs w:val="20"/>
        </w:rPr>
        <w:t>Klik</w:t>
      </w:r>
      <w:r w:rsidR="00496370">
        <w:rPr>
          <w:sz w:val="20"/>
          <w:szCs w:val="20"/>
        </w:rPr>
        <w:t xml:space="preserve"> index </w:t>
      </w:r>
      <w:r w:rsidR="00112720" w:rsidRPr="00835298">
        <w:rPr>
          <w:sz w:val="20"/>
          <w:szCs w:val="20"/>
        </w:rPr>
        <w:t>dostupný</w:t>
      </w:r>
      <w:r w:rsidR="00112720">
        <w:rPr>
          <w:sz w:val="20"/>
          <w:szCs w:val="20"/>
        </w:rPr>
        <w:t xml:space="preserve"> </w:t>
      </w:r>
      <w:r w:rsidR="00B279AC">
        <w:rPr>
          <w:sz w:val="20"/>
          <w:szCs w:val="20"/>
        </w:rPr>
        <w:t xml:space="preserve">v nabídce </w:t>
      </w:r>
      <w:r w:rsidR="00C437B5">
        <w:rPr>
          <w:sz w:val="20"/>
          <w:szCs w:val="20"/>
        </w:rPr>
        <w:t>srov</w:t>
      </w:r>
      <w:r w:rsidR="00610248">
        <w:rPr>
          <w:sz w:val="20"/>
          <w:szCs w:val="20"/>
        </w:rPr>
        <w:t>návače</w:t>
      </w:r>
      <w:r w:rsidR="00B279AC">
        <w:rPr>
          <w:sz w:val="20"/>
          <w:szCs w:val="20"/>
        </w:rPr>
        <w:t xml:space="preserve"> Klik.cz</w:t>
      </w:r>
      <w:r w:rsidR="00610248">
        <w:rPr>
          <w:sz w:val="20"/>
          <w:szCs w:val="20"/>
        </w:rPr>
        <w:t>.</w:t>
      </w:r>
    </w:p>
    <w:p w14:paraId="2D3793B0" w14:textId="77777777" w:rsidR="008842B5" w:rsidRDefault="008842B5" w:rsidP="00E267C6">
      <w:pPr>
        <w:pStyle w:val="Zkladntext"/>
        <w:spacing w:before="240" w:line="276" w:lineRule="auto"/>
        <w:jc w:val="left"/>
        <w:rPr>
          <w:b/>
          <w:bCs/>
          <w:u w:val="single"/>
        </w:rPr>
      </w:pPr>
    </w:p>
    <w:p w14:paraId="3AADBF0C" w14:textId="54E340BE" w:rsidR="00476614" w:rsidRPr="00A011E4" w:rsidRDefault="00FA7F69" w:rsidP="00E267C6">
      <w:pPr>
        <w:pStyle w:val="Zkladntext"/>
        <w:spacing w:before="240" w:line="276" w:lineRule="auto"/>
        <w:jc w:val="left"/>
      </w:pPr>
      <w:r w:rsidRPr="00592469">
        <w:rPr>
          <w:b/>
          <w:bCs/>
          <w:u w:val="single"/>
        </w:rPr>
        <w:t>Kontakt pro média:</w:t>
      </w:r>
      <w:r>
        <w:rPr>
          <w:b/>
          <w:bCs/>
        </w:rPr>
        <w:br/>
        <w:t>Vladimíra Kolaříková</w:t>
      </w:r>
      <w:r>
        <w:br/>
      </w:r>
      <w:r w:rsidR="00476614" w:rsidRPr="00A011E4">
        <w:t xml:space="preserve">PR </w:t>
      </w:r>
      <w:r w:rsidR="00476614">
        <w:t>M</w:t>
      </w:r>
      <w:r w:rsidR="00476614" w:rsidRPr="00A011E4">
        <w:t>anager</w:t>
      </w:r>
      <w:r w:rsidR="00476614">
        <w:t>,</w:t>
      </w:r>
      <w:r w:rsidR="00476614" w:rsidRPr="00A011E4">
        <w:t xml:space="preserve"> Skupina Klik.cz</w:t>
      </w:r>
      <w:r w:rsidR="00476614">
        <w:br/>
        <w:t>tel.:</w:t>
      </w:r>
      <w:r w:rsidR="00476614">
        <w:rPr>
          <w:spacing w:val="-5"/>
        </w:rPr>
        <w:t xml:space="preserve"> </w:t>
      </w:r>
      <w:r w:rsidR="00476614">
        <w:t>+420</w:t>
      </w:r>
      <w:r w:rsidR="00476614">
        <w:rPr>
          <w:spacing w:val="-4"/>
        </w:rPr>
        <w:t xml:space="preserve"> </w:t>
      </w:r>
      <w:r w:rsidR="00476614">
        <w:t>602</w:t>
      </w:r>
      <w:r w:rsidR="00476614">
        <w:rPr>
          <w:spacing w:val="-1"/>
        </w:rPr>
        <w:t xml:space="preserve"> </w:t>
      </w:r>
      <w:r w:rsidR="00476614">
        <w:t>408</w:t>
      </w:r>
      <w:r w:rsidR="00476614">
        <w:rPr>
          <w:spacing w:val="-6"/>
        </w:rPr>
        <w:t> </w:t>
      </w:r>
      <w:r w:rsidR="00476614">
        <w:rPr>
          <w:spacing w:val="-5"/>
        </w:rPr>
        <w:t>539</w:t>
      </w:r>
      <w:r w:rsidR="00476614">
        <w:br/>
        <w:t>e-mail:</w:t>
      </w:r>
      <w:r w:rsidR="00476614">
        <w:rPr>
          <w:spacing w:val="-6"/>
        </w:rPr>
        <w:t xml:space="preserve"> </w:t>
      </w:r>
      <w:hyperlink r:id="rId9">
        <w:r w:rsidR="00476614">
          <w:rPr>
            <w:spacing w:val="-2"/>
            <w:u w:val="single"/>
          </w:rPr>
          <w:t>vladimira.kolarikova@klik.cz</w:t>
        </w:r>
      </w:hyperlink>
    </w:p>
    <w:p w14:paraId="368712B7" w14:textId="77777777" w:rsidR="00476614" w:rsidRDefault="00476614" w:rsidP="00476614">
      <w:pPr>
        <w:pStyle w:val="Zkladntext"/>
        <w:spacing w:line="276" w:lineRule="auto"/>
        <w:rPr>
          <w:b/>
          <w:bCs/>
        </w:rPr>
      </w:pPr>
    </w:p>
    <w:p w14:paraId="4AF12E32" w14:textId="77777777" w:rsidR="00476614" w:rsidRPr="00970E6D" w:rsidRDefault="00476614" w:rsidP="00476614">
      <w:pPr>
        <w:pStyle w:val="Zkladntext"/>
        <w:spacing w:line="276" w:lineRule="auto"/>
        <w:rPr>
          <w:b/>
          <w:bCs/>
          <w:szCs w:val="18"/>
        </w:rPr>
      </w:pPr>
      <w:r w:rsidRPr="00970E6D">
        <w:rPr>
          <w:b/>
          <w:bCs/>
          <w:szCs w:val="18"/>
        </w:rPr>
        <w:t>Skupina Klik.cz</w:t>
      </w:r>
    </w:p>
    <w:p w14:paraId="21861E58" w14:textId="77777777" w:rsidR="00476614" w:rsidRPr="00970E6D" w:rsidRDefault="00476614" w:rsidP="00476614">
      <w:pPr>
        <w:pStyle w:val="Zkladntext"/>
        <w:spacing w:before="120" w:line="276" w:lineRule="auto"/>
        <w:rPr>
          <w:szCs w:val="18"/>
        </w:rPr>
      </w:pPr>
      <w:r w:rsidRPr="00970E6D">
        <w:rPr>
          <w:szCs w:val="18"/>
        </w:rPr>
        <w:t>Sdružujeme přední české internetové srovnávače, díky kterým nabízíme poradenství a sjednávání produktů tak, abychom co nejlépe pomohli šetřit rodinné finance. Exkluzivní partnerství se všemi klíčovými finančními institucemi na českém trhu nám umožňuje nabídnout zákazníkům to nejvýhodnější řešení při zřizování povinného ručení, havarijního pojištění, pojištění domácnosti a nemovitosti, cestovního pojištění, životního pojištění, ale i při volbě půjček, hypoték a energií. To vše z</w:t>
      </w:r>
      <w:r>
        <w:rPr>
          <w:szCs w:val="18"/>
        </w:rPr>
        <w:t> </w:t>
      </w:r>
      <w:r w:rsidRPr="00970E6D">
        <w:rPr>
          <w:szCs w:val="18"/>
        </w:rPr>
        <w:t>pohodlí jejich domovů.</w:t>
      </w:r>
    </w:p>
    <w:p w14:paraId="3146C8D9" w14:textId="5220BC20" w:rsidR="00476614" w:rsidRPr="00970E6D" w:rsidRDefault="00476614" w:rsidP="00476614">
      <w:pPr>
        <w:pStyle w:val="Zkladntext"/>
        <w:spacing w:before="120" w:line="264" w:lineRule="auto"/>
        <w:rPr>
          <w:szCs w:val="18"/>
        </w:rPr>
      </w:pPr>
      <w:r w:rsidRPr="00970E6D">
        <w:rPr>
          <w:szCs w:val="18"/>
        </w:rPr>
        <w:t>Naše srovnávače vystupují jako samostatní zprostředkovatelé dle zákona o distribuci pojištění. Řídíme se zákonem o energetice a</w:t>
      </w:r>
      <w:r>
        <w:rPr>
          <w:szCs w:val="18"/>
        </w:rPr>
        <w:t> </w:t>
      </w:r>
      <w:r w:rsidRPr="00970E6D">
        <w:rPr>
          <w:szCs w:val="18"/>
        </w:rPr>
        <w:t>předpisy Energetického regulačního úřadu. Plníme roli objektivního a</w:t>
      </w:r>
      <w:r>
        <w:rPr>
          <w:szCs w:val="18"/>
        </w:rPr>
        <w:t> </w:t>
      </w:r>
      <w:r w:rsidRPr="00970E6D">
        <w:rPr>
          <w:szCs w:val="18"/>
        </w:rPr>
        <w:t>transparentního prostředníka, který je motivován k</w:t>
      </w:r>
      <w:r>
        <w:rPr>
          <w:szCs w:val="18"/>
        </w:rPr>
        <w:t> </w:t>
      </w:r>
      <w:r w:rsidRPr="00970E6D">
        <w:rPr>
          <w:szCs w:val="18"/>
        </w:rPr>
        <w:t>propagaci nejvhodnějšího produktu pro klienta bez ohledu na konečný výběr značky pojišťovny.</w:t>
      </w:r>
    </w:p>
    <w:p w14:paraId="6D4310B3" w14:textId="3B91D3CE" w:rsidR="00667EE5" w:rsidRPr="00667EE5" w:rsidRDefault="00476614" w:rsidP="00C30F1C">
      <w:pPr>
        <w:pStyle w:val="Zkladntext"/>
        <w:spacing w:before="120" w:line="264" w:lineRule="auto"/>
      </w:pPr>
      <w:r w:rsidRPr="00970E6D">
        <w:rPr>
          <w:szCs w:val="18"/>
        </w:rPr>
        <w:t>Součástí Skupiny Klik.cz jsou tyto klíčové srovnávače: Klik.cz, Srovnejto.cz, ePojisteni.cz, Tarifomat a</w:t>
      </w:r>
      <w:r>
        <w:rPr>
          <w:szCs w:val="18"/>
        </w:rPr>
        <w:t> </w:t>
      </w:r>
      <w:r w:rsidRPr="00970E6D">
        <w:rPr>
          <w:szCs w:val="18"/>
        </w:rPr>
        <w:t>Porovnej24.cz. Jsme součástí mezinárodní skupiny Netrisk Group, která kromě Česka provozuje srovnávače v</w:t>
      </w:r>
      <w:r>
        <w:rPr>
          <w:szCs w:val="18"/>
        </w:rPr>
        <w:t> </w:t>
      </w:r>
      <w:r w:rsidRPr="00970E6D">
        <w:rPr>
          <w:szCs w:val="18"/>
        </w:rPr>
        <w:t>dalších pěti evropských zemích</w:t>
      </w:r>
      <w:r>
        <w:rPr>
          <w:szCs w:val="18"/>
        </w:rPr>
        <w:t>:</w:t>
      </w:r>
      <w:r w:rsidRPr="00970E6D">
        <w:rPr>
          <w:szCs w:val="18"/>
        </w:rPr>
        <w:t xml:space="preserve"> na Slovensku, v</w:t>
      </w:r>
      <w:r>
        <w:rPr>
          <w:szCs w:val="18"/>
        </w:rPr>
        <w:t> </w:t>
      </w:r>
      <w:r w:rsidRPr="00970E6D">
        <w:rPr>
          <w:szCs w:val="18"/>
        </w:rPr>
        <w:t>Rakousku, Maďarsku, Polsku a Litvě.</w:t>
      </w:r>
      <w:r w:rsidR="00667EE5">
        <w:tab/>
      </w:r>
    </w:p>
    <w:sectPr w:rsidR="00667EE5" w:rsidRPr="00667EE5" w:rsidSect="005E69BE">
      <w:headerReference w:type="default" r:id="rId10"/>
      <w:footerReference w:type="default" r:id="rId11"/>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3F0C" w14:textId="77777777" w:rsidR="00C62DAF" w:rsidRDefault="00C62DAF" w:rsidP="005E69BE">
      <w:pPr>
        <w:spacing w:line="240" w:lineRule="auto"/>
      </w:pPr>
      <w:r>
        <w:separator/>
      </w:r>
    </w:p>
  </w:endnote>
  <w:endnote w:type="continuationSeparator" w:id="0">
    <w:p w14:paraId="626430BD" w14:textId="77777777" w:rsidR="00C62DAF" w:rsidRDefault="00C62DAF" w:rsidP="005E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Poppins Bold">
    <w:altName w:val="Poppins"/>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edra Sans Alt Std Light">
    <w:altName w:val="Calibri"/>
    <w:panose1 w:val="00000000000000000000"/>
    <w:charset w:val="00"/>
    <w:family w:val="modern"/>
    <w:notTrueType/>
    <w:pitch w:val="variable"/>
    <w:sig w:usb0="A000003F" w:usb1="5001E4FB" w:usb2="00000000" w:usb3="00000000" w:csb0="00000093" w:csb1="00000000"/>
  </w:font>
  <w:font w:name="Calibri">
    <w:panose1 w:val="020F0502020204030204"/>
    <w:charset w:val="EE"/>
    <w:family w:val="swiss"/>
    <w:pitch w:val="variable"/>
    <w:sig w:usb0="E4002EFF" w:usb1="C200247B" w:usb2="00000009" w:usb3="00000000" w:csb0="000001FF" w:csb1="00000000"/>
  </w:font>
  <w:font w:name="Fedra Sans Alt Std Medium">
    <w:altName w:val="Calibri"/>
    <w:panose1 w:val="00000000000000000000"/>
    <w:charset w:val="00"/>
    <w:family w:val="modern"/>
    <w:notTrueType/>
    <w:pitch w:val="variable"/>
    <w:sig w:usb0="E00002FF" w:usb1="5001E4FB" w:usb2="00000000" w:usb3="00000000" w:csb0="0000019F" w:csb1="00000000"/>
  </w:font>
  <w:font w:name="Quicksand">
    <w:altName w:val="Calibri"/>
    <w:charset w:val="EE"/>
    <w:family w:val="auto"/>
    <w:pitch w:val="variable"/>
    <w:sig w:usb0="2000000F" w:usb1="00000001"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64184" w14:textId="72FCEC31" w:rsidR="009F16E3" w:rsidRPr="009F16E3" w:rsidRDefault="005C02ED" w:rsidP="009F16E3">
    <w:pPr>
      <w:pStyle w:val="Zpat"/>
      <w:jc w:val="center"/>
      <w:rPr>
        <w:sz w:val="16"/>
        <w:szCs w:val="20"/>
      </w:rPr>
    </w:pPr>
    <w:r w:rsidRPr="005C02ED">
      <w:rPr>
        <w:noProof/>
      </w:rPr>
      <w:drawing>
        <wp:anchor distT="0" distB="0" distL="114300" distR="114300" simplePos="0" relativeHeight="251664384" behindDoc="0" locked="0" layoutInCell="1" allowOverlap="1" wp14:anchorId="6BFDF74E" wp14:editId="7813F33E">
          <wp:simplePos x="0" y="0"/>
          <wp:positionH relativeFrom="margin">
            <wp:posOffset>-19050</wp:posOffset>
          </wp:positionH>
          <wp:positionV relativeFrom="paragraph">
            <wp:posOffset>-204899</wp:posOffset>
          </wp:positionV>
          <wp:extent cx="6157722" cy="190445"/>
          <wp:effectExtent l="0" t="0" r="0" b="635"/>
          <wp:wrapNone/>
          <wp:docPr id="1287204318"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04318" name=""/>
                  <pic:cNvPicPr/>
                </pic:nvPicPr>
                <pic:blipFill>
                  <a:blip r:embed="rId1">
                    <a:extLst>
                      <a:ext uri="{96DAC541-7B7A-43D3-8B79-37D633B846F1}">
                        <asvg:svgBlip xmlns:asvg="http://schemas.microsoft.com/office/drawing/2016/SVG/main" r:embed="rId2"/>
                      </a:ext>
                    </a:extLst>
                  </a:blip>
                  <a:stretch>
                    <a:fillRect/>
                  </a:stretch>
                </pic:blipFill>
                <pic:spPr>
                  <a:xfrm>
                    <a:off x="0" y="0"/>
                    <a:ext cx="6157722" cy="190445"/>
                  </a:xfrm>
                  <a:prstGeom prst="rect">
                    <a:avLst/>
                  </a:prstGeom>
                </pic:spPr>
              </pic:pic>
            </a:graphicData>
          </a:graphic>
          <wp14:sizeRelH relativeFrom="margin">
            <wp14:pctWidth>0</wp14:pctWidth>
          </wp14:sizeRelH>
          <wp14:sizeRelV relativeFrom="margin">
            <wp14:pctHeight>0</wp14:pctHeight>
          </wp14:sizeRelV>
        </wp:anchor>
      </w:drawing>
    </w:r>
    <w:r w:rsidR="009F16E3" w:rsidRPr="009F16E3">
      <w:rPr>
        <w:sz w:val="16"/>
        <w:szCs w:val="20"/>
      </w:rPr>
      <w:t>Rohanské nábřeží 678/29, 186 00 Praha 8 - Karlín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EFC6" w14:textId="77777777" w:rsidR="00C62DAF" w:rsidRDefault="00C62DAF" w:rsidP="005E69BE">
      <w:pPr>
        <w:spacing w:line="240" w:lineRule="auto"/>
      </w:pPr>
      <w:r>
        <w:separator/>
      </w:r>
    </w:p>
  </w:footnote>
  <w:footnote w:type="continuationSeparator" w:id="0">
    <w:p w14:paraId="00588F80" w14:textId="77777777" w:rsidR="00C62DAF" w:rsidRDefault="00C62DAF" w:rsidP="005E6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318336367"/>
      <w:docPartObj>
        <w:docPartGallery w:val="Page Numbers (Top of Page)"/>
        <w:docPartUnique/>
      </w:docPartObj>
    </w:sdtPr>
    <w:sdtContent>
      <w:p w14:paraId="7DF950EC" w14:textId="368D1022" w:rsidR="002C02E4" w:rsidRPr="005C02ED" w:rsidRDefault="00C61BB3">
        <w:pPr>
          <w:pStyle w:val="Zhlav"/>
          <w:jc w:val="right"/>
          <w:rPr>
            <w:szCs w:val="18"/>
          </w:rPr>
        </w:pPr>
        <w:r w:rsidRPr="005C02ED">
          <w:rPr>
            <w:noProof/>
            <w:szCs w:val="18"/>
          </w:rPr>
          <w:drawing>
            <wp:anchor distT="0" distB="0" distL="114300" distR="114300" simplePos="0" relativeHeight="251663360" behindDoc="0" locked="0" layoutInCell="1" allowOverlap="1" wp14:anchorId="6BA586DA" wp14:editId="24084EB8">
              <wp:simplePos x="0" y="0"/>
              <wp:positionH relativeFrom="column">
                <wp:posOffset>10700</wp:posOffset>
              </wp:positionH>
              <wp:positionV relativeFrom="paragraph">
                <wp:posOffset>194310</wp:posOffset>
              </wp:positionV>
              <wp:extent cx="1490205" cy="184150"/>
              <wp:effectExtent l="0" t="0" r="0" b="6350"/>
              <wp:wrapNone/>
              <wp:docPr id="45326295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95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490205" cy="184150"/>
                      </a:xfrm>
                      <a:prstGeom prst="rect">
                        <a:avLst/>
                      </a:prstGeom>
                    </pic:spPr>
                  </pic:pic>
                </a:graphicData>
              </a:graphic>
              <wp14:sizeRelH relativeFrom="margin">
                <wp14:pctWidth>0</wp14:pctWidth>
              </wp14:sizeRelH>
              <wp14:sizeRelV relativeFrom="margin">
                <wp14:pctHeight>0</wp14:pctHeight>
              </wp14:sizeRelV>
            </wp:anchor>
          </w:drawing>
        </w:r>
      </w:p>
      <w:p w14:paraId="509FE4CA" w14:textId="705CE368" w:rsidR="00862E1A" w:rsidRPr="005C02ED" w:rsidRDefault="00862E1A">
        <w:pPr>
          <w:pStyle w:val="Zhlav"/>
          <w:jc w:val="right"/>
          <w:rPr>
            <w:szCs w:val="18"/>
          </w:rPr>
        </w:pPr>
        <w:r w:rsidRPr="005C02ED">
          <w:rPr>
            <w:szCs w:val="18"/>
          </w:rPr>
          <w:fldChar w:fldCharType="begin"/>
        </w:r>
        <w:r w:rsidRPr="005C02ED">
          <w:rPr>
            <w:szCs w:val="18"/>
          </w:rPr>
          <w:instrText>PAGE</w:instrText>
        </w:r>
        <w:r w:rsidRPr="005C02ED">
          <w:rPr>
            <w:szCs w:val="18"/>
          </w:rPr>
          <w:fldChar w:fldCharType="separate"/>
        </w:r>
        <w:r w:rsidRPr="005C02ED">
          <w:rPr>
            <w:szCs w:val="18"/>
          </w:rPr>
          <w:t>2</w:t>
        </w:r>
        <w:r w:rsidRPr="005C02ED">
          <w:rPr>
            <w:szCs w:val="18"/>
          </w:rPr>
          <w:fldChar w:fldCharType="end"/>
        </w:r>
        <w:r w:rsidRPr="005C02ED">
          <w:rPr>
            <w:color w:val="E5087D"/>
            <w:szCs w:val="18"/>
          </w:rPr>
          <w:t>/</w:t>
        </w:r>
        <w:r w:rsidRPr="005C02ED">
          <w:rPr>
            <w:szCs w:val="18"/>
          </w:rPr>
          <w:fldChar w:fldCharType="begin"/>
        </w:r>
        <w:r w:rsidRPr="005C02ED">
          <w:rPr>
            <w:szCs w:val="18"/>
          </w:rPr>
          <w:instrText>NUMPAGES</w:instrText>
        </w:r>
        <w:r w:rsidRPr="005C02ED">
          <w:rPr>
            <w:szCs w:val="18"/>
          </w:rPr>
          <w:fldChar w:fldCharType="separate"/>
        </w:r>
        <w:r w:rsidRPr="005C02ED">
          <w:rPr>
            <w:szCs w:val="18"/>
          </w:rPr>
          <w:t>2</w:t>
        </w:r>
        <w:r w:rsidRPr="005C02ED">
          <w:rPr>
            <w:szCs w:val="18"/>
          </w:rPr>
          <w:fldChar w:fldCharType="end"/>
        </w:r>
      </w:p>
    </w:sdtContent>
  </w:sdt>
  <w:p w14:paraId="29DBBA6B" w14:textId="03CFDAEB" w:rsidR="005E69BE" w:rsidRPr="005C02ED" w:rsidRDefault="005E69BE">
    <w:pPr>
      <w:pStyle w:val="Zhlav"/>
      <w:rPr>
        <w:sz w:val="2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1C13"/>
    <w:multiLevelType w:val="multilevel"/>
    <w:tmpl w:val="032CFAA6"/>
    <w:lvl w:ilvl="0">
      <w:start w:val="1"/>
      <w:numFmt w:val="decimal"/>
      <w:pStyle w:val="Odrka1"/>
      <w:lvlText w:val="%1."/>
      <w:lvlJc w:val="left"/>
      <w:pPr>
        <w:ind w:left="360" w:hanging="360"/>
      </w:pPr>
      <w:rPr>
        <w:rFonts w:hint="default"/>
        <w:b/>
        <w:bCs/>
        <w:caps w:val="0"/>
        <w:strike w:val="0"/>
        <w:dstrike w:val="0"/>
        <w:color w:val="E5087D"/>
        <w:sz w:val="20"/>
        <w:szCs w:val="20"/>
        <w:vertAlign w:val="baseline"/>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F01D69"/>
    <w:multiLevelType w:val="multilevel"/>
    <w:tmpl w:val="152C7B84"/>
    <w:lvl w:ilvl="0">
      <w:start w:val="1"/>
      <w:numFmt w:val="decimal"/>
      <w:lvlText w:val="%1."/>
      <w:lvlJc w:val="left"/>
      <w:pPr>
        <w:tabs>
          <w:tab w:val="num" w:pos="720"/>
        </w:tabs>
        <w:ind w:left="720" w:hanging="720"/>
      </w:pPr>
    </w:lvl>
    <w:lvl w:ilvl="1">
      <w:start w:val="1"/>
      <w:numFmt w:val="decimal"/>
      <w:pStyle w:val="Odrk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D9F11D4"/>
    <w:multiLevelType w:val="hybridMultilevel"/>
    <w:tmpl w:val="6CEE69D4"/>
    <w:lvl w:ilvl="0" w:tplc="5A5874D6">
      <w:start w:val="1"/>
      <w:numFmt w:val="bullet"/>
      <w:lvlText w:val=""/>
      <w:lvlJc w:val="left"/>
      <w:pPr>
        <w:ind w:left="360" w:hanging="360"/>
      </w:pPr>
      <w:rPr>
        <w:rFonts w:ascii="Wingdings" w:hAnsi="Wingdings" w:hint="default"/>
        <w:color w:val="B8A875"/>
        <w:sz w:val="10"/>
      </w:rPr>
    </w:lvl>
    <w:lvl w:ilvl="1" w:tplc="FFFFFFFF" w:tentative="1">
      <w:start w:val="1"/>
      <w:numFmt w:val="bullet"/>
      <w:lvlText w:val="o"/>
      <w:lvlJc w:val="left"/>
      <w:pPr>
        <w:ind w:left="796" w:hanging="360"/>
      </w:pPr>
      <w:rPr>
        <w:rFonts w:ascii="Courier New" w:hAnsi="Courier New" w:cs="Courier New" w:hint="default"/>
      </w:rPr>
    </w:lvl>
    <w:lvl w:ilvl="2" w:tplc="FFFFFFFF" w:tentative="1">
      <w:start w:val="1"/>
      <w:numFmt w:val="bullet"/>
      <w:lvlText w:val=""/>
      <w:lvlJc w:val="left"/>
      <w:pPr>
        <w:ind w:left="1516" w:hanging="360"/>
      </w:pPr>
      <w:rPr>
        <w:rFonts w:ascii="Wingdings" w:hAnsi="Wingdings" w:hint="default"/>
      </w:rPr>
    </w:lvl>
    <w:lvl w:ilvl="3" w:tplc="FFFFFFFF" w:tentative="1">
      <w:start w:val="1"/>
      <w:numFmt w:val="bullet"/>
      <w:lvlText w:val=""/>
      <w:lvlJc w:val="left"/>
      <w:pPr>
        <w:ind w:left="2236" w:hanging="360"/>
      </w:pPr>
      <w:rPr>
        <w:rFonts w:ascii="Symbol" w:hAnsi="Symbol" w:hint="default"/>
      </w:rPr>
    </w:lvl>
    <w:lvl w:ilvl="4" w:tplc="FFFFFFFF" w:tentative="1">
      <w:start w:val="1"/>
      <w:numFmt w:val="bullet"/>
      <w:lvlText w:val="o"/>
      <w:lvlJc w:val="left"/>
      <w:pPr>
        <w:ind w:left="2956" w:hanging="360"/>
      </w:pPr>
      <w:rPr>
        <w:rFonts w:ascii="Courier New" w:hAnsi="Courier New" w:cs="Courier New" w:hint="default"/>
      </w:rPr>
    </w:lvl>
    <w:lvl w:ilvl="5" w:tplc="FFFFFFFF" w:tentative="1">
      <w:start w:val="1"/>
      <w:numFmt w:val="bullet"/>
      <w:lvlText w:val=""/>
      <w:lvlJc w:val="left"/>
      <w:pPr>
        <w:ind w:left="3676" w:hanging="360"/>
      </w:pPr>
      <w:rPr>
        <w:rFonts w:ascii="Wingdings" w:hAnsi="Wingdings" w:hint="default"/>
      </w:rPr>
    </w:lvl>
    <w:lvl w:ilvl="6" w:tplc="FFFFFFFF" w:tentative="1">
      <w:start w:val="1"/>
      <w:numFmt w:val="bullet"/>
      <w:lvlText w:val=""/>
      <w:lvlJc w:val="left"/>
      <w:pPr>
        <w:ind w:left="4396" w:hanging="360"/>
      </w:pPr>
      <w:rPr>
        <w:rFonts w:ascii="Symbol" w:hAnsi="Symbol" w:hint="default"/>
      </w:rPr>
    </w:lvl>
    <w:lvl w:ilvl="7" w:tplc="FFFFFFFF" w:tentative="1">
      <w:start w:val="1"/>
      <w:numFmt w:val="bullet"/>
      <w:lvlText w:val="o"/>
      <w:lvlJc w:val="left"/>
      <w:pPr>
        <w:ind w:left="5116" w:hanging="360"/>
      </w:pPr>
      <w:rPr>
        <w:rFonts w:ascii="Courier New" w:hAnsi="Courier New" w:cs="Courier New" w:hint="default"/>
      </w:rPr>
    </w:lvl>
    <w:lvl w:ilvl="8" w:tplc="FFFFFFFF" w:tentative="1">
      <w:start w:val="1"/>
      <w:numFmt w:val="bullet"/>
      <w:lvlText w:val=""/>
      <w:lvlJc w:val="left"/>
      <w:pPr>
        <w:ind w:left="5836" w:hanging="360"/>
      </w:pPr>
      <w:rPr>
        <w:rFonts w:ascii="Wingdings" w:hAnsi="Wingdings" w:hint="default"/>
      </w:rPr>
    </w:lvl>
  </w:abstractNum>
  <w:abstractNum w:abstractNumId="3" w15:restartNumberingAfterBreak="0">
    <w:nsid w:val="6B072B96"/>
    <w:multiLevelType w:val="multilevel"/>
    <w:tmpl w:val="820A2B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140664">
    <w:abstractNumId w:val="2"/>
  </w:num>
  <w:num w:numId="2" w16cid:durableId="229508072">
    <w:abstractNumId w:val="0"/>
  </w:num>
  <w:num w:numId="3" w16cid:durableId="1338994047">
    <w:abstractNumId w:val="3"/>
  </w:num>
  <w:num w:numId="4" w16cid:durableId="1826235833">
    <w:abstractNumId w:val="1"/>
  </w:num>
  <w:num w:numId="5" w16cid:durableId="41675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9BE"/>
    <w:rsid w:val="00003207"/>
    <w:rsid w:val="00005889"/>
    <w:rsid w:val="00012325"/>
    <w:rsid w:val="0001378D"/>
    <w:rsid w:val="000149F9"/>
    <w:rsid w:val="00014FE6"/>
    <w:rsid w:val="00024B7C"/>
    <w:rsid w:val="000571E9"/>
    <w:rsid w:val="0006018E"/>
    <w:rsid w:val="000766D9"/>
    <w:rsid w:val="00087A72"/>
    <w:rsid w:val="000B5210"/>
    <w:rsid w:val="000B5CB4"/>
    <w:rsid w:val="000C69A4"/>
    <w:rsid w:val="000C7545"/>
    <w:rsid w:val="000D0517"/>
    <w:rsid w:val="000D638B"/>
    <w:rsid w:val="000F2FAD"/>
    <w:rsid w:val="000F312C"/>
    <w:rsid w:val="000F3CBF"/>
    <w:rsid w:val="000F5289"/>
    <w:rsid w:val="000F566A"/>
    <w:rsid w:val="001017A8"/>
    <w:rsid w:val="001053A0"/>
    <w:rsid w:val="00112720"/>
    <w:rsid w:val="00121C9D"/>
    <w:rsid w:val="00124D95"/>
    <w:rsid w:val="00127721"/>
    <w:rsid w:val="001304FA"/>
    <w:rsid w:val="001357FB"/>
    <w:rsid w:val="00136C71"/>
    <w:rsid w:val="00141E8C"/>
    <w:rsid w:val="0015221B"/>
    <w:rsid w:val="00153EA4"/>
    <w:rsid w:val="00154C0B"/>
    <w:rsid w:val="00183791"/>
    <w:rsid w:val="00184EC9"/>
    <w:rsid w:val="00192800"/>
    <w:rsid w:val="00193BE7"/>
    <w:rsid w:val="001B249F"/>
    <w:rsid w:val="001C2B6B"/>
    <w:rsid w:val="001D2FB3"/>
    <w:rsid w:val="001D3272"/>
    <w:rsid w:val="001D498C"/>
    <w:rsid w:val="001D63B2"/>
    <w:rsid w:val="001E53B3"/>
    <w:rsid w:val="001F379C"/>
    <w:rsid w:val="001F3C9D"/>
    <w:rsid w:val="001F6F3D"/>
    <w:rsid w:val="0021528B"/>
    <w:rsid w:val="00221B15"/>
    <w:rsid w:val="00225178"/>
    <w:rsid w:val="002263AE"/>
    <w:rsid w:val="0023452C"/>
    <w:rsid w:val="00237E61"/>
    <w:rsid w:val="00243B93"/>
    <w:rsid w:val="0025681B"/>
    <w:rsid w:val="00260B77"/>
    <w:rsid w:val="002616EA"/>
    <w:rsid w:val="00264EFD"/>
    <w:rsid w:val="00266E8A"/>
    <w:rsid w:val="00271350"/>
    <w:rsid w:val="002746E9"/>
    <w:rsid w:val="00277A2B"/>
    <w:rsid w:val="0029306C"/>
    <w:rsid w:val="0029448D"/>
    <w:rsid w:val="002B48FB"/>
    <w:rsid w:val="002B586C"/>
    <w:rsid w:val="002C02E4"/>
    <w:rsid w:val="002C0B40"/>
    <w:rsid w:val="002C39AB"/>
    <w:rsid w:val="002D0EF0"/>
    <w:rsid w:val="002D4DF8"/>
    <w:rsid w:val="002D75C4"/>
    <w:rsid w:val="002F07ED"/>
    <w:rsid w:val="002F1D20"/>
    <w:rsid w:val="00303336"/>
    <w:rsid w:val="00312D54"/>
    <w:rsid w:val="00313353"/>
    <w:rsid w:val="0033218C"/>
    <w:rsid w:val="00333E19"/>
    <w:rsid w:val="00340121"/>
    <w:rsid w:val="00352F3E"/>
    <w:rsid w:val="003642DB"/>
    <w:rsid w:val="00366D82"/>
    <w:rsid w:val="0037378C"/>
    <w:rsid w:val="0037528B"/>
    <w:rsid w:val="00376731"/>
    <w:rsid w:val="00383BCE"/>
    <w:rsid w:val="00384513"/>
    <w:rsid w:val="00397EA4"/>
    <w:rsid w:val="003A6678"/>
    <w:rsid w:val="003A6E8D"/>
    <w:rsid w:val="003A7208"/>
    <w:rsid w:val="003B2065"/>
    <w:rsid w:val="003B3DBC"/>
    <w:rsid w:val="003B50D5"/>
    <w:rsid w:val="003C5CA3"/>
    <w:rsid w:val="003C7043"/>
    <w:rsid w:val="003D0CFC"/>
    <w:rsid w:val="003D3361"/>
    <w:rsid w:val="003D4504"/>
    <w:rsid w:val="003D6864"/>
    <w:rsid w:val="003E5D8D"/>
    <w:rsid w:val="003F00EF"/>
    <w:rsid w:val="003F092A"/>
    <w:rsid w:val="00403D1C"/>
    <w:rsid w:val="00416584"/>
    <w:rsid w:val="004354CE"/>
    <w:rsid w:val="0044341C"/>
    <w:rsid w:val="004456CF"/>
    <w:rsid w:val="00445C38"/>
    <w:rsid w:val="004500AC"/>
    <w:rsid w:val="00453087"/>
    <w:rsid w:val="004649A8"/>
    <w:rsid w:val="00472F97"/>
    <w:rsid w:val="00476614"/>
    <w:rsid w:val="00480A3E"/>
    <w:rsid w:val="00481EC7"/>
    <w:rsid w:val="0048655A"/>
    <w:rsid w:val="00494A53"/>
    <w:rsid w:val="00496370"/>
    <w:rsid w:val="004A025C"/>
    <w:rsid w:val="004A5D93"/>
    <w:rsid w:val="004B602B"/>
    <w:rsid w:val="004B6AB1"/>
    <w:rsid w:val="004C201A"/>
    <w:rsid w:val="004C3BC2"/>
    <w:rsid w:val="004D1F7F"/>
    <w:rsid w:val="004D576A"/>
    <w:rsid w:val="004E38AD"/>
    <w:rsid w:val="004E5842"/>
    <w:rsid w:val="004E63FA"/>
    <w:rsid w:val="00512F10"/>
    <w:rsid w:val="00521F96"/>
    <w:rsid w:val="00527FBE"/>
    <w:rsid w:val="005317AB"/>
    <w:rsid w:val="00534CD7"/>
    <w:rsid w:val="005426F0"/>
    <w:rsid w:val="0055296C"/>
    <w:rsid w:val="00552BE0"/>
    <w:rsid w:val="00554509"/>
    <w:rsid w:val="00560484"/>
    <w:rsid w:val="00563760"/>
    <w:rsid w:val="00563969"/>
    <w:rsid w:val="00564F72"/>
    <w:rsid w:val="005666C3"/>
    <w:rsid w:val="00577C4F"/>
    <w:rsid w:val="0058172B"/>
    <w:rsid w:val="00581AFF"/>
    <w:rsid w:val="00584CB1"/>
    <w:rsid w:val="005851A3"/>
    <w:rsid w:val="00586BDF"/>
    <w:rsid w:val="00592469"/>
    <w:rsid w:val="00595A89"/>
    <w:rsid w:val="005A2E02"/>
    <w:rsid w:val="005A2E60"/>
    <w:rsid w:val="005C02ED"/>
    <w:rsid w:val="005D45E6"/>
    <w:rsid w:val="005E69BE"/>
    <w:rsid w:val="005F2A31"/>
    <w:rsid w:val="005F6445"/>
    <w:rsid w:val="006075DC"/>
    <w:rsid w:val="00610248"/>
    <w:rsid w:val="0061046D"/>
    <w:rsid w:val="00610F2A"/>
    <w:rsid w:val="00615CD9"/>
    <w:rsid w:val="00615FB3"/>
    <w:rsid w:val="006176FB"/>
    <w:rsid w:val="00623D4C"/>
    <w:rsid w:val="0062767F"/>
    <w:rsid w:val="00641C4C"/>
    <w:rsid w:val="00645F49"/>
    <w:rsid w:val="00646898"/>
    <w:rsid w:val="0065494F"/>
    <w:rsid w:val="00662AE2"/>
    <w:rsid w:val="00667EE5"/>
    <w:rsid w:val="00670BBC"/>
    <w:rsid w:val="006714D6"/>
    <w:rsid w:val="00673F12"/>
    <w:rsid w:val="00673F61"/>
    <w:rsid w:val="0068277F"/>
    <w:rsid w:val="00686EC2"/>
    <w:rsid w:val="00691111"/>
    <w:rsid w:val="006976B0"/>
    <w:rsid w:val="006B0543"/>
    <w:rsid w:val="006B22F0"/>
    <w:rsid w:val="006D166E"/>
    <w:rsid w:val="006D6EC5"/>
    <w:rsid w:val="006F547A"/>
    <w:rsid w:val="006F7955"/>
    <w:rsid w:val="0070148D"/>
    <w:rsid w:val="00701B7C"/>
    <w:rsid w:val="00706951"/>
    <w:rsid w:val="00707DDA"/>
    <w:rsid w:val="0071371F"/>
    <w:rsid w:val="00727CC8"/>
    <w:rsid w:val="00735552"/>
    <w:rsid w:val="00763B27"/>
    <w:rsid w:val="007763FC"/>
    <w:rsid w:val="0078092E"/>
    <w:rsid w:val="007827A5"/>
    <w:rsid w:val="00785309"/>
    <w:rsid w:val="0079134B"/>
    <w:rsid w:val="007A168F"/>
    <w:rsid w:val="007A3A58"/>
    <w:rsid w:val="007B4565"/>
    <w:rsid w:val="007C0DD5"/>
    <w:rsid w:val="007E10D7"/>
    <w:rsid w:val="007E5663"/>
    <w:rsid w:val="0080431D"/>
    <w:rsid w:val="0080647B"/>
    <w:rsid w:val="0080699E"/>
    <w:rsid w:val="00817FBE"/>
    <w:rsid w:val="008324F2"/>
    <w:rsid w:val="00835298"/>
    <w:rsid w:val="00836E9F"/>
    <w:rsid w:val="00844115"/>
    <w:rsid w:val="00844D51"/>
    <w:rsid w:val="00862E1A"/>
    <w:rsid w:val="00870AF4"/>
    <w:rsid w:val="00877505"/>
    <w:rsid w:val="00880280"/>
    <w:rsid w:val="008825CB"/>
    <w:rsid w:val="008829FC"/>
    <w:rsid w:val="00883D7A"/>
    <w:rsid w:val="008842B5"/>
    <w:rsid w:val="00890436"/>
    <w:rsid w:val="00895EB1"/>
    <w:rsid w:val="008A33C3"/>
    <w:rsid w:val="008A3532"/>
    <w:rsid w:val="008D0865"/>
    <w:rsid w:val="008E0B2E"/>
    <w:rsid w:val="008E2ABF"/>
    <w:rsid w:val="008E6122"/>
    <w:rsid w:val="008F00C5"/>
    <w:rsid w:val="008F4444"/>
    <w:rsid w:val="008F49CD"/>
    <w:rsid w:val="00901F85"/>
    <w:rsid w:val="00914398"/>
    <w:rsid w:val="0092036B"/>
    <w:rsid w:val="00924382"/>
    <w:rsid w:val="009328D8"/>
    <w:rsid w:val="009452BA"/>
    <w:rsid w:val="009468A0"/>
    <w:rsid w:val="009665AD"/>
    <w:rsid w:val="00971B8F"/>
    <w:rsid w:val="00974974"/>
    <w:rsid w:val="00985BC7"/>
    <w:rsid w:val="00987ACC"/>
    <w:rsid w:val="0099599E"/>
    <w:rsid w:val="009A0639"/>
    <w:rsid w:val="009A5269"/>
    <w:rsid w:val="009B66E9"/>
    <w:rsid w:val="009D269F"/>
    <w:rsid w:val="009D6615"/>
    <w:rsid w:val="009D7975"/>
    <w:rsid w:val="009D79FE"/>
    <w:rsid w:val="009D7BD2"/>
    <w:rsid w:val="009E0861"/>
    <w:rsid w:val="009E2C41"/>
    <w:rsid w:val="009E337E"/>
    <w:rsid w:val="009F16E3"/>
    <w:rsid w:val="009F6EE2"/>
    <w:rsid w:val="00A07DF6"/>
    <w:rsid w:val="00A12BB3"/>
    <w:rsid w:val="00A20BA6"/>
    <w:rsid w:val="00A23506"/>
    <w:rsid w:val="00A44381"/>
    <w:rsid w:val="00A444B9"/>
    <w:rsid w:val="00A45D3A"/>
    <w:rsid w:val="00A63241"/>
    <w:rsid w:val="00A64334"/>
    <w:rsid w:val="00A66334"/>
    <w:rsid w:val="00A6791F"/>
    <w:rsid w:val="00A72B6E"/>
    <w:rsid w:val="00A72CD5"/>
    <w:rsid w:val="00A76B8A"/>
    <w:rsid w:val="00A825CD"/>
    <w:rsid w:val="00AB4A03"/>
    <w:rsid w:val="00AC4F16"/>
    <w:rsid w:val="00AD162F"/>
    <w:rsid w:val="00AE120D"/>
    <w:rsid w:val="00AE5323"/>
    <w:rsid w:val="00AF7387"/>
    <w:rsid w:val="00B00BED"/>
    <w:rsid w:val="00B04FFA"/>
    <w:rsid w:val="00B05DE1"/>
    <w:rsid w:val="00B063DD"/>
    <w:rsid w:val="00B1430F"/>
    <w:rsid w:val="00B21FE1"/>
    <w:rsid w:val="00B279AC"/>
    <w:rsid w:val="00B431BF"/>
    <w:rsid w:val="00B75F88"/>
    <w:rsid w:val="00B80DA2"/>
    <w:rsid w:val="00BA12AA"/>
    <w:rsid w:val="00BA260C"/>
    <w:rsid w:val="00BA38F7"/>
    <w:rsid w:val="00BC6523"/>
    <w:rsid w:val="00BC66FA"/>
    <w:rsid w:val="00BC7B01"/>
    <w:rsid w:val="00BD4306"/>
    <w:rsid w:val="00BE5BBB"/>
    <w:rsid w:val="00BF51D2"/>
    <w:rsid w:val="00C12882"/>
    <w:rsid w:val="00C2062C"/>
    <w:rsid w:val="00C2483C"/>
    <w:rsid w:val="00C2676B"/>
    <w:rsid w:val="00C27D3E"/>
    <w:rsid w:val="00C30F1C"/>
    <w:rsid w:val="00C32AF8"/>
    <w:rsid w:val="00C33A41"/>
    <w:rsid w:val="00C42659"/>
    <w:rsid w:val="00C429F9"/>
    <w:rsid w:val="00C43721"/>
    <w:rsid w:val="00C437B5"/>
    <w:rsid w:val="00C462D9"/>
    <w:rsid w:val="00C4690F"/>
    <w:rsid w:val="00C50E17"/>
    <w:rsid w:val="00C52093"/>
    <w:rsid w:val="00C52A49"/>
    <w:rsid w:val="00C600A6"/>
    <w:rsid w:val="00C607DB"/>
    <w:rsid w:val="00C61BB3"/>
    <w:rsid w:val="00C62CE4"/>
    <w:rsid w:val="00C62DAF"/>
    <w:rsid w:val="00CA04D5"/>
    <w:rsid w:val="00CA68FE"/>
    <w:rsid w:val="00CB39D8"/>
    <w:rsid w:val="00CC1FDF"/>
    <w:rsid w:val="00CD375E"/>
    <w:rsid w:val="00CE50B6"/>
    <w:rsid w:val="00CF43AA"/>
    <w:rsid w:val="00CF4470"/>
    <w:rsid w:val="00CF475A"/>
    <w:rsid w:val="00D00F18"/>
    <w:rsid w:val="00D01A60"/>
    <w:rsid w:val="00D05DE1"/>
    <w:rsid w:val="00D10236"/>
    <w:rsid w:val="00D10CAA"/>
    <w:rsid w:val="00D123A7"/>
    <w:rsid w:val="00D159EE"/>
    <w:rsid w:val="00D26658"/>
    <w:rsid w:val="00D3231E"/>
    <w:rsid w:val="00D43CE8"/>
    <w:rsid w:val="00D57F02"/>
    <w:rsid w:val="00D63B2A"/>
    <w:rsid w:val="00D665B9"/>
    <w:rsid w:val="00D81F44"/>
    <w:rsid w:val="00D84B78"/>
    <w:rsid w:val="00D87995"/>
    <w:rsid w:val="00D94210"/>
    <w:rsid w:val="00DA5D84"/>
    <w:rsid w:val="00DA742B"/>
    <w:rsid w:val="00DB6325"/>
    <w:rsid w:val="00DB6AC8"/>
    <w:rsid w:val="00DC2BB0"/>
    <w:rsid w:val="00DD244B"/>
    <w:rsid w:val="00DE1593"/>
    <w:rsid w:val="00DE75D0"/>
    <w:rsid w:val="00E0582C"/>
    <w:rsid w:val="00E060E6"/>
    <w:rsid w:val="00E12C76"/>
    <w:rsid w:val="00E267C6"/>
    <w:rsid w:val="00E30557"/>
    <w:rsid w:val="00E52A5B"/>
    <w:rsid w:val="00E54129"/>
    <w:rsid w:val="00E55677"/>
    <w:rsid w:val="00E6213C"/>
    <w:rsid w:val="00E64602"/>
    <w:rsid w:val="00E876C9"/>
    <w:rsid w:val="00EA0801"/>
    <w:rsid w:val="00EA5FED"/>
    <w:rsid w:val="00EA7D0D"/>
    <w:rsid w:val="00EB4773"/>
    <w:rsid w:val="00EC173C"/>
    <w:rsid w:val="00EC29AA"/>
    <w:rsid w:val="00EC7498"/>
    <w:rsid w:val="00EE0982"/>
    <w:rsid w:val="00EF3907"/>
    <w:rsid w:val="00F05BD1"/>
    <w:rsid w:val="00F10FA8"/>
    <w:rsid w:val="00F1232F"/>
    <w:rsid w:val="00F30238"/>
    <w:rsid w:val="00F31533"/>
    <w:rsid w:val="00F341D2"/>
    <w:rsid w:val="00F36F3C"/>
    <w:rsid w:val="00F37CA4"/>
    <w:rsid w:val="00F37FDB"/>
    <w:rsid w:val="00F40DDD"/>
    <w:rsid w:val="00F416B3"/>
    <w:rsid w:val="00F5101B"/>
    <w:rsid w:val="00F55013"/>
    <w:rsid w:val="00F6009F"/>
    <w:rsid w:val="00F6515F"/>
    <w:rsid w:val="00F67269"/>
    <w:rsid w:val="00F7548A"/>
    <w:rsid w:val="00F755DA"/>
    <w:rsid w:val="00F75B96"/>
    <w:rsid w:val="00F773DE"/>
    <w:rsid w:val="00F818B3"/>
    <w:rsid w:val="00F83A6D"/>
    <w:rsid w:val="00F94AF7"/>
    <w:rsid w:val="00F97324"/>
    <w:rsid w:val="00F9758D"/>
    <w:rsid w:val="00FA18A5"/>
    <w:rsid w:val="00FA7F69"/>
    <w:rsid w:val="00FB1628"/>
    <w:rsid w:val="00FC0035"/>
    <w:rsid w:val="00FC05EF"/>
    <w:rsid w:val="00FD5810"/>
    <w:rsid w:val="00FE24D7"/>
    <w:rsid w:val="0D378351"/>
    <w:rsid w:val="1C224F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6DD4E"/>
  <w15:chartTrackingRefBased/>
  <w15:docId w15:val="{D8422409-1B48-44F0-997A-6B2AFB99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7"/>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6E3"/>
    <w:pPr>
      <w:spacing w:line="320" w:lineRule="exact"/>
      <w:jc w:val="both"/>
    </w:pPr>
    <w:rPr>
      <w:rFonts w:ascii="Poppins" w:hAnsi="Poppins"/>
      <w:color w:val="3F3F3F"/>
      <w:kern w:val="0"/>
      <w:sz w:val="18"/>
    </w:rPr>
  </w:style>
  <w:style w:type="paragraph" w:styleId="Nadpis1">
    <w:name w:val="heading 1"/>
    <w:link w:val="Nadpis1Char"/>
    <w:uiPriority w:val="9"/>
    <w:qFormat/>
    <w:rsid w:val="009F16E3"/>
    <w:pPr>
      <w:keepNext/>
      <w:keepLines/>
      <w:spacing w:before="200" w:after="100"/>
      <w:contextualSpacing/>
      <w:outlineLvl w:val="0"/>
    </w:pPr>
    <w:rPr>
      <w:rFonts w:ascii="Poppins Bold" w:eastAsiaTheme="majorEastAsia" w:hAnsi="Poppins Bold" w:cstheme="majorBidi"/>
      <w:color w:val="000000" w:themeColor="text1"/>
      <w:sz w:val="32"/>
      <w:szCs w:val="40"/>
    </w:rPr>
  </w:style>
  <w:style w:type="paragraph" w:styleId="Nadpis2">
    <w:name w:val="heading 2"/>
    <w:basedOn w:val="Nadpis1"/>
    <w:next w:val="Normln"/>
    <w:link w:val="Nadpis2Char"/>
    <w:uiPriority w:val="9"/>
    <w:unhideWhenUsed/>
    <w:qFormat/>
    <w:rsid w:val="002C02E4"/>
    <w:pPr>
      <w:spacing w:after="0"/>
      <w:outlineLvl w:val="1"/>
    </w:pPr>
    <w:rPr>
      <w:sz w:val="24"/>
      <w:szCs w:val="32"/>
    </w:rPr>
  </w:style>
  <w:style w:type="paragraph" w:styleId="Nadpis3">
    <w:name w:val="heading 3"/>
    <w:basedOn w:val="Normln"/>
    <w:next w:val="Normln"/>
    <w:link w:val="Nadpis3Char"/>
    <w:uiPriority w:val="9"/>
    <w:semiHidden/>
    <w:unhideWhenUsed/>
    <w:rsid w:val="005E69B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5E69B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5E69B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5E69B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E69B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E69B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E69B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ulka">
    <w:name w:val="Tabulka"/>
    <w:basedOn w:val="Normlntabulka"/>
    <w:uiPriority w:val="99"/>
    <w:rsid w:val="00BC66FA"/>
    <w:rPr>
      <w:rFonts w:ascii="Calibri Light" w:hAnsi="Calibri Light"/>
      <w:kern w:val="0"/>
      <w:sz w:val="16"/>
      <w:lang w:val="en-US"/>
      <w14:ligatures w14:val="none"/>
    </w:rPr>
    <w:tblPr>
      <w:tblStyleRowBandSize w:val="1"/>
      <w:tblStyleColBandSize w:val="1"/>
      <w:jc w:val="center"/>
      <w:tblBorders>
        <w:bottom w:val="single" w:sz="8" w:space="0" w:color="B8A875"/>
      </w:tblBorders>
    </w:tblPr>
    <w:trPr>
      <w:jc w:val="center"/>
    </w:trPr>
    <w:tcPr>
      <w:shd w:val="clear" w:color="auto" w:fill="auto"/>
      <w:vAlign w:val="center"/>
    </w:tcPr>
    <w:tblStylePr w:type="firstRow">
      <w:rPr>
        <w:rFonts w:ascii="Calibri Light" w:hAnsi="Calibri Light"/>
        <w:b/>
        <w:color w:val="FFFFFF" w:themeColor="background1"/>
        <w:sz w:val="16"/>
      </w:rPr>
      <w:tblPr/>
      <w:tcPr>
        <w:shd w:val="clear" w:color="auto" w:fill="B8A875"/>
      </w:tcPr>
    </w:tblStylePr>
    <w:tblStylePr w:type="lastRow">
      <w:tblPr/>
      <w:tcPr>
        <w:shd w:val="clear" w:color="auto" w:fill="auto"/>
      </w:tcPr>
    </w:tblStylePr>
    <w:tblStylePr w:type="firstCol">
      <w:tblPr/>
      <w:tcPr>
        <w:shd w:val="clear" w:color="auto" w:fill="auto"/>
      </w:tcPr>
    </w:tblStylePr>
    <w:tblStylePr w:type="lastCol">
      <w:tblPr/>
      <w:tcPr>
        <w:shd w:val="clear" w:color="auto" w:fill="auto"/>
      </w:tcPr>
    </w:tblStylePr>
  </w:style>
  <w:style w:type="table" w:customStyle="1" w:styleId="TabulkaJTBanka">
    <w:name w:val="Tabulka J&amp;T Banka"/>
    <w:basedOn w:val="Normlntabulka"/>
    <w:uiPriority w:val="99"/>
    <w:rsid w:val="004B6AB1"/>
    <w:rPr>
      <w:rFonts w:ascii="Calibri Light" w:hAnsi="Calibri Light"/>
      <w:kern w:val="0"/>
      <w:sz w:val="16"/>
      <w:lang w:val="en-US"/>
      <w14:ligatures w14:val="none"/>
    </w:rPr>
    <w:tblPr>
      <w:tblStyleRowBandSize w:val="1"/>
      <w:tblStyleColBandSize w:val="1"/>
      <w:jc w:val="center"/>
    </w:tblPr>
    <w:trPr>
      <w:jc w:val="center"/>
    </w:trPr>
    <w:tcPr>
      <w:shd w:val="clear" w:color="auto" w:fill="auto"/>
      <w:vAlign w:val="center"/>
    </w:tcPr>
    <w:tblStylePr w:type="firstRow">
      <w:rPr>
        <w:rFonts w:ascii="Calibri Light" w:hAnsi="Calibri Light"/>
        <w:b/>
        <w:color w:val="FFFFFF" w:themeColor="background1"/>
        <w:sz w:val="18"/>
      </w:rPr>
      <w:tblPr/>
      <w:tcPr>
        <w:tcBorders>
          <w:top w:val="nil"/>
          <w:left w:val="nil"/>
          <w:bottom w:val="nil"/>
          <w:right w:val="nil"/>
          <w:insideH w:val="nil"/>
          <w:insideV w:val="nil"/>
          <w:tl2br w:val="nil"/>
          <w:tr2bl w:val="nil"/>
        </w:tcBorders>
        <w:shd w:val="clear" w:color="auto" w:fill="B8A875"/>
      </w:tcPr>
    </w:tblStylePr>
    <w:tblStylePr w:type="lastRow">
      <w:pPr>
        <w:jc w:val="left"/>
      </w:pPr>
      <w:rPr>
        <w:rFonts w:ascii="Calibri Light" w:hAnsi="Calibri Light"/>
        <w:sz w:val="16"/>
      </w:rPr>
      <w:tblPr/>
      <w:tcPr>
        <w:tcBorders>
          <w:top w:val="nil"/>
          <w:left w:val="nil"/>
          <w:bottom w:val="single" w:sz="8" w:space="0" w:color="156082" w:themeColor="accent1"/>
          <w:right w:val="nil"/>
          <w:insideH w:val="nil"/>
          <w:insideV w:val="nil"/>
          <w:tl2br w:val="nil"/>
          <w:tr2bl w:val="nil"/>
        </w:tcBorders>
        <w:shd w:val="clear" w:color="auto" w:fill="auto"/>
      </w:tcPr>
    </w:tblStylePr>
    <w:tblStylePr w:type="firstCol">
      <w:tblPr/>
      <w:tcPr>
        <w:shd w:val="clear" w:color="auto" w:fill="FFFFFF" w:themeFill="background1"/>
      </w:tcPr>
    </w:tblStylePr>
    <w:tblStylePr w:type="lastCol">
      <w:tblPr/>
      <w:tcPr>
        <w:shd w:val="clear" w:color="auto" w:fill="C1E4F5" w:themeFill="accent1" w:themeFillTint="33"/>
      </w:tcPr>
    </w:tblStylePr>
    <w:tblStylePr w:type="band1Horz">
      <w:pPr>
        <w:jc w:val="left"/>
      </w:pPr>
      <w:tblPr/>
      <w:tcPr>
        <w:shd w:val="clear" w:color="auto" w:fill="FFFFFF" w:themeFill="background1"/>
      </w:tcPr>
    </w:tblStylePr>
    <w:tblStylePr w:type="band2Horz">
      <w:tblPr/>
      <w:tcPr>
        <w:shd w:val="clear" w:color="auto" w:fill="C1E4F5" w:themeFill="accent1" w:themeFillTint="33"/>
      </w:tcPr>
    </w:tblStylePr>
  </w:style>
  <w:style w:type="table" w:styleId="Tabulkasmkou4zvraznn1">
    <w:name w:val="Grid Table 4 Accent 1"/>
    <w:aliases w:val="J&amp;T Banka"/>
    <w:basedOn w:val="Normlntabulka"/>
    <w:uiPriority w:val="99"/>
    <w:rsid w:val="00C27D3E"/>
    <w:rPr>
      <w:rFonts w:ascii="Calibri Light" w:hAnsi="Calibri Light"/>
      <w:kern w:val="0"/>
      <w:sz w:val="18"/>
      <w:lang w:val="en-US"/>
      <w14:ligatures w14:val="none"/>
    </w:rPr>
    <w:tblPr>
      <w:tblStyleRowBandSize w:val="1"/>
      <w:tblStyleColBandSize w:val="1"/>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rPr>
      <w:jc w:val="center"/>
    </w:trPr>
    <w:tcPr>
      <w:shd w:val="clear" w:color="auto" w:fill="DFDBCD"/>
      <w:vAlign w:val="center"/>
    </w:tcPr>
    <w:tblStylePr w:type="firstRow">
      <w:pPr>
        <w:jc w:val="left"/>
      </w:pPr>
      <w:rPr>
        <w:rFonts w:ascii="Calibri Light" w:hAnsi="Calibri Light"/>
        <w:b/>
        <w:color w:val="FFFFFF" w:themeColor="background1"/>
        <w:sz w:val="18"/>
      </w:rPr>
      <w:tblPr/>
      <w:tcPr>
        <w:shd w:val="clear" w:color="auto" w:fill="005F55"/>
      </w:tcPr>
    </w:tblStylePr>
    <w:tblStylePr w:type="lastRow">
      <w:pPr>
        <w:jc w:val="left"/>
      </w:pPr>
      <w:rPr>
        <w:rFonts w:ascii="Calibri Light" w:hAnsi="Calibri Light"/>
        <w:sz w:val="16"/>
      </w:rPr>
    </w:tblStylePr>
    <w:tblStylePr w:type="band1Horz">
      <w:pPr>
        <w:jc w:val="left"/>
      </w:pPr>
      <w:tblPr/>
      <w:tcPr>
        <w:shd w:val="clear" w:color="auto" w:fill="FFFFFF" w:themeFill="background1"/>
      </w:tcPr>
    </w:tblStylePr>
    <w:tblStylePr w:type="band2Horz">
      <w:pPr>
        <w:jc w:val="left"/>
      </w:pPr>
      <w:tblPr/>
      <w:tcPr>
        <w:shd w:val="clear" w:color="auto" w:fill="DFDBCD"/>
      </w:tcPr>
    </w:tblStylePr>
  </w:style>
  <w:style w:type="table" w:customStyle="1" w:styleId="JTBANKA">
    <w:name w:val="J&amp;T BANKA"/>
    <w:basedOn w:val="Normlntabulka"/>
    <w:uiPriority w:val="99"/>
    <w:rsid w:val="00577C4F"/>
    <w:rPr>
      <w:rFonts w:ascii="Calibri Light" w:hAnsi="Calibri Light"/>
      <w:kern w:val="0"/>
      <w:sz w:val="16"/>
      <w:lang w:val="en-US"/>
      <w14:ligatures w14:val="none"/>
    </w:rPr>
    <w:tblPr/>
    <w:tblStylePr w:type="firstRow">
      <w:rPr>
        <w:rFonts w:ascii="Calibri Light" w:hAnsi="Calibri Light"/>
        <w:b/>
        <w:color w:val="FFFFFF" w:themeColor="background1"/>
        <w:sz w:val="16"/>
      </w:rPr>
      <w:tblPr/>
      <w:trPr>
        <w:cantSplit/>
      </w:trPr>
      <w:tcPr>
        <w:shd w:val="clear" w:color="auto" w:fill="156082" w:themeFill="accent1"/>
        <w:vAlign w:val="center"/>
      </w:tcPr>
    </w:tblStylePr>
  </w:style>
  <w:style w:type="paragraph" w:customStyle="1" w:styleId="Odrka1">
    <w:name w:val="Odrážka 1"/>
    <w:link w:val="Odrka1Char"/>
    <w:autoRedefine/>
    <w:qFormat/>
    <w:rsid w:val="004354CE"/>
    <w:pPr>
      <w:widowControl w:val="0"/>
      <w:numPr>
        <w:numId w:val="2"/>
      </w:numPr>
      <w:tabs>
        <w:tab w:val="left" w:pos="284"/>
      </w:tabs>
      <w:autoSpaceDE w:val="0"/>
      <w:autoSpaceDN w:val="0"/>
      <w:spacing w:line="300" w:lineRule="exact"/>
    </w:pPr>
    <w:rPr>
      <w:rFonts w:ascii="Poppins" w:hAnsi="Poppins" w:cs="Calibri Light"/>
      <w:b/>
      <w:bCs/>
      <w:kern w:val="0"/>
      <w:sz w:val="18"/>
    </w:rPr>
  </w:style>
  <w:style w:type="character" w:customStyle="1" w:styleId="Odrka1Char">
    <w:name w:val="Odrážka 1 Char"/>
    <w:basedOn w:val="Standardnpsmoodstavce"/>
    <w:link w:val="Odrka1"/>
    <w:rsid w:val="004354CE"/>
    <w:rPr>
      <w:rFonts w:ascii="Poppins" w:hAnsi="Poppins" w:cs="Calibri Light"/>
      <w:b/>
      <w:bCs/>
      <w:kern w:val="0"/>
      <w:sz w:val="18"/>
    </w:rPr>
  </w:style>
  <w:style w:type="paragraph" w:customStyle="1" w:styleId="Odrka3">
    <w:name w:val="Odrážka 3"/>
    <w:basedOn w:val="Zkladntext"/>
    <w:link w:val="Odrka3Char"/>
    <w:rsid w:val="00CD375E"/>
    <w:pPr>
      <w:widowControl w:val="0"/>
      <w:numPr>
        <w:ilvl w:val="1"/>
        <w:numId w:val="4"/>
      </w:numPr>
      <w:autoSpaceDE w:val="0"/>
      <w:autoSpaceDN w:val="0"/>
      <w:spacing w:before="60" w:after="60"/>
      <w:ind w:left="454" w:hanging="454"/>
    </w:pPr>
    <w:rPr>
      <w:rFonts w:ascii="Calibri Light" w:eastAsia="Fedra Sans Alt Std Light" w:hAnsi="Calibri Light" w:cs="Fedra Sans Alt Std Light"/>
      <w:szCs w:val="18"/>
      <w:u w:color="000000"/>
    </w:rPr>
  </w:style>
  <w:style w:type="character" w:customStyle="1" w:styleId="Odrka3Char">
    <w:name w:val="Odrážka 3 Char"/>
    <w:basedOn w:val="ZkladntextChar"/>
    <w:link w:val="Odrka3"/>
    <w:rsid w:val="00CD375E"/>
    <w:rPr>
      <w:rFonts w:ascii="Calibri Light" w:eastAsia="Fedra Sans Alt Std Light" w:hAnsi="Calibri Light" w:cs="Fedra Sans Alt Std Light"/>
      <w:sz w:val="18"/>
      <w:szCs w:val="18"/>
      <w:u w:color="000000"/>
    </w:rPr>
  </w:style>
  <w:style w:type="paragraph" w:styleId="Zkladntext">
    <w:name w:val="Body Text"/>
    <w:basedOn w:val="Normln"/>
    <w:link w:val="ZkladntextChar"/>
    <w:uiPriority w:val="99"/>
    <w:unhideWhenUsed/>
    <w:rsid w:val="00CD375E"/>
    <w:pPr>
      <w:spacing w:after="120"/>
    </w:pPr>
  </w:style>
  <w:style w:type="character" w:customStyle="1" w:styleId="ZkladntextChar">
    <w:name w:val="Základní text Char"/>
    <w:basedOn w:val="Standardnpsmoodstavce"/>
    <w:link w:val="Zkladntext"/>
    <w:uiPriority w:val="99"/>
    <w:rsid w:val="00CD375E"/>
  </w:style>
  <w:style w:type="paragraph" w:styleId="Nzev">
    <w:name w:val="Title"/>
    <w:basedOn w:val="Normln"/>
    <w:link w:val="NzevChar"/>
    <w:autoRedefine/>
    <w:uiPriority w:val="27"/>
    <w:rsid w:val="00CB39D8"/>
    <w:pPr>
      <w:widowControl w:val="0"/>
      <w:autoSpaceDE w:val="0"/>
      <w:autoSpaceDN w:val="0"/>
      <w:spacing w:after="200"/>
      <w:contextualSpacing/>
    </w:pPr>
    <w:rPr>
      <w:rFonts w:ascii="Calibri" w:eastAsia="Fedra Sans Alt Std Medium" w:hAnsi="Calibri" w:cs="Fedra Sans Alt Std Medium"/>
      <w:b/>
      <w:sz w:val="30"/>
      <w:szCs w:val="30"/>
      <w:lang w:val="en-GB"/>
    </w:rPr>
  </w:style>
  <w:style w:type="character" w:customStyle="1" w:styleId="NzevChar">
    <w:name w:val="Název Char"/>
    <w:basedOn w:val="Standardnpsmoodstavce"/>
    <w:link w:val="Nzev"/>
    <w:uiPriority w:val="27"/>
    <w:rsid w:val="00CB39D8"/>
    <w:rPr>
      <w:rFonts w:ascii="Calibri" w:eastAsia="Fedra Sans Alt Std Medium" w:hAnsi="Calibri" w:cs="Fedra Sans Alt Std Medium"/>
      <w:b/>
      <w:sz w:val="30"/>
      <w:szCs w:val="30"/>
      <w:lang w:val="en-GB"/>
    </w:rPr>
  </w:style>
  <w:style w:type="character" w:customStyle="1" w:styleId="Nadpis1Char">
    <w:name w:val="Nadpis 1 Char"/>
    <w:basedOn w:val="Standardnpsmoodstavce"/>
    <w:link w:val="Nadpis1"/>
    <w:uiPriority w:val="9"/>
    <w:rsid w:val="009F16E3"/>
    <w:rPr>
      <w:rFonts w:ascii="Poppins Bold" w:eastAsiaTheme="majorEastAsia" w:hAnsi="Poppins Bold" w:cstheme="majorBidi"/>
      <w:color w:val="000000" w:themeColor="text1"/>
      <w:sz w:val="32"/>
      <w:szCs w:val="40"/>
    </w:rPr>
  </w:style>
  <w:style w:type="character" w:customStyle="1" w:styleId="Nadpis2Char">
    <w:name w:val="Nadpis 2 Char"/>
    <w:basedOn w:val="Standardnpsmoodstavce"/>
    <w:link w:val="Nadpis2"/>
    <w:uiPriority w:val="9"/>
    <w:rsid w:val="002C02E4"/>
    <w:rPr>
      <w:rFonts w:ascii="Quicksand" w:eastAsiaTheme="majorEastAsia" w:hAnsi="Quicksand" w:cstheme="majorBidi"/>
      <w:b/>
      <w:color w:val="E5087D"/>
      <w:sz w:val="24"/>
      <w:szCs w:val="32"/>
    </w:rPr>
  </w:style>
  <w:style w:type="character" w:customStyle="1" w:styleId="Nadpis3Char">
    <w:name w:val="Nadpis 3 Char"/>
    <w:basedOn w:val="Standardnpsmoodstavce"/>
    <w:link w:val="Nadpis3"/>
    <w:uiPriority w:val="9"/>
    <w:semiHidden/>
    <w:rsid w:val="005E69B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E69B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E69B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E69B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E69B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E69B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E69BE"/>
    <w:rPr>
      <w:rFonts w:eastAsiaTheme="majorEastAsia" w:cstheme="majorBidi"/>
      <w:color w:val="272727" w:themeColor="text1" w:themeTint="D8"/>
    </w:rPr>
  </w:style>
  <w:style w:type="paragraph" w:styleId="Podnadpis">
    <w:name w:val="Subtitle"/>
    <w:basedOn w:val="Nadpis2"/>
    <w:next w:val="Normln"/>
    <w:link w:val="PodnadpisChar"/>
    <w:uiPriority w:val="11"/>
    <w:qFormat/>
    <w:rsid w:val="0058172B"/>
    <w:pPr>
      <w:numPr>
        <w:ilvl w:val="1"/>
      </w:numPr>
    </w:pPr>
    <w:rPr>
      <w:color w:val="595959" w:themeColor="text1" w:themeTint="A6"/>
      <w:kern w:val="0"/>
      <w:szCs w:val="28"/>
    </w:rPr>
  </w:style>
  <w:style w:type="character" w:customStyle="1" w:styleId="PodnadpisChar">
    <w:name w:val="Podnadpis Char"/>
    <w:basedOn w:val="Standardnpsmoodstavce"/>
    <w:link w:val="Podnadpis"/>
    <w:uiPriority w:val="11"/>
    <w:rsid w:val="0058172B"/>
    <w:rPr>
      <w:rFonts w:ascii="Quicksand" w:eastAsiaTheme="majorEastAsia" w:hAnsi="Quicksand" w:cstheme="majorBidi"/>
      <w:b/>
      <w:color w:val="595959" w:themeColor="text1" w:themeTint="A6"/>
      <w:kern w:val="0"/>
      <w:sz w:val="24"/>
      <w:szCs w:val="28"/>
    </w:rPr>
  </w:style>
  <w:style w:type="paragraph" w:styleId="Citt">
    <w:name w:val="Quote"/>
    <w:basedOn w:val="Normln"/>
    <w:next w:val="Normln"/>
    <w:link w:val="CittChar"/>
    <w:uiPriority w:val="29"/>
    <w:rsid w:val="005E69BE"/>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5E69BE"/>
    <w:rPr>
      <w:i/>
      <w:iCs/>
      <w:color w:val="404040" w:themeColor="text1" w:themeTint="BF"/>
    </w:rPr>
  </w:style>
  <w:style w:type="paragraph" w:styleId="Odstavecseseznamem">
    <w:name w:val="List Paragraph"/>
    <w:basedOn w:val="Normln"/>
    <w:uiPriority w:val="34"/>
    <w:rsid w:val="005E69BE"/>
    <w:pPr>
      <w:ind w:left="720"/>
      <w:contextualSpacing/>
    </w:pPr>
  </w:style>
  <w:style w:type="character" w:styleId="Zdraznnintenzivn">
    <w:name w:val="Intense Emphasis"/>
    <w:basedOn w:val="Standardnpsmoodstavce"/>
    <w:uiPriority w:val="21"/>
    <w:rsid w:val="005E69BE"/>
    <w:rPr>
      <w:i/>
      <w:iCs/>
      <w:color w:val="0F4761" w:themeColor="accent1" w:themeShade="BF"/>
    </w:rPr>
  </w:style>
  <w:style w:type="paragraph" w:styleId="Vrazncitt">
    <w:name w:val="Intense Quote"/>
    <w:basedOn w:val="Normln"/>
    <w:next w:val="Normln"/>
    <w:link w:val="VrazncittChar"/>
    <w:uiPriority w:val="30"/>
    <w:rsid w:val="005E6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E69BE"/>
    <w:rPr>
      <w:i/>
      <w:iCs/>
      <w:color w:val="0F4761" w:themeColor="accent1" w:themeShade="BF"/>
    </w:rPr>
  </w:style>
  <w:style w:type="character" w:styleId="Odkazintenzivn">
    <w:name w:val="Intense Reference"/>
    <w:basedOn w:val="Standardnpsmoodstavce"/>
    <w:uiPriority w:val="32"/>
    <w:rsid w:val="005E69BE"/>
    <w:rPr>
      <w:b/>
      <w:bCs/>
      <w:smallCaps/>
      <w:color w:val="0F4761" w:themeColor="accent1" w:themeShade="BF"/>
      <w:spacing w:val="5"/>
    </w:rPr>
  </w:style>
  <w:style w:type="paragraph" w:styleId="Zhlav">
    <w:name w:val="header"/>
    <w:basedOn w:val="Normln"/>
    <w:link w:val="ZhlavChar"/>
    <w:uiPriority w:val="99"/>
    <w:unhideWhenUsed/>
    <w:rsid w:val="005E69BE"/>
    <w:pPr>
      <w:tabs>
        <w:tab w:val="center" w:pos="4536"/>
        <w:tab w:val="right" w:pos="9072"/>
      </w:tabs>
    </w:pPr>
  </w:style>
  <w:style w:type="character" w:customStyle="1" w:styleId="ZhlavChar">
    <w:name w:val="Záhlaví Char"/>
    <w:basedOn w:val="Standardnpsmoodstavce"/>
    <w:link w:val="Zhlav"/>
    <w:uiPriority w:val="99"/>
    <w:rsid w:val="005E69BE"/>
  </w:style>
  <w:style w:type="paragraph" w:styleId="Zpat">
    <w:name w:val="footer"/>
    <w:basedOn w:val="Normln"/>
    <w:link w:val="ZpatChar"/>
    <w:uiPriority w:val="99"/>
    <w:unhideWhenUsed/>
    <w:rsid w:val="005E69BE"/>
    <w:pPr>
      <w:tabs>
        <w:tab w:val="center" w:pos="4536"/>
        <w:tab w:val="right" w:pos="9072"/>
      </w:tabs>
    </w:pPr>
  </w:style>
  <w:style w:type="character" w:customStyle="1" w:styleId="ZpatChar">
    <w:name w:val="Zápatí Char"/>
    <w:basedOn w:val="Standardnpsmoodstavce"/>
    <w:link w:val="Zpat"/>
    <w:uiPriority w:val="99"/>
    <w:rsid w:val="005E69BE"/>
  </w:style>
  <w:style w:type="character" w:styleId="Zdraznn">
    <w:name w:val="Emphasis"/>
    <w:basedOn w:val="Standardnpsmoodstavce"/>
    <w:uiPriority w:val="20"/>
    <w:qFormat/>
    <w:rsid w:val="009F16E3"/>
    <w:rPr>
      <w:rFonts w:ascii="Poppins" w:hAnsi="Poppins"/>
      <w:i/>
      <w:iCs/>
      <w:color w:val="3F3F3F"/>
      <w:sz w:val="18"/>
    </w:rPr>
  </w:style>
  <w:style w:type="character" w:styleId="Siln">
    <w:name w:val="Strong"/>
    <w:basedOn w:val="Standardnpsmoodstavce"/>
    <w:uiPriority w:val="22"/>
    <w:qFormat/>
    <w:rsid w:val="009F16E3"/>
    <w:rPr>
      <w:rFonts w:ascii="Poppins" w:hAnsi="Poppins"/>
      <w:b/>
      <w:bCs/>
      <w:sz w:val="18"/>
    </w:rPr>
  </w:style>
  <w:style w:type="character" w:styleId="Odkazjemn">
    <w:name w:val="Subtle Reference"/>
    <w:basedOn w:val="Standardnpsmoodstavce"/>
    <w:uiPriority w:val="31"/>
    <w:qFormat/>
    <w:rsid w:val="009F16E3"/>
    <w:rPr>
      <w:rFonts w:ascii="Poppins" w:hAnsi="Poppins"/>
      <w:i/>
      <w:caps w:val="0"/>
      <w:smallCaps w:val="0"/>
      <w:strike w:val="0"/>
      <w:dstrike w:val="0"/>
      <w:vanish w:val="0"/>
      <w:color w:val="E5087D"/>
      <w:sz w:val="18"/>
      <w:u w:val="single"/>
      <w:vertAlign w:val="baseline"/>
    </w:rPr>
  </w:style>
  <w:style w:type="paragraph" w:styleId="Revize">
    <w:name w:val="Revision"/>
    <w:hidden/>
    <w:uiPriority w:val="99"/>
    <w:semiHidden/>
    <w:rsid w:val="001F3C9D"/>
    <w:rPr>
      <w:rFonts w:ascii="Poppins" w:hAnsi="Poppins"/>
      <w:color w:val="3F3F3F"/>
      <w:kern w:val="0"/>
      <w:sz w:val="18"/>
    </w:rPr>
  </w:style>
  <w:style w:type="character" w:styleId="Odkaznakoment">
    <w:name w:val="annotation reference"/>
    <w:basedOn w:val="Standardnpsmoodstavce"/>
    <w:uiPriority w:val="99"/>
    <w:semiHidden/>
    <w:unhideWhenUsed/>
    <w:rsid w:val="00BC7B01"/>
    <w:rPr>
      <w:sz w:val="16"/>
      <w:szCs w:val="16"/>
    </w:rPr>
  </w:style>
  <w:style w:type="paragraph" w:styleId="Textkomente">
    <w:name w:val="annotation text"/>
    <w:basedOn w:val="Normln"/>
    <w:link w:val="TextkomenteChar"/>
    <w:uiPriority w:val="99"/>
    <w:unhideWhenUsed/>
    <w:rsid w:val="00BC7B01"/>
    <w:pPr>
      <w:spacing w:line="240" w:lineRule="auto"/>
    </w:pPr>
    <w:rPr>
      <w:sz w:val="20"/>
      <w:szCs w:val="20"/>
    </w:rPr>
  </w:style>
  <w:style w:type="character" w:customStyle="1" w:styleId="TextkomenteChar">
    <w:name w:val="Text komentáře Char"/>
    <w:basedOn w:val="Standardnpsmoodstavce"/>
    <w:link w:val="Textkomente"/>
    <w:uiPriority w:val="99"/>
    <w:rsid w:val="00BC7B01"/>
    <w:rPr>
      <w:rFonts w:ascii="Poppins" w:hAnsi="Poppins"/>
      <w:color w:val="3F3F3F"/>
      <w:kern w:val="0"/>
      <w:sz w:val="20"/>
      <w:szCs w:val="20"/>
    </w:rPr>
  </w:style>
  <w:style w:type="paragraph" w:styleId="Pedmtkomente">
    <w:name w:val="annotation subject"/>
    <w:basedOn w:val="Textkomente"/>
    <w:next w:val="Textkomente"/>
    <w:link w:val="PedmtkomenteChar"/>
    <w:uiPriority w:val="99"/>
    <w:semiHidden/>
    <w:unhideWhenUsed/>
    <w:rsid w:val="00BC7B01"/>
    <w:rPr>
      <w:b/>
      <w:bCs/>
    </w:rPr>
  </w:style>
  <w:style w:type="character" w:customStyle="1" w:styleId="PedmtkomenteChar">
    <w:name w:val="Předmět komentáře Char"/>
    <w:basedOn w:val="TextkomenteChar"/>
    <w:link w:val="Pedmtkomente"/>
    <w:uiPriority w:val="99"/>
    <w:semiHidden/>
    <w:rsid w:val="00BC7B01"/>
    <w:rPr>
      <w:rFonts w:ascii="Poppins" w:hAnsi="Poppins"/>
      <w:b/>
      <w:bCs/>
      <w:color w:val="3F3F3F"/>
      <w:kern w:val="0"/>
      <w:sz w:val="20"/>
      <w:szCs w:val="20"/>
    </w:rPr>
  </w:style>
  <w:style w:type="character" w:styleId="Hypertextovodkaz">
    <w:name w:val="Hyperlink"/>
    <w:basedOn w:val="Standardnpsmoodstavce"/>
    <w:uiPriority w:val="99"/>
    <w:unhideWhenUsed/>
    <w:rsid w:val="005A2E60"/>
    <w:rPr>
      <w:color w:val="467886" w:themeColor="hyperlink"/>
      <w:u w:val="single"/>
    </w:rPr>
  </w:style>
  <w:style w:type="character" w:styleId="Nevyeenzmnka">
    <w:name w:val="Unresolved Mention"/>
    <w:basedOn w:val="Standardnpsmoodstavce"/>
    <w:uiPriority w:val="99"/>
    <w:semiHidden/>
    <w:unhideWhenUsed/>
    <w:rsid w:val="005A2E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ik.cz/klik-inde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lik.cz/klik-inde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ladimira.kolarikova@klik.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694</Words>
  <Characters>4097</Characters>
  <Application>Microsoft Office Word</Application>
  <DocSecurity>0</DocSecurity>
  <Lines>34</Lines>
  <Paragraphs>9</Paragraphs>
  <ScaleCrop>false</ScaleCrop>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Vladimíra Kolaříková</dc:creator>
  <cp:keywords/>
  <dc:description/>
  <cp:lastModifiedBy>Vladimíra Kolaříková</cp:lastModifiedBy>
  <cp:revision>42</cp:revision>
  <dcterms:created xsi:type="dcterms:W3CDTF">2026-06-02T12:06:00Z</dcterms:created>
  <dcterms:modified xsi:type="dcterms:W3CDTF">2026-06-03T09:09:00Z</dcterms:modified>
</cp:coreProperties>
</file>