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B4B0" w14:textId="158C400A" w:rsidR="00C46F4A" w:rsidRPr="00940A94" w:rsidRDefault="00C46F4A" w:rsidP="00C46F4A">
      <w:pPr>
        <w:rPr>
          <w:b/>
          <w:bCs/>
        </w:rPr>
      </w:pPr>
      <w:r w:rsidRPr="00940A94">
        <w:rPr>
          <w:b/>
          <w:bCs/>
        </w:rPr>
        <w:t>CYBER</w:t>
      </w:r>
      <w:r w:rsidR="007C3DDC">
        <w:rPr>
          <w:b/>
          <w:bCs/>
        </w:rPr>
        <w:t>-</w:t>
      </w:r>
      <w:r w:rsidRPr="00940A94">
        <w:rPr>
          <w:b/>
          <w:bCs/>
        </w:rPr>
        <w:t>RISK DISCOVERY</w:t>
      </w:r>
    </w:p>
    <w:p w14:paraId="4A7CA831" w14:textId="6B535B51" w:rsidR="00C46F4A" w:rsidRPr="00940A94" w:rsidRDefault="00C46F4A" w:rsidP="00C46F4A">
      <w:pPr>
        <w:spacing w:after="0" w:line="240" w:lineRule="auto"/>
        <w:rPr>
          <w:b/>
          <w:bCs/>
        </w:rPr>
      </w:pPr>
      <w:r w:rsidRPr="00940A94">
        <w:rPr>
          <w:b/>
          <w:bCs/>
        </w:rPr>
        <w:t>Détecter les failles de sécurité</w:t>
      </w:r>
      <w:r w:rsidRPr="00940A94">
        <w:rPr>
          <w:rFonts w:ascii="Arial" w:hAnsi="Arial"/>
          <w:b/>
          <w:bCs/>
        </w:rPr>
        <w:t xml:space="preserve"> </w:t>
      </w:r>
      <w:r w:rsidRPr="00940A94">
        <w:rPr>
          <w:b/>
          <w:bCs/>
        </w:rPr>
        <w:t xml:space="preserve">et </w:t>
      </w:r>
      <w:r>
        <w:rPr>
          <w:b/>
          <w:bCs/>
        </w:rPr>
        <w:t>répondre</w:t>
      </w:r>
      <w:r w:rsidRPr="00940A94">
        <w:rPr>
          <w:b/>
          <w:bCs/>
        </w:rPr>
        <w:t xml:space="preserve"> aux cyberrisques</w:t>
      </w:r>
      <w:r>
        <w:rPr>
          <w:b/>
          <w:bCs/>
        </w:rPr>
        <w:t xml:space="preserve"> </w:t>
      </w:r>
      <w:r w:rsidRPr="00940A94">
        <w:rPr>
          <w:b/>
          <w:bCs/>
        </w:rPr>
        <w:t>de façon ciblée</w:t>
      </w:r>
    </w:p>
    <w:p w14:paraId="2B4D3AFD" w14:textId="77777777" w:rsidR="00C46F4A" w:rsidRPr="00940A94" w:rsidRDefault="00C46F4A" w:rsidP="00C46F4A">
      <w:pPr>
        <w:spacing w:after="0" w:line="240" w:lineRule="auto"/>
        <w:rPr>
          <w:b/>
          <w:bCs/>
        </w:rPr>
      </w:pPr>
    </w:p>
    <w:p w14:paraId="4CDCD7EC" w14:textId="7EFC9E1B" w:rsidR="00C46F4A" w:rsidRPr="00940A94" w:rsidRDefault="00C46F4A" w:rsidP="00C46F4A">
      <w:pPr>
        <w:spacing w:after="0" w:line="240" w:lineRule="auto"/>
      </w:pPr>
      <w:r w:rsidRPr="00940A94">
        <w:t>Aujourd’hui, les petites et moyennes entreprises sont tout autant la cible de cyberattaques que les grandes entreprises. De faux domaines, des e-mails de phishing ou des identifiants circulant sur le darknet peuvent entraîner des pertes financières importantes et nuire à leur réputation. Avec Cyber</w:t>
      </w:r>
      <w:r w:rsidR="00F1031B">
        <w:t>-</w:t>
      </w:r>
      <w:r w:rsidRPr="00940A94">
        <w:t>Risk Discovery de Sunrise</w:t>
      </w:r>
      <w:r w:rsidR="007C3DDC">
        <w:t xml:space="preserve"> </w:t>
      </w:r>
      <w:r w:rsidRPr="00940A94">
        <w:t>Business, les PME disposent en quelques jours d’une vue d’ensemble de leur surface d’attaque externe. Cyber</w:t>
      </w:r>
      <w:r w:rsidR="00F1031B">
        <w:t>-</w:t>
      </w:r>
      <w:r w:rsidRPr="00940A94">
        <w:t xml:space="preserve">Risk Discovery est </w:t>
      </w:r>
      <w:r w:rsidRPr="00940A94">
        <w:t xml:space="preserve">une </w:t>
      </w:r>
      <w:r>
        <w:t>solution d’</w:t>
      </w:r>
      <w:r w:rsidRPr="00940A94">
        <w:t xml:space="preserve">évaluation </w:t>
      </w:r>
      <w:r w:rsidRPr="00940A94">
        <w:t xml:space="preserve">des vulnérabilités, également appelée Vulnerability Assesment, spécialement développée pour les petites et moyennes entreprises. </w:t>
      </w:r>
    </w:p>
    <w:p w14:paraId="4F5454AC" w14:textId="77777777" w:rsidR="00C46F4A" w:rsidRPr="00940A94" w:rsidRDefault="00C46F4A" w:rsidP="00C46F4A"/>
    <w:p w14:paraId="71411F73" w14:textId="77777777" w:rsidR="00C46F4A" w:rsidRPr="00940A94" w:rsidRDefault="00C46F4A" w:rsidP="00C46F4A"/>
    <w:p w14:paraId="6A607E3A" w14:textId="77777777" w:rsidR="00C46F4A" w:rsidRPr="00940A94" w:rsidRDefault="00C46F4A" w:rsidP="00C46F4A">
      <w:pPr>
        <w:rPr>
          <w:b/>
          <w:bCs/>
        </w:rPr>
      </w:pPr>
      <w:r w:rsidRPr="00940A94">
        <w:rPr>
          <w:b/>
          <w:bCs/>
        </w:rPr>
        <w:t>Activation simple, résultats rapides</w:t>
      </w:r>
    </w:p>
    <w:p w14:paraId="12D7763A" w14:textId="0C7DEC03" w:rsidR="00C46F4A" w:rsidRPr="00940A94" w:rsidRDefault="00C46F4A" w:rsidP="00C46F4A">
      <w:r w:rsidRPr="00940A94">
        <w:t>Pour démarrer Cyber</w:t>
      </w:r>
      <w:r w:rsidR="00F1031B">
        <w:t>-</w:t>
      </w:r>
      <w:r w:rsidRPr="00940A94">
        <w:t>Risk Discovery, il suffit de fournir la raison sociale, l’adresse du site web et une adresse e-mail professionnelle. La plateforme, alimentée par l’IA, recherche automatiquement les sources publiques telles que domaines, sous-domaines, services cloud, certificats et réseaux sociaux, et génère une analyse complète de la surface d’attaque externe. En quelques jours, vous savez où se trouvent les vulnérabilités critiques et quelles mesures corriger en priorité, sans installation complexe ni expertise particulière en cybersécurité.</w:t>
      </w:r>
    </w:p>
    <w:p w14:paraId="6EDF4BE9" w14:textId="77777777" w:rsidR="00C46F4A" w:rsidRPr="00940A94" w:rsidRDefault="00C46F4A" w:rsidP="00C46F4A"/>
    <w:p w14:paraId="0770165F" w14:textId="77777777" w:rsidR="00C46F4A" w:rsidRPr="00940A94" w:rsidRDefault="00C46F4A" w:rsidP="00C46F4A">
      <w:pPr>
        <w:rPr>
          <w:b/>
          <w:bCs/>
        </w:rPr>
      </w:pPr>
      <w:r w:rsidRPr="00940A94">
        <w:rPr>
          <w:b/>
          <w:bCs/>
        </w:rPr>
        <w:t>Réduction durable des risques</w:t>
      </w:r>
    </w:p>
    <w:p w14:paraId="7216DD33" w14:textId="22CD08EE" w:rsidR="00C46F4A" w:rsidRPr="00940A94" w:rsidRDefault="00C46F4A" w:rsidP="00C46F4A">
      <w:r w:rsidRPr="00940A94">
        <w:t>Cyber</w:t>
      </w:r>
      <w:r w:rsidR="00F1031B">
        <w:t>-</w:t>
      </w:r>
      <w:r w:rsidRPr="00940A94">
        <w:t>Risk Discovery est plus qu’un simple instantané. Après la première analyse, la plateforme fournit des recommandations concrètes pour corriger les failles de sécurité identifiées. En cas de questions, une assistance 24</w:t>
      </w:r>
      <w:r w:rsidR="00F1031B">
        <w:t xml:space="preserve"> </w:t>
      </w:r>
      <w:r w:rsidRPr="00940A94">
        <w:t>heures sur 24 et 7</w:t>
      </w:r>
      <w:r w:rsidR="00F1031B">
        <w:t xml:space="preserve"> </w:t>
      </w:r>
      <w:r w:rsidRPr="00940A94">
        <w:t xml:space="preserve">jours sur 7 est disponible directement via la plateforme. Une réévaluation, réalisée au moyen d’une deuxième analyse dans l’année, vérifie </w:t>
      </w:r>
      <w:r w:rsidRPr="00940A94">
        <w:t xml:space="preserve">que les </w:t>
      </w:r>
      <w:r>
        <w:t xml:space="preserve">corrections apportées aux </w:t>
      </w:r>
      <w:r w:rsidRPr="00940A94">
        <w:t xml:space="preserve">vulnérabilités </w:t>
      </w:r>
      <w:r>
        <w:t>ont été efficaces</w:t>
      </w:r>
      <w:r w:rsidRPr="00940A94">
        <w:t>. Cette seconde analyse permet également d’identifier les nouveaux risques apparus depuis la première évaluation. Ainsi, les entreprises peuvent renforcer leur sécurité sans avoir à investir dans des outils coûteux. Pour Cyber</w:t>
      </w:r>
      <w:r w:rsidR="00F1031B">
        <w:t>-</w:t>
      </w:r>
      <w:r w:rsidRPr="00940A94">
        <w:t>Risk Discovery, Sunrise Business collabore avec les expert</w:t>
      </w:r>
      <w:r>
        <w:t>-e-</w:t>
      </w:r>
      <w:r w:rsidRPr="00940A94">
        <w:t xml:space="preserve">s en cybersécurité </w:t>
      </w:r>
      <w:r>
        <w:t xml:space="preserve">de </w:t>
      </w:r>
      <w:r w:rsidRPr="00940A94">
        <w:t xml:space="preserve">ImmuniWeb, </w:t>
      </w:r>
      <w:r>
        <w:t xml:space="preserve">entreprise </w:t>
      </w:r>
      <w:r w:rsidRPr="00940A94">
        <w:t>basé</w:t>
      </w:r>
      <w:r>
        <w:t>e</w:t>
      </w:r>
      <w:r w:rsidRPr="00940A94">
        <w:t xml:space="preserve"> à Genève. ImmuniWeb est reconnue pour ses technologies automatisées, soutenues par l’IA, qui garantissent des résultats rapides et de haute qualité.</w:t>
      </w:r>
    </w:p>
    <w:p w14:paraId="7230F18C" w14:textId="77777777" w:rsidR="00C46F4A" w:rsidRPr="00940A94" w:rsidRDefault="00C46F4A" w:rsidP="00C46F4A"/>
    <w:p w14:paraId="5AAF8A29" w14:textId="77777777" w:rsidR="00C46F4A" w:rsidRPr="00940A94" w:rsidRDefault="00C46F4A" w:rsidP="00C46F4A">
      <w:pPr>
        <w:rPr>
          <w:b/>
          <w:bCs/>
        </w:rPr>
      </w:pPr>
      <w:r w:rsidRPr="00940A94">
        <w:rPr>
          <w:b/>
          <w:bCs/>
        </w:rPr>
        <w:t>Favoriser la transparence et renforcer la confiance</w:t>
      </w:r>
    </w:p>
    <w:p w14:paraId="1B541BF1" w14:textId="6C6F8C05" w:rsidR="00C46F4A" w:rsidRPr="00940A94" w:rsidRDefault="00C46F4A" w:rsidP="00C46F4A">
      <w:r w:rsidRPr="00940A94">
        <w:t xml:space="preserve">Les résultats fournissent non seulement des analyses techniques détaillées, mais aussi des rapports conformes aux exigences de </w:t>
      </w:r>
      <w:r>
        <w:t>conformité</w:t>
      </w:r>
      <w:r w:rsidRPr="00940A94">
        <w:t>. Les entreprises bénéficient ainsi d’une vision globale de leur situation en matière de sécurité, renforcent la confiance de leur client</w:t>
      </w:r>
      <w:r>
        <w:t>èle</w:t>
      </w:r>
      <w:r w:rsidRPr="00940A94">
        <w:t xml:space="preserve"> et </w:t>
      </w:r>
      <w:r>
        <w:t xml:space="preserve">de leurs </w:t>
      </w:r>
      <w:r w:rsidRPr="00940A94">
        <w:t>partenaires, et peuvent concentrer leurs investissements informatiques là où ils auront le plus d’impact.</w:t>
      </w:r>
    </w:p>
    <w:p w14:paraId="04C0A640" w14:textId="77777777" w:rsidR="00C46F4A" w:rsidRPr="00940A94" w:rsidRDefault="00C46F4A" w:rsidP="00C46F4A"/>
    <w:p w14:paraId="6DB6937A" w14:textId="77777777" w:rsidR="00C46F4A" w:rsidRPr="00940A94" w:rsidRDefault="00C46F4A" w:rsidP="00C46F4A">
      <w:r w:rsidRPr="00940A94">
        <w:br w:type="page"/>
      </w:r>
    </w:p>
    <w:p w14:paraId="1044B24C" w14:textId="77777777" w:rsidR="00C46F4A" w:rsidRPr="00940A94" w:rsidRDefault="00C46F4A" w:rsidP="00C46F4A">
      <w:pPr>
        <w:spacing w:before="100" w:beforeAutospacing="1" w:after="100" w:afterAutospacing="1" w:line="240" w:lineRule="auto"/>
        <w:rPr>
          <w:rFonts w:eastAsia="Times New Roman" w:cs="Times New Roman"/>
          <w:color w:val="000000"/>
          <w:kern w:val="0"/>
          <w14:ligatures w14:val="none"/>
        </w:rPr>
      </w:pPr>
      <w:r w:rsidRPr="00940A94">
        <w:rPr>
          <w:rFonts w:eastAsia="Times New Roman" w:cs="Times New Roman"/>
          <w:b/>
          <w:bCs/>
          <w:color w:val="000000"/>
          <w:kern w:val="0"/>
          <w14:ligatures w14:val="none"/>
        </w:rPr>
        <w:t>Caractéristiques standard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6"/>
        <w:gridCol w:w="6446"/>
      </w:tblGrid>
      <w:tr w:rsidR="00C46F4A" w:rsidRPr="00940A94" w14:paraId="3E1EF0B8" w14:textId="77777777" w:rsidTr="0093333C">
        <w:trPr>
          <w:tblHeader/>
          <w:tblCellSpacing w:w="15" w:type="dxa"/>
        </w:trPr>
        <w:tc>
          <w:tcPr>
            <w:tcW w:w="0" w:type="auto"/>
            <w:vAlign w:val="center"/>
            <w:hideMark/>
          </w:tcPr>
          <w:p w14:paraId="3678D491" w14:textId="77777777" w:rsidR="00C46F4A" w:rsidRPr="00940A94" w:rsidRDefault="00C46F4A" w:rsidP="0093333C">
            <w:pPr>
              <w:spacing w:after="0" w:line="240" w:lineRule="auto"/>
              <w:rPr>
                <w:rFonts w:eastAsia="Times New Roman" w:cs="Times New Roman"/>
                <w:b/>
                <w:bCs/>
                <w:kern w:val="0"/>
                <w14:ligatures w14:val="none"/>
              </w:rPr>
            </w:pPr>
            <w:r w:rsidRPr="00940A94">
              <w:rPr>
                <w:rFonts w:eastAsia="Times New Roman" w:cs="Times New Roman"/>
                <w:b/>
                <w:bCs/>
                <w:kern w:val="0"/>
                <w14:ligatures w14:val="none"/>
              </w:rPr>
              <w:t>Caractéristique</w:t>
            </w:r>
          </w:p>
        </w:tc>
        <w:tc>
          <w:tcPr>
            <w:tcW w:w="0" w:type="auto"/>
            <w:vAlign w:val="center"/>
            <w:hideMark/>
          </w:tcPr>
          <w:p w14:paraId="547F990A" w14:textId="77777777" w:rsidR="00C46F4A" w:rsidRPr="00940A94" w:rsidRDefault="00C46F4A" w:rsidP="0093333C">
            <w:pPr>
              <w:spacing w:after="0" w:line="240" w:lineRule="auto"/>
              <w:ind w:left="372"/>
              <w:rPr>
                <w:rFonts w:eastAsia="Times New Roman" w:cs="Times New Roman"/>
                <w:b/>
                <w:bCs/>
                <w:kern w:val="0"/>
                <w14:ligatures w14:val="none"/>
              </w:rPr>
            </w:pPr>
            <w:r w:rsidRPr="00940A94">
              <w:rPr>
                <w:rFonts w:eastAsia="Times New Roman" w:cs="Times New Roman"/>
                <w:b/>
                <w:bCs/>
                <w:kern w:val="0"/>
                <w14:ligatures w14:val="none"/>
              </w:rPr>
              <w:t>Description</w:t>
            </w:r>
          </w:p>
        </w:tc>
      </w:tr>
      <w:tr w:rsidR="00C46F4A" w:rsidRPr="00940A94" w14:paraId="53C2D20C" w14:textId="77777777" w:rsidTr="0093333C">
        <w:trPr>
          <w:tblCellSpacing w:w="15" w:type="dxa"/>
        </w:trPr>
        <w:tc>
          <w:tcPr>
            <w:tcW w:w="0" w:type="auto"/>
            <w:vAlign w:val="center"/>
            <w:hideMark/>
          </w:tcPr>
          <w:p w14:paraId="4405A5C0"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Analyse externe des surfaces d’attaque</w:t>
            </w:r>
          </w:p>
        </w:tc>
        <w:tc>
          <w:tcPr>
            <w:tcW w:w="0" w:type="auto"/>
            <w:vAlign w:val="center"/>
            <w:hideMark/>
          </w:tcPr>
          <w:p w14:paraId="27B48799" w14:textId="77777777" w:rsidR="00C46F4A" w:rsidRPr="00940A94" w:rsidRDefault="00C46F4A" w:rsidP="0093333C">
            <w:pPr>
              <w:spacing w:after="0" w:line="240" w:lineRule="auto"/>
              <w:ind w:left="372"/>
              <w:rPr>
                <w:rFonts w:eastAsia="Times New Roman" w:cs="Times New Roman"/>
                <w:kern w:val="0"/>
                <w14:ligatures w14:val="none"/>
              </w:rPr>
            </w:pPr>
            <w:r w:rsidRPr="00940A94">
              <w:rPr>
                <w:rFonts w:eastAsia="Times New Roman" w:cs="Times New Roman"/>
                <w:kern w:val="0"/>
                <w14:ligatures w14:val="none"/>
              </w:rPr>
              <w:t>Scan et cartographie des domaines, sous-domaines, services cloud, réseau, dépôts et menaces externes</w:t>
            </w:r>
          </w:p>
        </w:tc>
      </w:tr>
      <w:tr w:rsidR="00C46F4A" w:rsidRPr="00940A94" w14:paraId="1BE626B3" w14:textId="77777777" w:rsidTr="0093333C">
        <w:trPr>
          <w:tblCellSpacing w:w="15" w:type="dxa"/>
        </w:trPr>
        <w:tc>
          <w:tcPr>
            <w:tcW w:w="0" w:type="auto"/>
            <w:vAlign w:val="center"/>
            <w:hideMark/>
          </w:tcPr>
          <w:p w14:paraId="7400EB8D"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Surveillance des menaces et de la marque</w:t>
            </w:r>
          </w:p>
        </w:tc>
        <w:tc>
          <w:tcPr>
            <w:tcW w:w="0" w:type="auto"/>
            <w:vAlign w:val="center"/>
            <w:hideMark/>
          </w:tcPr>
          <w:p w14:paraId="62596E37" w14:textId="77777777" w:rsidR="00C46F4A" w:rsidRPr="00940A94" w:rsidRDefault="00C46F4A" w:rsidP="0093333C">
            <w:pPr>
              <w:spacing w:after="0" w:line="240" w:lineRule="auto"/>
              <w:ind w:left="372"/>
              <w:rPr>
                <w:rFonts w:eastAsia="Times New Roman" w:cs="Times New Roman"/>
                <w:kern w:val="0"/>
                <w14:ligatures w14:val="none"/>
              </w:rPr>
            </w:pPr>
            <w:r w:rsidRPr="00940A94">
              <w:rPr>
                <w:rFonts w:eastAsia="Times New Roman" w:cs="Times New Roman"/>
                <w:kern w:val="0"/>
                <w14:ligatures w14:val="none"/>
              </w:rPr>
              <w:t>Détection de faux domaines, tentatives de phishing, fuites d’identifiants et mentions sur le darknet</w:t>
            </w:r>
          </w:p>
        </w:tc>
      </w:tr>
      <w:tr w:rsidR="00C46F4A" w:rsidRPr="00940A94" w14:paraId="1F859406" w14:textId="77777777" w:rsidTr="0093333C">
        <w:trPr>
          <w:tblCellSpacing w:w="15" w:type="dxa"/>
        </w:trPr>
        <w:tc>
          <w:tcPr>
            <w:tcW w:w="0" w:type="auto"/>
            <w:vAlign w:val="center"/>
            <w:hideMark/>
          </w:tcPr>
          <w:p w14:paraId="67675806"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Détection d’anomalies</w:t>
            </w:r>
          </w:p>
        </w:tc>
        <w:tc>
          <w:tcPr>
            <w:tcW w:w="0" w:type="auto"/>
            <w:vAlign w:val="center"/>
            <w:hideMark/>
          </w:tcPr>
          <w:p w14:paraId="02A8C476" w14:textId="77777777" w:rsidR="00C46F4A" w:rsidRPr="00940A94" w:rsidRDefault="00C46F4A" w:rsidP="0093333C">
            <w:pPr>
              <w:spacing w:after="0" w:line="240" w:lineRule="auto"/>
              <w:ind w:left="372"/>
              <w:rPr>
                <w:rFonts w:eastAsia="Times New Roman" w:cs="Times New Roman"/>
                <w:kern w:val="0"/>
                <w14:ligatures w14:val="none"/>
              </w:rPr>
            </w:pPr>
            <w:r w:rsidRPr="00940A94">
              <w:rPr>
                <w:rFonts w:eastAsia="Times New Roman" w:cs="Times New Roman"/>
                <w:kern w:val="0"/>
                <w14:ligatures w14:val="none"/>
              </w:rPr>
              <w:t>Détection d’erreurs de configuration, de composants obsolètes, de certificats périmés et de services exposés</w:t>
            </w:r>
          </w:p>
        </w:tc>
      </w:tr>
      <w:tr w:rsidR="00C46F4A" w:rsidRPr="00940A94" w14:paraId="78FAAD54" w14:textId="77777777" w:rsidTr="0093333C">
        <w:trPr>
          <w:tblCellSpacing w:w="15" w:type="dxa"/>
        </w:trPr>
        <w:tc>
          <w:tcPr>
            <w:tcW w:w="0" w:type="auto"/>
            <w:vAlign w:val="center"/>
            <w:hideMark/>
          </w:tcPr>
          <w:p w14:paraId="628C63A6"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Tableaux de bord et rapports</w:t>
            </w:r>
          </w:p>
        </w:tc>
        <w:tc>
          <w:tcPr>
            <w:tcW w:w="0" w:type="auto"/>
            <w:vAlign w:val="center"/>
            <w:hideMark/>
          </w:tcPr>
          <w:p w14:paraId="3ED7D45C" w14:textId="6B0762F0" w:rsidR="00C46F4A" w:rsidRPr="00940A94" w:rsidRDefault="00C46F4A" w:rsidP="0093333C">
            <w:pPr>
              <w:spacing w:after="0" w:line="240" w:lineRule="auto"/>
              <w:ind w:left="372"/>
              <w:rPr>
                <w:rFonts w:eastAsia="Times New Roman" w:cs="Times New Roman"/>
                <w:kern w:val="0"/>
                <w14:ligatures w14:val="none"/>
              </w:rPr>
            </w:pPr>
            <w:r w:rsidRPr="00940A94">
              <w:rPr>
                <w:rFonts w:eastAsia="Times New Roman" w:cs="Times New Roman"/>
                <w:kern w:val="0"/>
                <w14:ligatures w14:val="none"/>
              </w:rPr>
              <w:t xml:space="preserve">Plateforme bien structurée avec des risques </w:t>
            </w:r>
            <w:r w:rsidRPr="00940A94">
              <w:rPr>
                <w:rFonts w:eastAsia="Times New Roman" w:cs="Times New Roman"/>
                <w:kern w:val="0"/>
                <w14:ligatures w14:val="none"/>
              </w:rPr>
              <w:t>hiérarchisés et des recommandations claires</w:t>
            </w:r>
            <w:r w:rsidR="002C4E3D">
              <w:rPr>
                <w:rFonts w:eastAsia="Times New Roman" w:cs="Times New Roman"/>
                <w:kern w:val="0"/>
                <w14:ligatures w14:val="none"/>
              </w:rPr>
              <w:t>,</w:t>
            </w:r>
            <w:r w:rsidRPr="00940A94">
              <w:rPr>
                <w:rFonts w:eastAsia="Times New Roman" w:cs="Times New Roman"/>
                <w:kern w:val="0"/>
                <w14:ligatures w14:val="none"/>
              </w:rPr>
              <w:t xml:space="preserve"> rapports compatibles avec les audits et la </w:t>
            </w:r>
            <w:r w:rsidR="002C4E3D">
              <w:rPr>
                <w:rFonts w:eastAsia="Times New Roman" w:cs="Times New Roman"/>
                <w:kern w:val="0"/>
                <w14:ligatures w14:val="none"/>
              </w:rPr>
              <w:t>conformité</w:t>
            </w:r>
          </w:p>
        </w:tc>
      </w:tr>
      <w:tr w:rsidR="00C46F4A" w:rsidRPr="00940A94" w14:paraId="11201835" w14:textId="77777777" w:rsidTr="0093333C">
        <w:trPr>
          <w:tblCellSpacing w:w="15" w:type="dxa"/>
        </w:trPr>
        <w:tc>
          <w:tcPr>
            <w:tcW w:w="0" w:type="auto"/>
            <w:vAlign w:val="center"/>
            <w:hideMark/>
          </w:tcPr>
          <w:p w14:paraId="43D85C89"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Stockage des données</w:t>
            </w:r>
          </w:p>
        </w:tc>
        <w:tc>
          <w:tcPr>
            <w:tcW w:w="0" w:type="auto"/>
            <w:vAlign w:val="center"/>
            <w:hideMark/>
          </w:tcPr>
          <w:p w14:paraId="5E62D8B2" w14:textId="77777777" w:rsidR="00C46F4A" w:rsidRPr="00940A94" w:rsidRDefault="00C46F4A" w:rsidP="0093333C">
            <w:pPr>
              <w:spacing w:after="0" w:line="240" w:lineRule="auto"/>
              <w:ind w:left="372"/>
              <w:rPr>
                <w:rFonts w:eastAsia="Times New Roman" w:cs="Times New Roman"/>
                <w:kern w:val="0"/>
                <w14:ligatures w14:val="none"/>
              </w:rPr>
            </w:pPr>
            <w:r w:rsidRPr="00940A94">
              <w:rPr>
                <w:rFonts w:eastAsia="Times New Roman" w:cs="Times New Roman"/>
                <w:kern w:val="0"/>
                <w14:ligatures w14:val="none"/>
              </w:rPr>
              <w:t>Tous les résultats et données sont stockés exclusivement en Suisse</w:t>
            </w:r>
          </w:p>
        </w:tc>
      </w:tr>
    </w:tbl>
    <w:p w14:paraId="174D602E" w14:textId="77777777" w:rsidR="00C46F4A" w:rsidRPr="00940A94" w:rsidRDefault="00C46F4A" w:rsidP="00C46F4A"/>
    <w:p w14:paraId="0E6F7DA9" w14:textId="77777777" w:rsidR="00C46F4A" w:rsidRPr="00940A94" w:rsidRDefault="00C46F4A" w:rsidP="00C46F4A">
      <w:pPr>
        <w:spacing w:after="0" w:line="240" w:lineRule="auto"/>
        <w:rPr>
          <w:rFonts w:eastAsia="Times New Roman" w:cs="Times New Roman"/>
          <w:b/>
          <w:bCs/>
          <w:kern w:val="0"/>
          <w14:ligatures w14:val="none"/>
        </w:rPr>
      </w:pPr>
      <w:r w:rsidRPr="00940A94">
        <w:rPr>
          <w:rFonts w:eastAsia="Times New Roman" w:cs="Times New Roman"/>
          <w:b/>
          <w:bCs/>
          <w:kern w:val="0"/>
          <w14:ligatures w14:val="none"/>
        </w:rPr>
        <w:t>Prestations</w:t>
      </w:r>
    </w:p>
    <w:p w14:paraId="663471AB" w14:textId="77777777" w:rsidR="00C46F4A" w:rsidRPr="00940A94" w:rsidRDefault="00C46F4A" w:rsidP="00C46F4A">
      <w:pPr>
        <w:spacing w:after="0" w:line="240" w:lineRule="auto"/>
        <w:rPr>
          <w:rFonts w:eastAsia="Times New Roman" w:cs="Times New Roman"/>
          <w:b/>
          <w:bCs/>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6672"/>
      </w:tblGrid>
      <w:tr w:rsidR="00C46F4A" w:rsidRPr="00940A94" w14:paraId="448E27D2" w14:textId="77777777" w:rsidTr="0093333C">
        <w:trPr>
          <w:tblHeader/>
          <w:tblCellSpacing w:w="15" w:type="dxa"/>
        </w:trPr>
        <w:tc>
          <w:tcPr>
            <w:tcW w:w="0" w:type="auto"/>
            <w:vAlign w:val="center"/>
            <w:hideMark/>
          </w:tcPr>
          <w:p w14:paraId="04F98C95" w14:textId="77777777" w:rsidR="00C46F4A" w:rsidRPr="00940A94" w:rsidRDefault="00C46F4A" w:rsidP="0093333C">
            <w:pPr>
              <w:spacing w:after="0" w:line="240" w:lineRule="auto"/>
              <w:rPr>
                <w:rFonts w:eastAsia="Times New Roman" w:cs="Times New Roman"/>
                <w:b/>
                <w:bCs/>
                <w:kern w:val="0"/>
                <w14:ligatures w14:val="none"/>
              </w:rPr>
            </w:pPr>
            <w:r w:rsidRPr="00940A94">
              <w:rPr>
                <w:rFonts w:eastAsia="Times New Roman" w:cs="Times New Roman"/>
                <w:b/>
                <w:bCs/>
                <w:kern w:val="0"/>
                <w14:ligatures w14:val="none"/>
              </w:rPr>
              <w:t>Prestation</w:t>
            </w:r>
          </w:p>
        </w:tc>
        <w:tc>
          <w:tcPr>
            <w:tcW w:w="0" w:type="auto"/>
            <w:vAlign w:val="center"/>
            <w:hideMark/>
          </w:tcPr>
          <w:p w14:paraId="7492F356" w14:textId="77777777" w:rsidR="00C46F4A" w:rsidRPr="00940A94" w:rsidRDefault="00C46F4A" w:rsidP="0093333C">
            <w:pPr>
              <w:spacing w:after="0" w:line="240" w:lineRule="auto"/>
              <w:ind w:left="243"/>
              <w:rPr>
                <w:rFonts w:eastAsia="Times New Roman" w:cs="Times New Roman"/>
                <w:b/>
                <w:bCs/>
                <w:kern w:val="0"/>
                <w14:ligatures w14:val="none"/>
              </w:rPr>
            </w:pPr>
            <w:r w:rsidRPr="00940A94">
              <w:rPr>
                <w:rFonts w:eastAsia="Times New Roman" w:cs="Times New Roman"/>
                <w:b/>
                <w:bCs/>
                <w:kern w:val="0"/>
                <w14:ligatures w14:val="none"/>
              </w:rPr>
              <w:t>Description</w:t>
            </w:r>
          </w:p>
        </w:tc>
      </w:tr>
      <w:tr w:rsidR="00C46F4A" w:rsidRPr="00940A94" w14:paraId="1ABB61EE" w14:textId="77777777" w:rsidTr="0093333C">
        <w:trPr>
          <w:tblCellSpacing w:w="15" w:type="dxa"/>
        </w:trPr>
        <w:tc>
          <w:tcPr>
            <w:tcW w:w="0" w:type="auto"/>
            <w:vAlign w:val="center"/>
            <w:hideMark/>
          </w:tcPr>
          <w:p w14:paraId="1C9A8D9D"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Évaluation des vulnérabilités (Vulnerability Assessment): deux analyses par an</w:t>
            </w:r>
          </w:p>
        </w:tc>
        <w:tc>
          <w:tcPr>
            <w:tcW w:w="0" w:type="auto"/>
            <w:vAlign w:val="center"/>
            <w:hideMark/>
          </w:tcPr>
          <w:p w14:paraId="70379035" w14:textId="0CADB4E4" w:rsidR="00C46F4A" w:rsidRPr="00940A94" w:rsidRDefault="00C46F4A" w:rsidP="0093333C">
            <w:pPr>
              <w:pStyle w:val="ListParagraph"/>
              <w:spacing w:after="0" w:line="240" w:lineRule="auto"/>
              <w:rPr>
                <w:rFonts w:eastAsia="Times New Roman" w:cs="Times New Roman"/>
                <w:kern w:val="0"/>
                <w14:ligatures w14:val="none"/>
              </w:rPr>
            </w:pPr>
            <w:r w:rsidRPr="00940A94">
              <w:rPr>
                <w:kern w:val="0"/>
                <w14:ligatures w14:val="none"/>
              </w:rPr>
              <w:t xml:space="preserve">Analyse et évaluation de la sécurité informatique </w:t>
            </w:r>
            <w:r w:rsidRPr="00940A94">
              <w:t>de la surface d’attaque externe,</w:t>
            </w:r>
            <w:r w:rsidRPr="00940A94">
              <w:rPr>
                <w:kern w:val="0"/>
                <w14:ligatures w14:val="none"/>
              </w:rPr>
              <w:t xml:space="preserve"> avec des recommandations concrètes; réévaluation à l’aide d’une deuxième analyse pour vérifier le succès des mesures et identifier les nouveaux risques; accès à la plateforme en ligne et assistance 24</w:t>
            </w:r>
            <w:r w:rsidR="00F1031B">
              <w:rPr>
                <w:kern w:val="0"/>
                <w14:ligatures w14:val="none"/>
              </w:rPr>
              <w:t xml:space="preserve"> </w:t>
            </w:r>
            <w:r w:rsidRPr="00940A94">
              <w:rPr>
                <w:kern w:val="0"/>
                <w14:ligatures w14:val="none"/>
              </w:rPr>
              <w:t>heures sur 24 et 7</w:t>
            </w:r>
            <w:r w:rsidR="00F1031B">
              <w:rPr>
                <w:kern w:val="0"/>
                <w14:ligatures w14:val="none"/>
              </w:rPr>
              <w:t xml:space="preserve"> </w:t>
            </w:r>
            <w:r w:rsidRPr="00940A94">
              <w:rPr>
                <w:kern w:val="0"/>
                <w14:ligatures w14:val="none"/>
              </w:rPr>
              <w:t>jours sur 7 pendant la durée du contrat</w:t>
            </w:r>
          </w:p>
          <w:p w14:paraId="1EA428BB" w14:textId="77777777" w:rsidR="00C46F4A" w:rsidRPr="00940A94" w:rsidRDefault="00C46F4A" w:rsidP="0093333C">
            <w:pPr>
              <w:spacing w:after="0" w:line="240" w:lineRule="auto"/>
              <w:ind w:left="243"/>
              <w:rPr>
                <w:rFonts w:eastAsia="Times New Roman" w:cs="Times New Roman"/>
                <w:kern w:val="0"/>
                <w14:ligatures w14:val="none"/>
              </w:rPr>
            </w:pPr>
          </w:p>
        </w:tc>
      </w:tr>
      <w:tr w:rsidR="00C46F4A" w:rsidRPr="00940A94" w14:paraId="13DA82A8" w14:textId="77777777" w:rsidTr="0093333C">
        <w:trPr>
          <w:tblCellSpacing w:w="15" w:type="dxa"/>
        </w:trPr>
        <w:tc>
          <w:tcPr>
            <w:tcW w:w="0" w:type="auto"/>
            <w:vAlign w:val="center"/>
            <w:hideMark/>
          </w:tcPr>
          <w:p w14:paraId="21A8B2B1"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Couverture</w:t>
            </w:r>
          </w:p>
        </w:tc>
        <w:tc>
          <w:tcPr>
            <w:tcW w:w="0" w:type="auto"/>
            <w:vAlign w:val="center"/>
            <w:hideMark/>
          </w:tcPr>
          <w:p w14:paraId="5FDBF1DD" w14:textId="05EF7496" w:rsidR="00C46F4A" w:rsidRPr="00940A94" w:rsidRDefault="00C46F4A" w:rsidP="0093333C">
            <w:pPr>
              <w:spacing w:after="0" w:line="240" w:lineRule="auto"/>
              <w:ind w:left="708"/>
              <w:rPr>
                <w:rFonts w:eastAsia="Times New Roman" w:cs="Times New Roman"/>
                <w:kern w:val="0"/>
                <w14:ligatures w14:val="none"/>
              </w:rPr>
            </w:pPr>
            <w:r w:rsidRPr="00940A94">
              <w:rPr>
                <w:rFonts w:eastAsia="Times New Roman" w:cs="Times New Roman"/>
                <w:kern w:val="0"/>
                <w14:ligatures w14:val="none"/>
              </w:rPr>
              <w:t>Jusqu’à 1000</w:t>
            </w:r>
            <w:r w:rsidR="00F1031B">
              <w:rPr>
                <w:rFonts w:eastAsia="Times New Roman" w:cs="Times New Roman"/>
                <w:kern w:val="0"/>
                <w14:ligatures w14:val="none"/>
              </w:rPr>
              <w:t xml:space="preserve"> </w:t>
            </w:r>
            <w:r w:rsidRPr="00940A94">
              <w:rPr>
                <w:rFonts w:eastAsia="Times New Roman" w:cs="Times New Roman"/>
                <w:kern w:val="0"/>
                <w14:ligatures w14:val="none"/>
              </w:rPr>
              <w:t>actifs sont examinés par analyse et jusqu’à 1000</w:t>
            </w:r>
            <w:r w:rsidR="00F1031B">
              <w:rPr>
                <w:rFonts w:eastAsia="Times New Roman" w:cs="Times New Roman"/>
                <w:kern w:val="0"/>
                <w14:ligatures w14:val="none"/>
              </w:rPr>
              <w:t xml:space="preserve"> </w:t>
            </w:r>
            <w:r w:rsidRPr="00940A94">
              <w:rPr>
                <w:rFonts w:eastAsia="Times New Roman" w:cs="Times New Roman"/>
                <w:kern w:val="0"/>
                <w14:ligatures w14:val="none"/>
              </w:rPr>
              <w:t xml:space="preserve">incidents sont affichés par analyse sur la plateforme en ligne </w:t>
            </w:r>
          </w:p>
        </w:tc>
      </w:tr>
      <w:tr w:rsidR="00C46F4A" w:rsidRPr="00940A94" w14:paraId="3DFC7E89" w14:textId="77777777" w:rsidTr="0093333C">
        <w:trPr>
          <w:tblCellSpacing w:w="15" w:type="dxa"/>
        </w:trPr>
        <w:tc>
          <w:tcPr>
            <w:tcW w:w="0" w:type="auto"/>
            <w:vAlign w:val="center"/>
            <w:hideMark/>
          </w:tcPr>
          <w:p w14:paraId="40D31291" w14:textId="5AD079A6" w:rsidR="00C46F4A" w:rsidRPr="00940A94" w:rsidRDefault="002C4E3D" w:rsidP="0093333C">
            <w:pPr>
              <w:spacing w:after="0" w:line="240" w:lineRule="auto"/>
              <w:rPr>
                <w:rFonts w:eastAsia="Times New Roman" w:cs="Times New Roman"/>
                <w:kern w:val="0"/>
                <w14:ligatures w14:val="none"/>
              </w:rPr>
            </w:pPr>
            <w:r>
              <w:rPr>
                <w:rFonts w:eastAsia="Times New Roman" w:cs="Times New Roman"/>
                <w:kern w:val="0"/>
                <w14:ligatures w14:val="none"/>
              </w:rPr>
              <w:t>Intégration</w:t>
            </w:r>
            <w:r w:rsidRPr="00940A94">
              <w:rPr>
                <w:rFonts w:eastAsia="Times New Roman" w:cs="Times New Roman"/>
                <w:kern w:val="0"/>
                <w14:ligatures w14:val="none"/>
              </w:rPr>
              <w:t xml:space="preserve"> </w:t>
            </w:r>
            <w:r w:rsidR="00C46F4A" w:rsidRPr="00940A94">
              <w:rPr>
                <w:rFonts w:eastAsia="Times New Roman" w:cs="Times New Roman"/>
                <w:kern w:val="0"/>
                <w14:ligatures w14:val="none"/>
              </w:rPr>
              <w:t>par Plug &amp; Play</w:t>
            </w:r>
          </w:p>
        </w:tc>
        <w:tc>
          <w:tcPr>
            <w:tcW w:w="0" w:type="auto"/>
            <w:vAlign w:val="center"/>
            <w:hideMark/>
          </w:tcPr>
          <w:p w14:paraId="7C7C0C9B" w14:textId="156B8807" w:rsidR="00C46F4A" w:rsidRPr="00940A94" w:rsidRDefault="00C46F4A" w:rsidP="0093333C">
            <w:pPr>
              <w:spacing w:after="0" w:line="240" w:lineRule="auto"/>
              <w:ind w:left="708"/>
              <w:rPr>
                <w:rFonts w:eastAsia="Times New Roman" w:cs="Times New Roman"/>
                <w:kern w:val="0"/>
                <w14:ligatures w14:val="none"/>
              </w:rPr>
            </w:pPr>
            <w:r w:rsidRPr="00940A94">
              <w:rPr>
                <w:rFonts w:eastAsia="Times New Roman" w:cs="Times New Roman"/>
                <w:kern w:val="0"/>
                <w14:ligatures w14:val="none"/>
              </w:rPr>
              <w:t xml:space="preserve">Pour démarrer l’analyse, seules la </w:t>
            </w:r>
            <w:r w:rsidRPr="00940A94">
              <w:rPr>
                <w:rFonts w:eastAsia="Times New Roman" w:cs="Times New Roman"/>
                <w:kern w:val="0"/>
                <w14:ligatures w14:val="none"/>
              </w:rPr>
              <w:t xml:space="preserve">raison sociale, l’adresse du site web et une adresse e-mail sont nécessaires; aucune configuration complexe </w:t>
            </w:r>
            <w:r w:rsidR="002C4E3D">
              <w:rPr>
                <w:rFonts w:eastAsia="Times New Roman" w:cs="Times New Roman"/>
                <w:kern w:val="0"/>
                <w14:ligatures w14:val="none"/>
              </w:rPr>
              <w:t>n’est requise</w:t>
            </w:r>
          </w:p>
        </w:tc>
      </w:tr>
      <w:tr w:rsidR="00C46F4A" w:rsidRPr="00940A94" w14:paraId="628DAD2A" w14:textId="77777777" w:rsidTr="0093333C">
        <w:trPr>
          <w:tblCellSpacing w:w="15" w:type="dxa"/>
        </w:trPr>
        <w:tc>
          <w:tcPr>
            <w:tcW w:w="0" w:type="auto"/>
            <w:vAlign w:val="center"/>
            <w:hideMark/>
          </w:tcPr>
          <w:p w14:paraId="1A8F1AB9" w14:textId="77777777" w:rsidR="00C46F4A" w:rsidRPr="00940A94" w:rsidRDefault="00C46F4A" w:rsidP="0093333C">
            <w:pPr>
              <w:spacing w:after="0" w:line="240" w:lineRule="auto"/>
              <w:rPr>
                <w:rFonts w:eastAsia="Times New Roman" w:cs="Times New Roman"/>
                <w:kern w:val="0"/>
                <w14:ligatures w14:val="none"/>
              </w:rPr>
            </w:pPr>
          </w:p>
        </w:tc>
        <w:tc>
          <w:tcPr>
            <w:tcW w:w="0" w:type="auto"/>
            <w:vAlign w:val="center"/>
            <w:hideMark/>
          </w:tcPr>
          <w:p w14:paraId="7F00F396" w14:textId="77777777" w:rsidR="00C46F4A" w:rsidRPr="00940A94" w:rsidRDefault="00C46F4A" w:rsidP="0093333C">
            <w:pPr>
              <w:spacing w:after="0" w:line="240" w:lineRule="auto"/>
              <w:ind w:left="243"/>
              <w:rPr>
                <w:rFonts w:eastAsia="Times New Roman" w:cs="Times New Roman"/>
                <w:kern w:val="0"/>
                <w14:ligatures w14:val="none"/>
              </w:rPr>
            </w:pPr>
          </w:p>
        </w:tc>
      </w:tr>
    </w:tbl>
    <w:p w14:paraId="7038FED8" w14:textId="77777777" w:rsidR="00C46F4A" w:rsidRPr="00940A94" w:rsidRDefault="00C46F4A" w:rsidP="00C46F4A">
      <w:pPr>
        <w:spacing w:after="0" w:line="240" w:lineRule="auto"/>
        <w:rPr>
          <w:rFonts w:eastAsia="Times New Roman" w:cs="Times New Roman"/>
          <w:kern w:val="0"/>
          <w14:ligatures w14:val="none"/>
        </w:rPr>
      </w:pPr>
    </w:p>
    <w:p w14:paraId="55959576" w14:textId="77777777" w:rsidR="00C46F4A" w:rsidRPr="00940A94" w:rsidRDefault="00C46F4A" w:rsidP="00C46F4A">
      <w:pPr>
        <w:spacing w:before="100" w:beforeAutospacing="1" w:after="100" w:afterAutospacing="1" w:line="240" w:lineRule="auto"/>
        <w:rPr>
          <w:rFonts w:eastAsia="Times New Roman" w:cs="Times New Roman"/>
          <w:color w:val="000000"/>
          <w:kern w:val="0"/>
          <w14:ligatures w14:val="none"/>
        </w:rPr>
      </w:pPr>
      <w:r w:rsidRPr="00940A94">
        <w:rPr>
          <w:rFonts w:eastAsia="Times New Roman" w:cs="Times New Roman"/>
          <w:b/>
          <w:bCs/>
          <w:color w:val="000000"/>
          <w:kern w:val="0"/>
          <w14:ligatures w14:val="none"/>
        </w:rPr>
        <w:t>Service et assistance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2"/>
        <w:gridCol w:w="6370"/>
      </w:tblGrid>
      <w:tr w:rsidR="00C46F4A" w:rsidRPr="00940A94" w14:paraId="170039CD" w14:textId="77777777" w:rsidTr="0093333C">
        <w:trPr>
          <w:tblHeader/>
          <w:tblCellSpacing w:w="15" w:type="dxa"/>
        </w:trPr>
        <w:tc>
          <w:tcPr>
            <w:tcW w:w="2657" w:type="dxa"/>
            <w:vAlign w:val="center"/>
            <w:hideMark/>
          </w:tcPr>
          <w:p w14:paraId="6693A668" w14:textId="77777777" w:rsidR="00C46F4A" w:rsidRPr="00940A94" w:rsidRDefault="00C46F4A" w:rsidP="0093333C">
            <w:pPr>
              <w:spacing w:after="0" w:line="240" w:lineRule="auto"/>
              <w:rPr>
                <w:rFonts w:eastAsia="Times New Roman" w:cs="Times New Roman"/>
                <w:b/>
                <w:bCs/>
                <w:kern w:val="0"/>
                <w14:ligatures w14:val="none"/>
              </w:rPr>
            </w:pPr>
            <w:r w:rsidRPr="00940A94">
              <w:rPr>
                <w:rFonts w:eastAsia="Times New Roman" w:cs="Times New Roman"/>
                <w:b/>
                <w:bCs/>
                <w:kern w:val="0"/>
                <w14:ligatures w14:val="none"/>
              </w:rPr>
              <w:t>Service</w:t>
            </w:r>
          </w:p>
        </w:tc>
        <w:tc>
          <w:tcPr>
            <w:tcW w:w="6325" w:type="dxa"/>
            <w:vAlign w:val="center"/>
            <w:hideMark/>
          </w:tcPr>
          <w:p w14:paraId="4963DC1E" w14:textId="77777777" w:rsidR="00C46F4A" w:rsidRPr="00940A94" w:rsidRDefault="00C46F4A" w:rsidP="0093333C">
            <w:pPr>
              <w:spacing w:after="0" w:line="240" w:lineRule="auto"/>
              <w:ind w:left="259"/>
              <w:rPr>
                <w:rFonts w:eastAsia="Times New Roman" w:cs="Times New Roman"/>
                <w:b/>
                <w:bCs/>
                <w:kern w:val="0"/>
                <w14:ligatures w14:val="none"/>
              </w:rPr>
            </w:pPr>
            <w:r w:rsidRPr="00940A94">
              <w:rPr>
                <w:rFonts w:eastAsia="Times New Roman" w:cs="Times New Roman"/>
                <w:b/>
                <w:bCs/>
                <w:kern w:val="0"/>
                <w14:ligatures w14:val="none"/>
              </w:rPr>
              <w:t>Description</w:t>
            </w:r>
          </w:p>
        </w:tc>
      </w:tr>
      <w:tr w:rsidR="00C46F4A" w:rsidRPr="00940A94" w14:paraId="21237DC4" w14:textId="77777777" w:rsidTr="0093333C">
        <w:trPr>
          <w:tblCellSpacing w:w="15" w:type="dxa"/>
        </w:trPr>
        <w:tc>
          <w:tcPr>
            <w:tcW w:w="2657" w:type="dxa"/>
            <w:vAlign w:val="center"/>
            <w:hideMark/>
          </w:tcPr>
          <w:p w14:paraId="7EB62B36" w14:textId="32775BFB"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Assistance 24</w:t>
            </w:r>
            <w:r w:rsidR="00FA41C8">
              <w:rPr>
                <w:rFonts w:eastAsia="Times New Roman" w:cs="Times New Roman"/>
                <w:kern w:val="0"/>
                <w14:ligatures w14:val="none"/>
              </w:rPr>
              <w:t xml:space="preserve"> </w:t>
            </w:r>
            <w:r w:rsidRPr="00940A94">
              <w:rPr>
                <w:rFonts w:eastAsia="Times New Roman" w:cs="Times New Roman"/>
                <w:kern w:val="0"/>
                <w14:ligatures w14:val="none"/>
              </w:rPr>
              <w:t xml:space="preserve">heures sur 24 </w:t>
            </w:r>
            <w:r w:rsidRPr="00940A94">
              <w:rPr>
                <w:rFonts w:eastAsia="Times New Roman" w:cs="Times New Roman"/>
                <w:kern w:val="0"/>
                <w14:ligatures w14:val="none"/>
              </w:rPr>
              <w:t>et 7</w:t>
            </w:r>
            <w:r w:rsidR="00F1031B">
              <w:rPr>
                <w:rFonts w:eastAsia="Times New Roman" w:cs="Times New Roman"/>
                <w:kern w:val="0"/>
                <w14:ligatures w14:val="none"/>
              </w:rPr>
              <w:t xml:space="preserve"> </w:t>
            </w:r>
            <w:r w:rsidRPr="00940A94">
              <w:rPr>
                <w:rFonts w:eastAsia="Times New Roman" w:cs="Times New Roman"/>
                <w:kern w:val="0"/>
                <w14:ligatures w14:val="none"/>
              </w:rPr>
              <w:t>jours sur 7 fournie par des expert</w:t>
            </w:r>
            <w:r w:rsidR="002C4E3D">
              <w:rPr>
                <w:rFonts w:eastAsia="Times New Roman" w:cs="Times New Roman"/>
                <w:kern w:val="0"/>
                <w14:ligatures w14:val="none"/>
              </w:rPr>
              <w:t>-e-</w:t>
            </w:r>
            <w:r w:rsidRPr="00940A94">
              <w:rPr>
                <w:rFonts w:eastAsia="Times New Roman" w:cs="Times New Roman"/>
                <w:kern w:val="0"/>
                <w14:ligatures w14:val="none"/>
              </w:rPr>
              <w:t>s</w:t>
            </w:r>
          </w:p>
        </w:tc>
        <w:tc>
          <w:tcPr>
            <w:tcW w:w="6325" w:type="dxa"/>
            <w:vAlign w:val="center"/>
            <w:hideMark/>
          </w:tcPr>
          <w:p w14:paraId="2DA4AA3C" w14:textId="28108161" w:rsidR="00C46F4A" w:rsidRPr="00940A94" w:rsidRDefault="00C46F4A" w:rsidP="0093333C">
            <w:pPr>
              <w:spacing w:after="0" w:line="240" w:lineRule="auto"/>
              <w:ind w:left="259"/>
              <w:rPr>
                <w:rFonts w:eastAsia="Times New Roman" w:cs="Times New Roman"/>
                <w:kern w:val="0"/>
                <w14:ligatures w14:val="none"/>
              </w:rPr>
            </w:pPr>
            <w:r w:rsidRPr="00940A94">
              <w:rPr>
                <w:rFonts w:eastAsia="Times New Roman" w:cs="Times New Roman"/>
                <w:kern w:val="0"/>
                <w14:ligatures w14:val="none"/>
              </w:rPr>
              <w:t xml:space="preserve">Assistance intégrée à la </w:t>
            </w:r>
            <w:r w:rsidRPr="00940A94">
              <w:rPr>
                <w:rFonts w:eastAsia="Times New Roman" w:cs="Times New Roman"/>
                <w:kern w:val="0"/>
                <w14:ligatures w14:val="none"/>
              </w:rPr>
              <w:t>plateforme</w:t>
            </w:r>
            <w:r w:rsidR="002C4E3D">
              <w:rPr>
                <w:rFonts w:eastAsia="Times New Roman" w:cs="Times New Roman"/>
                <w:kern w:val="0"/>
                <w14:ligatures w14:val="none"/>
              </w:rPr>
              <w:t>,</w:t>
            </w:r>
            <w:r w:rsidRPr="00940A94">
              <w:rPr>
                <w:rFonts w:eastAsia="Times New Roman" w:cs="Times New Roman"/>
                <w:kern w:val="0"/>
                <w14:ligatures w14:val="none"/>
              </w:rPr>
              <w:t xml:space="preserve"> soutien </w:t>
            </w:r>
            <w:r w:rsidRPr="00940A94">
              <w:rPr>
                <w:rFonts w:eastAsia="Times New Roman" w:cs="Times New Roman"/>
                <w:kern w:val="0"/>
                <w14:ligatures w14:val="none"/>
              </w:rPr>
              <w:t>en cas de questions sur les résultats et les recommandations</w:t>
            </w:r>
          </w:p>
        </w:tc>
      </w:tr>
      <w:tr w:rsidR="00C46F4A" w:rsidRPr="00940A94" w14:paraId="465B085B" w14:textId="77777777" w:rsidTr="0093333C">
        <w:trPr>
          <w:tblCellSpacing w:w="15" w:type="dxa"/>
        </w:trPr>
        <w:tc>
          <w:tcPr>
            <w:tcW w:w="2657" w:type="dxa"/>
            <w:vAlign w:val="center"/>
            <w:hideMark/>
          </w:tcPr>
          <w:p w14:paraId="699C83FE" w14:textId="77777777" w:rsidR="00C46F4A" w:rsidRPr="00940A94" w:rsidRDefault="00C46F4A" w:rsidP="0093333C">
            <w:pPr>
              <w:spacing w:after="0" w:line="240" w:lineRule="auto"/>
              <w:rPr>
                <w:rFonts w:eastAsia="Times New Roman" w:cs="Times New Roman"/>
                <w:kern w:val="0"/>
                <w14:ligatures w14:val="none"/>
              </w:rPr>
            </w:pPr>
            <w:r w:rsidRPr="00940A94">
              <w:rPr>
                <w:rFonts w:eastAsia="Times New Roman" w:cs="Times New Roman"/>
                <w:kern w:val="0"/>
                <w14:ligatures w14:val="none"/>
              </w:rPr>
              <w:t>Recommandations</w:t>
            </w:r>
          </w:p>
        </w:tc>
        <w:tc>
          <w:tcPr>
            <w:tcW w:w="6325" w:type="dxa"/>
            <w:vAlign w:val="center"/>
            <w:hideMark/>
          </w:tcPr>
          <w:p w14:paraId="3480A587" w14:textId="26E093CD" w:rsidR="00C46F4A" w:rsidRPr="00940A94" w:rsidRDefault="00C46F4A" w:rsidP="0093333C">
            <w:pPr>
              <w:spacing w:after="0" w:line="240" w:lineRule="auto"/>
              <w:ind w:left="259"/>
              <w:rPr>
                <w:rFonts w:eastAsia="Times New Roman" w:cs="Times New Roman"/>
                <w:kern w:val="0"/>
                <w14:ligatures w14:val="none"/>
              </w:rPr>
            </w:pPr>
            <w:r w:rsidRPr="00940A94">
              <w:rPr>
                <w:rFonts w:eastAsia="Times New Roman" w:cs="Times New Roman"/>
                <w:kern w:val="0"/>
                <w14:ligatures w14:val="none"/>
              </w:rPr>
              <w:t xml:space="preserve">Instructions </w:t>
            </w:r>
            <w:r w:rsidRPr="00940A94">
              <w:rPr>
                <w:rFonts w:eastAsia="Times New Roman" w:cs="Times New Roman"/>
                <w:kern w:val="0"/>
                <w14:ligatures w14:val="none"/>
              </w:rPr>
              <w:t xml:space="preserve">concrètes étape par étape pour résoudre les vulnérabilités </w:t>
            </w:r>
            <w:r w:rsidR="002C4E3D">
              <w:rPr>
                <w:rFonts w:eastAsia="Times New Roman" w:cs="Times New Roman"/>
                <w:kern w:val="0"/>
                <w14:ligatures w14:val="none"/>
              </w:rPr>
              <w:t>détect</w:t>
            </w:r>
            <w:r w:rsidRPr="00940A94">
              <w:rPr>
                <w:rFonts w:eastAsia="Times New Roman" w:cs="Times New Roman"/>
                <w:kern w:val="0"/>
                <w14:ligatures w14:val="none"/>
              </w:rPr>
              <w:t>ées avec tri par priorité</w:t>
            </w:r>
          </w:p>
        </w:tc>
      </w:tr>
    </w:tbl>
    <w:p w14:paraId="2D5C5C82" w14:textId="77777777" w:rsidR="00C46F4A" w:rsidRPr="00940A94" w:rsidRDefault="00C46F4A" w:rsidP="00C46F4A">
      <w:pPr>
        <w:spacing w:after="0" w:line="240" w:lineRule="auto"/>
        <w:rPr>
          <w:rFonts w:eastAsia="Times New Roman" w:cs="Times New Roman"/>
          <w:kern w:val="0"/>
          <w14:ligatures w14:val="none"/>
        </w:rPr>
      </w:pPr>
    </w:p>
    <w:p w14:paraId="4B55ABB6" w14:textId="77777777" w:rsidR="00C46F4A" w:rsidRPr="00940A94" w:rsidRDefault="00C46F4A" w:rsidP="00C46F4A">
      <w:pPr>
        <w:spacing w:after="0" w:line="240" w:lineRule="auto"/>
        <w:rPr>
          <w:rFonts w:eastAsia="Times New Roman" w:cs="Times New Roman"/>
          <w:kern w:val="0"/>
          <w14:ligatures w14:val="none"/>
        </w:rPr>
      </w:pPr>
    </w:p>
    <w:p w14:paraId="30A93FB5" w14:textId="77777777" w:rsidR="00C46F4A" w:rsidRPr="00940A94" w:rsidRDefault="00C46F4A" w:rsidP="00C46F4A">
      <w:pPr>
        <w:spacing w:after="0" w:line="240" w:lineRule="auto"/>
        <w:rPr>
          <w:rFonts w:eastAsia="Times New Roman" w:cs="Times New Roman"/>
          <w:kern w:val="0"/>
          <w14:ligatures w14:val="none"/>
        </w:rPr>
      </w:pPr>
    </w:p>
    <w:p w14:paraId="29B81500" w14:textId="21D92389" w:rsidR="009E6583" w:rsidRDefault="0044151D" w:rsidP="009E6583">
      <w:r w:rsidRPr="0044151D">
        <w:rPr>
          <w:b/>
          <w:bCs/>
        </w:rPr>
        <w:t>Coûts</w:t>
      </w:r>
      <w:r w:rsidRPr="0044151D">
        <w:br/>
        <w:t xml:space="preserve">Prix </w:t>
      </w:r>
      <w:r w:rsidR="00750B76">
        <w:tab/>
      </w:r>
      <w:r w:rsidR="00750B76">
        <w:tab/>
      </w:r>
      <w:r w:rsidR="00750B76">
        <w:tab/>
      </w:r>
      <w:r w:rsidR="00750B76">
        <w:tab/>
      </w:r>
      <w:r w:rsidRPr="0044151D">
        <w:t>CHF 990.–/an, hors TVA</w:t>
      </w:r>
    </w:p>
    <w:p w14:paraId="7012C95E" w14:textId="1F1CAA25" w:rsidR="0093082F" w:rsidRPr="00C46F4A" w:rsidRDefault="009E6583" w:rsidP="009E6583">
      <w:pPr>
        <w:ind w:left="2880"/>
      </w:pPr>
      <w:r w:rsidRPr="009E6583">
        <w:t>Durée contractuelle minimale de 12 mois</w:t>
      </w:r>
    </w:p>
    <w:sectPr w:rsidR="0093082F" w:rsidRPr="00C46F4A" w:rsidSect="007917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92"/>
    <w:rsid w:val="00060183"/>
    <w:rsid w:val="002C4E3D"/>
    <w:rsid w:val="003C501A"/>
    <w:rsid w:val="0044151D"/>
    <w:rsid w:val="0052217F"/>
    <w:rsid w:val="00750B76"/>
    <w:rsid w:val="00791792"/>
    <w:rsid w:val="007C3DDC"/>
    <w:rsid w:val="008A1812"/>
    <w:rsid w:val="0093082F"/>
    <w:rsid w:val="009E6583"/>
    <w:rsid w:val="00A064A3"/>
    <w:rsid w:val="00A93463"/>
    <w:rsid w:val="00AC39FA"/>
    <w:rsid w:val="00AE75F0"/>
    <w:rsid w:val="00BE60AA"/>
    <w:rsid w:val="00C46F4A"/>
    <w:rsid w:val="00CF1443"/>
    <w:rsid w:val="00F1031B"/>
    <w:rsid w:val="00FA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D8AD"/>
  <w15:chartTrackingRefBased/>
  <w15:docId w15:val="{742D6AA0-58EE-44B8-A816-782ED865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4A"/>
    <w:rPr>
      <w:lang w:val="fr-CH"/>
    </w:rPr>
  </w:style>
  <w:style w:type="paragraph" w:styleId="Heading1">
    <w:name w:val="heading 1"/>
    <w:basedOn w:val="Normal"/>
    <w:next w:val="Normal"/>
    <w:link w:val="Heading1Char"/>
    <w:uiPriority w:val="9"/>
    <w:qFormat/>
    <w:rsid w:val="00791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792"/>
    <w:rPr>
      <w:rFonts w:eastAsiaTheme="majorEastAsia" w:cstheme="majorBidi"/>
      <w:color w:val="272727" w:themeColor="text1" w:themeTint="D8"/>
    </w:rPr>
  </w:style>
  <w:style w:type="paragraph" w:styleId="Title">
    <w:name w:val="Title"/>
    <w:basedOn w:val="Normal"/>
    <w:next w:val="Normal"/>
    <w:link w:val="TitleChar"/>
    <w:uiPriority w:val="10"/>
    <w:qFormat/>
    <w:rsid w:val="00791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792"/>
    <w:pPr>
      <w:spacing w:before="160"/>
      <w:jc w:val="center"/>
    </w:pPr>
    <w:rPr>
      <w:i/>
      <w:iCs/>
      <w:color w:val="404040" w:themeColor="text1" w:themeTint="BF"/>
    </w:rPr>
  </w:style>
  <w:style w:type="character" w:customStyle="1" w:styleId="QuoteChar">
    <w:name w:val="Quote Char"/>
    <w:basedOn w:val="DefaultParagraphFont"/>
    <w:link w:val="Quote"/>
    <w:uiPriority w:val="29"/>
    <w:rsid w:val="00791792"/>
    <w:rPr>
      <w:i/>
      <w:iCs/>
      <w:color w:val="404040" w:themeColor="text1" w:themeTint="BF"/>
    </w:rPr>
  </w:style>
  <w:style w:type="paragraph" w:styleId="ListParagraph">
    <w:name w:val="List Paragraph"/>
    <w:basedOn w:val="Normal"/>
    <w:uiPriority w:val="34"/>
    <w:qFormat/>
    <w:rsid w:val="00791792"/>
    <w:pPr>
      <w:ind w:left="720"/>
      <w:contextualSpacing/>
    </w:pPr>
  </w:style>
  <w:style w:type="character" w:styleId="IntenseEmphasis">
    <w:name w:val="Intense Emphasis"/>
    <w:basedOn w:val="DefaultParagraphFont"/>
    <w:uiPriority w:val="21"/>
    <w:qFormat/>
    <w:rsid w:val="00791792"/>
    <w:rPr>
      <w:i/>
      <w:iCs/>
      <w:color w:val="0F4761" w:themeColor="accent1" w:themeShade="BF"/>
    </w:rPr>
  </w:style>
  <w:style w:type="paragraph" w:styleId="IntenseQuote">
    <w:name w:val="Intense Quote"/>
    <w:basedOn w:val="Normal"/>
    <w:next w:val="Normal"/>
    <w:link w:val="IntenseQuoteChar"/>
    <w:uiPriority w:val="30"/>
    <w:qFormat/>
    <w:rsid w:val="0079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792"/>
    <w:rPr>
      <w:i/>
      <w:iCs/>
      <w:color w:val="0F4761" w:themeColor="accent1" w:themeShade="BF"/>
    </w:rPr>
  </w:style>
  <w:style w:type="character" w:styleId="IntenseReference">
    <w:name w:val="Intense Reference"/>
    <w:basedOn w:val="DefaultParagraphFont"/>
    <w:uiPriority w:val="32"/>
    <w:qFormat/>
    <w:rsid w:val="00791792"/>
    <w:rPr>
      <w:b/>
      <w:bCs/>
      <w:smallCaps/>
      <w:color w:val="0F4761" w:themeColor="accent1" w:themeShade="BF"/>
      <w:spacing w:val="5"/>
    </w:rPr>
  </w:style>
  <w:style w:type="paragraph" w:styleId="Revision">
    <w:name w:val="Revision"/>
    <w:hidden/>
    <w:uiPriority w:val="99"/>
    <w:semiHidden/>
    <w:rsid w:val="00C46F4A"/>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160255-5815-4531-826c-d4383e218e2f" xsi:nil="true"/>
    <lcf76f155ced4ddcb4097134ff3c332f xmlns="b120ff03-fb97-4aab-b734-15f02b6535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58B14F6DCAEE46B762E6FA090389A3" ma:contentTypeVersion="19" ma:contentTypeDescription="Ein neues Dokument erstellen." ma:contentTypeScope="" ma:versionID="1a1440058cb3d32ef4a1a835a88c8ef3">
  <xsd:schema xmlns:xsd="http://www.w3.org/2001/XMLSchema" xmlns:xs="http://www.w3.org/2001/XMLSchema" xmlns:p="http://schemas.microsoft.com/office/2006/metadata/properties" xmlns:ns2="b120ff03-fb97-4aab-b734-15f02b6535d2" xmlns:ns3="b0160255-5815-4531-826c-d4383e218e2f" targetNamespace="http://schemas.microsoft.com/office/2006/metadata/properties" ma:root="true" ma:fieldsID="31a1f450a92b1d68a547b6c530b02f44" ns2:_="" ns3:_="">
    <xsd:import namespace="b120ff03-fb97-4aab-b734-15f02b6535d2"/>
    <xsd:import namespace="b0160255-5815-4531-826c-d4383e218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0ff03-fb97-4aab-b734-15f02b653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c69eb64-2237-4b83-9f84-8e10887ae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160255-5815-4531-826c-d4383e218e2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dd7744c-7b34-4050-9df7-c341191cbe9f}" ma:internalName="TaxCatchAll" ma:showField="CatchAllData" ma:web="b0160255-5815-4531-826c-d4383e218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8CD45-2C4C-40B7-A7F3-687538675882}">
  <ds:schemaRefs>
    <ds:schemaRef ds:uri="http://schemas.microsoft.com/office/2006/metadata/properties"/>
    <ds:schemaRef ds:uri="http://schemas.microsoft.com/office/infopath/2007/PartnerControls"/>
    <ds:schemaRef ds:uri="9dbfe68a-9d31-4e98-86c6-237b16981cab"/>
    <ds:schemaRef ds:uri="8859e4f7-f05a-47e0-9bd9-180447fec655"/>
    <ds:schemaRef ds:uri="b0160255-5815-4531-826c-d4383e218e2f"/>
    <ds:schemaRef ds:uri="b120ff03-fb97-4aab-b734-15f02b6535d2"/>
  </ds:schemaRefs>
</ds:datastoreItem>
</file>

<file path=customXml/itemProps2.xml><?xml version="1.0" encoding="utf-8"?>
<ds:datastoreItem xmlns:ds="http://schemas.openxmlformats.org/officeDocument/2006/customXml" ds:itemID="{8E61E96E-3C66-417C-B6BE-FE93E0AF63D2}">
  <ds:schemaRefs>
    <ds:schemaRef ds:uri="http://schemas.microsoft.com/sharepoint/v3/contenttype/forms"/>
  </ds:schemaRefs>
</ds:datastoreItem>
</file>

<file path=customXml/itemProps3.xml><?xml version="1.0" encoding="utf-8"?>
<ds:datastoreItem xmlns:ds="http://schemas.openxmlformats.org/officeDocument/2006/customXml" ds:itemID="{CC68D4D9-5C06-4295-BE10-789CC1D63F51}"/>
</file>

<file path=customXml/itemProps4.xml><?xml version="1.0" encoding="utf-8"?>
<ds:datastoreItem xmlns:ds="http://schemas.openxmlformats.org/officeDocument/2006/customXml" ds:itemID="{D9CAEDCF-9C64-4447-8BDF-5561E031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673</Words>
  <Characters>3994</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Desmoinaux, Christel</dc:creator>
  <cp:keywords/>
  <dc:description/>
  <cp:lastModifiedBy>Trunkwalter, Julia</cp:lastModifiedBy>
  <cp:revision>13</cp:revision>
  <dcterms:created xsi:type="dcterms:W3CDTF">2025-11-15T08:51:00Z</dcterms:created>
  <dcterms:modified xsi:type="dcterms:W3CDTF">2025-11-20T15:28:00Z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0x010100AB58B14F6DCAEE46B762E6FA090389A3</vt:lpwstr>
  </property>
  <property fmtid="{D5CDD505-2E9C-101B-9397-08002B2CF9AE}" pid="3" name="docLang">
    <vt:lpwstr>fr</vt:lpwstr>
  </property>
  <property fmtid="{D5CDD505-2E9C-101B-9397-08002B2CF9AE}" pid="4" name="MediaServiceImageTags">
    <vt:lpwstr/>
  </property>
</Properties>
</file>